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E5A0CAF">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52"/>
          <w:szCs w:val="52"/>
          <w:highlight w:val="none"/>
          <w:lang w:val="zh-CN"/>
        </w:rPr>
      </w:pPr>
    </w:p>
    <w:p w14:paraId="3B529B5E">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60"/>
          <w:szCs w:val="60"/>
          <w:highlight w:val="none"/>
          <w:lang w:val="zh-CN"/>
        </w:rPr>
      </w:pPr>
      <w:r>
        <w:rPr>
          <w:rFonts w:hint="eastAsia" w:ascii="宋体" w:hAnsi="宋体" w:eastAsia="宋体" w:cs="宋体"/>
          <w:b/>
          <w:bCs/>
          <w:color w:val="auto"/>
          <w:kern w:val="0"/>
          <w:sz w:val="60"/>
          <w:szCs w:val="60"/>
          <w:highlight w:val="none"/>
          <w:lang w:val="zh-CN"/>
        </w:rPr>
        <w:t>东莞市水务环境投资控股集团供水有限公司2026-2027年度清洁保洁、绿化养护、除“四害”及灭蚁防治服务采购项目</w:t>
      </w:r>
    </w:p>
    <w:p w14:paraId="089376B0">
      <w:pPr>
        <w:autoSpaceDE w:val="0"/>
        <w:autoSpaceDN w:val="0"/>
        <w:adjustRightInd w:val="0"/>
        <w:spacing w:line="276" w:lineRule="auto"/>
        <w:ind w:left="357" w:leftChars="170" w:right="-23" w:rightChars="-11"/>
        <w:jc w:val="center"/>
        <w:rPr>
          <w:rFonts w:hint="eastAsia" w:ascii="宋体" w:hAnsi="宋体" w:eastAsia="宋体" w:cs="宋体"/>
          <w:b/>
          <w:bCs/>
          <w:color w:val="auto"/>
          <w:kern w:val="0"/>
          <w:sz w:val="44"/>
          <w:szCs w:val="44"/>
          <w:highlight w:val="none"/>
          <w:lang w:val="zh-CN"/>
        </w:rPr>
      </w:pPr>
    </w:p>
    <w:p w14:paraId="0C2F0A06">
      <w:pPr>
        <w:autoSpaceDE w:val="0"/>
        <w:autoSpaceDN w:val="0"/>
        <w:adjustRightInd w:val="0"/>
        <w:ind w:right="-23" w:rightChars="-11"/>
        <w:jc w:val="left"/>
        <w:rPr>
          <w:rFonts w:hint="eastAsia" w:ascii="宋体" w:hAnsi="宋体" w:eastAsia="宋体" w:cs="宋体"/>
          <w:b/>
          <w:bCs/>
          <w:color w:val="auto"/>
          <w:sz w:val="44"/>
          <w:szCs w:val="44"/>
          <w:highlight w:val="none"/>
          <w:lang w:val="zh-CN"/>
        </w:rPr>
      </w:pPr>
    </w:p>
    <w:p w14:paraId="724D7A64">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p>
    <w:p w14:paraId="65BFF341">
      <w:pPr>
        <w:autoSpaceDE w:val="0"/>
        <w:autoSpaceDN w:val="0"/>
        <w:adjustRightInd w:val="0"/>
        <w:ind w:right="-23" w:rightChars="-11"/>
        <w:jc w:val="center"/>
        <w:rPr>
          <w:rFonts w:hint="eastAsia" w:ascii="宋体" w:hAnsi="宋体" w:eastAsia="宋体" w:cs="宋体"/>
          <w:b/>
          <w:bCs/>
          <w:color w:val="auto"/>
          <w:sz w:val="72"/>
          <w:szCs w:val="72"/>
          <w:highlight w:val="none"/>
          <w:lang w:val="zh-CN"/>
        </w:rPr>
      </w:pPr>
      <w:r>
        <w:rPr>
          <w:rFonts w:hint="eastAsia" w:ascii="宋体" w:hAnsi="宋体" w:eastAsia="宋体" w:cs="宋体"/>
          <w:b/>
          <w:bCs/>
          <w:color w:val="auto"/>
          <w:sz w:val="72"/>
          <w:szCs w:val="72"/>
          <w:highlight w:val="none"/>
          <w:lang w:val="zh-CN"/>
        </w:rPr>
        <w:t>招</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文</w:t>
      </w:r>
      <w:r>
        <w:rPr>
          <w:rFonts w:hint="eastAsia" w:ascii="宋体" w:hAnsi="宋体" w:eastAsia="宋体" w:cs="宋体"/>
          <w:b/>
          <w:bCs/>
          <w:color w:val="auto"/>
          <w:sz w:val="72"/>
          <w:szCs w:val="72"/>
          <w:highlight w:val="none"/>
        </w:rPr>
        <w:t xml:space="preserve"> </w:t>
      </w:r>
      <w:r>
        <w:rPr>
          <w:rFonts w:hint="eastAsia" w:ascii="宋体" w:hAnsi="宋体" w:eastAsia="宋体" w:cs="宋体"/>
          <w:b/>
          <w:bCs/>
          <w:color w:val="auto"/>
          <w:sz w:val="72"/>
          <w:szCs w:val="72"/>
          <w:highlight w:val="none"/>
          <w:lang w:val="zh-CN"/>
        </w:rPr>
        <w:t>件</w:t>
      </w:r>
    </w:p>
    <w:p w14:paraId="620DE68F">
      <w:pPr>
        <w:autoSpaceDE w:val="0"/>
        <w:autoSpaceDN w:val="0"/>
        <w:adjustRightInd w:val="0"/>
        <w:ind w:right="-23" w:rightChars="-11"/>
        <w:jc w:val="center"/>
        <w:rPr>
          <w:rFonts w:hint="eastAsia" w:ascii="宋体" w:hAnsi="宋体" w:eastAsia="宋体" w:cs="宋体"/>
          <w:b/>
          <w:bCs/>
          <w:color w:val="auto"/>
          <w:sz w:val="32"/>
          <w:szCs w:val="32"/>
          <w:highlight w:val="none"/>
          <w:lang w:val="zh-CN"/>
        </w:rPr>
      </w:pPr>
    </w:p>
    <w:p w14:paraId="42D706E0">
      <w:pPr>
        <w:autoSpaceDE w:val="0"/>
        <w:autoSpaceDN w:val="0"/>
        <w:adjustRightInd w:val="0"/>
        <w:ind w:right="-23" w:rightChars="-11"/>
        <w:jc w:val="center"/>
        <w:rPr>
          <w:rFonts w:hint="eastAsia" w:ascii="宋体" w:hAnsi="宋体" w:eastAsia="宋体" w:cs="宋体"/>
          <w:b/>
          <w:bCs/>
          <w:color w:val="auto"/>
          <w:sz w:val="44"/>
          <w:szCs w:val="44"/>
          <w:highlight w:val="none"/>
          <w:lang w:val="zh-CN"/>
        </w:rPr>
      </w:pPr>
    </w:p>
    <w:p w14:paraId="3F248503">
      <w:pPr>
        <w:autoSpaceDE w:val="0"/>
        <w:autoSpaceDN w:val="0"/>
        <w:adjustRightInd w:val="0"/>
        <w:ind w:right="-23" w:rightChars="-11"/>
        <w:jc w:val="left"/>
        <w:rPr>
          <w:rFonts w:hint="eastAsia" w:ascii="宋体" w:hAnsi="宋体" w:eastAsia="宋体" w:cs="宋体"/>
          <w:b/>
          <w:bCs/>
          <w:color w:val="auto"/>
          <w:sz w:val="32"/>
          <w:szCs w:val="32"/>
          <w:highlight w:val="none"/>
          <w:u w:val="single"/>
          <w:lang w:val="zh-CN"/>
        </w:rPr>
      </w:pPr>
    </w:p>
    <w:p w14:paraId="4023B0D7">
      <w:pPr>
        <w:tabs>
          <w:tab w:val="left" w:pos="9240"/>
        </w:tabs>
        <w:autoSpaceDE w:val="0"/>
        <w:autoSpaceDN w:val="0"/>
        <w:adjustRightInd w:val="0"/>
        <w:spacing w:line="700" w:lineRule="exact"/>
        <w:ind w:right="-23" w:rightChars="-11"/>
        <w:jc w:val="left"/>
        <w:rPr>
          <w:rFonts w:hint="eastAsia" w:ascii="宋体" w:hAnsi="宋体" w:eastAsia="宋体" w:cs="宋体"/>
          <w:b/>
          <w:bCs/>
          <w:color w:val="auto"/>
          <w:sz w:val="32"/>
          <w:szCs w:val="32"/>
          <w:highlight w:val="none"/>
          <w:lang w:val="zh-CN"/>
        </w:rPr>
      </w:pPr>
    </w:p>
    <w:p w14:paraId="743F0524">
      <w:pPr>
        <w:autoSpaceDE w:val="0"/>
        <w:autoSpaceDN w:val="0"/>
        <w:adjustRightInd w:val="0"/>
        <w:spacing w:line="480" w:lineRule="auto"/>
        <w:ind w:left="1841" w:leftChars="600" w:hanging="581" w:hangingChars="181"/>
        <w:jc w:val="left"/>
        <w:rPr>
          <w:rFonts w:hint="default" w:ascii="宋体" w:hAnsi="宋体" w:eastAsia="宋体" w:cs="宋体"/>
          <w:b/>
          <w:bCs/>
          <w:color w:val="auto"/>
          <w:sz w:val="32"/>
          <w:szCs w:val="32"/>
          <w:highlight w:val="none"/>
          <w:lang w:val="en-US" w:eastAsia="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编</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号：SSSSSZ12600026</w:t>
      </w:r>
    </w:p>
    <w:p w14:paraId="0A8146E9">
      <w:pPr>
        <w:autoSpaceDE w:val="0"/>
        <w:autoSpaceDN w:val="0"/>
        <w:adjustRightInd w:val="0"/>
        <w:spacing w:line="480" w:lineRule="auto"/>
        <w:ind w:left="1841" w:leftChars="600" w:hanging="581" w:hangingChars="181"/>
        <w:jc w:val="left"/>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招</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标</w:t>
      </w:r>
      <w:r>
        <w:rPr>
          <w:rFonts w:hint="eastAsia" w:ascii="宋体" w:hAnsi="宋体" w:eastAsia="宋体" w:cs="宋体"/>
          <w:b/>
          <w:bCs/>
          <w:color w:val="auto"/>
          <w:sz w:val="32"/>
          <w:szCs w:val="32"/>
          <w:highlight w:val="none"/>
        </w:rPr>
        <w:t xml:space="preserve"> </w:t>
      </w:r>
      <w:r>
        <w:rPr>
          <w:rFonts w:hint="eastAsia" w:ascii="宋体" w:hAnsi="宋体" w:eastAsia="宋体" w:cs="宋体"/>
          <w:b/>
          <w:bCs/>
          <w:color w:val="auto"/>
          <w:sz w:val="32"/>
          <w:szCs w:val="32"/>
          <w:highlight w:val="none"/>
          <w:lang w:val="zh-CN"/>
        </w:rPr>
        <w:t>人：东莞市水务环境投资控股集团供水有限公司</w:t>
      </w:r>
    </w:p>
    <w:p w14:paraId="2E7F97AF">
      <w:pPr>
        <w:autoSpaceDE w:val="0"/>
        <w:autoSpaceDN w:val="0"/>
        <w:adjustRightInd w:val="0"/>
        <w:spacing w:line="480" w:lineRule="auto"/>
        <w:ind w:left="1841" w:leftChars="600" w:right="0" w:rightChars="0" w:hanging="581" w:hangingChars="181"/>
        <w:jc w:val="left"/>
        <w:rPr>
          <w:rFonts w:hint="eastAsia" w:ascii="宋体" w:hAnsi="宋体" w:eastAsia="宋体" w:cs="宋体"/>
          <w:b/>
          <w:bCs/>
          <w:color w:val="auto"/>
          <w:kern w:val="0"/>
          <w:sz w:val="84"/>
          <w:szCs w:val="84"/>
          <w:highlight w:val="none"/>
          <w:lang w:val="zh-CN"/>
        </w:rPr>
      </w:pPr>
      <w:r>
        <w:rPr>
          <w:rFonts w:hint="eastAsia" w:ascii="宋体" w:hAnsi="宋体" w:eastAsia="宋体" w:cs="宋体"/>
          <w:b/>
          <w:bCs/>
          <w:color w:val="auto"/>
          <w:sz w:val="32"/>
          <w:szCs w:val="32"/>
          <w:highlight w:val="none"/>
          <w:lang w:val="zh-CN"/>
        </w:rPr>
        <w:t>招标代理机构：广州宏达工程顾问集团有限公司</w:t>
      </w:r>
    </w:p>
    <w:p w14:paraId="47179321">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en-US" w:eastAsia="zh-CN"/>
        </w:rPr>
      </w:pPr>
    </w:p>
    <w:p w14:paraId="6D03564F">
      <w:pPr>
        <w:autoSpaceDE w:val="0"/>
        <w:autoSpaceDN w:val="0"/>
        <w:adjustRightInd w:val="0"/>
        <w:spacing w:line="360" w:lineRule="auto"/>
        <w:ind w:left="357" w:leftChars="170" w:right="-23" w:rightChars="-11" w:firstLine="321" w:firstLineChars="100"/>
        <w:jc w:val="cente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en-US" w:eastAsia="zh-CN"/>
        </w:rPr>
        <w:t>2026</w:t>
      </w:r>
      <w:r>
        <w:rPr>
          <w:rFonts w:hint="eastAsia" w:ascii="宋体" w:hAnsi="宋体" w:eastAsia="宋体" w:cs="宋体"/>
          <w:b/>
          <w:bCs/>
          <w:color w:val="auto"/>
          <w:sz w:val="32"/>
          <w:szCs w:val="32"/>
          <w:highlight w:val="none"/>
          <w:lang w:val="zh-CN"/>
        </w:rPr>
        <w:t>年</w:t>
      </w:r>
      <w:r>
        <w:rPr>
          <w:rFonts w:hint="eastAsia" w:ascii="宋体" w:hAnsi="宋体" w:eastAsia="宋体" w:cs="宋体"/>
          <w:b/>
          <w:bCs/>
          <w:color w:val="auto"/>
          <w:sz w:val="32"/>
          <w:szCs w:val="32"/>
          <w:highlight w:val="none"/>
          <w:lang w:val="en-US" w:eastAsia="zh-CN"/>
        </w:rPr>
        <w:t>01</w:t>
      </w:r>
      <w:r>
        <w:rPr>
          <w:rFonts w:hint="eastAsia" w:ascii="宋体" w:hAnsi="宋体" w:eastAsia="宋体" w:cs="宋体"/>
          <w:b/>
          <w:bCs/>
          <w:color w:val="auto"/>
          <w:sz w:val="32"/>
          <w:szCs w:val="32"/>
          <w:highlight w:val="none"/>
          <w:lang w:val="zh-CN"/>
        </w:rPr>
        <w:t>月</w:t>
      </w:r>
      <w:r>
        <w:rPr>
          <w:rFonts w:hint="eastAsia" w:ascii="宋体" w:hAnsi="宋体" w:eastAsia="宋体" w:cs="宋体"/>
          <w:b/>
          <w:bCs/>
          <w:color w:val="auto"/>
          <w:sz w:val="32"/>
          <w:szCs w:val="32"/>
          <w:highlight w:val="none"/>
          <w:lang w:val="en-US" w:eastAsia="zh-CN"/>
        </w:rPr>
        <w:t>08</w:t>
      </w:r>
      <w:r>
        <w:rPr>
          <w:rFonts w:hint="eastAsia" w:ascii="宋体" w:hAnsi="宋体" w:eastAsia="宋体" w:cs="宋体"/>
          <w:b/>
          <w:bCs/>
          <w:color w:val="auto"/>
          <w:sz w:val="32"/>
          <w:szCs w:val="32"/>
          <w:highlight w:val="none"/>
          <w:lang w:val="zh-CN"/>
        </w:rPr>
        <w:t>日</w:t>
      </w:r>
    </w:p>
    <w:p w14:paraId="0F6AE0BD">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E62E586">
      <w:pPr>
        <w:pageBreakBefore/>
        <w:spacing w:line="360" w:lineRule="auto"/>
        <w:jc w:val="center"/>
        <w:outlineLvl w:val="9"/>
        <w:rPr>
          <w:rFonts w:hint="eastAsia" w:ascii="宋体" w:hAnsi="宋体" w:eastAsia="宋体" w:cs="宋体"/>
          <w:b/>
          <w:color w:val="auto"/>
          <w:sz w:val="36"/>
          <w:szCs w:val="36"/>
          <w:highlight w:val="none"/>
        </w:rPr>
      </w:pPr>
      <w:bookmarkStart w:id="0" w:name="_Toc7755"/>
      <w:bookmarkStart w:id="1" w:name="_Toc16773"/>
      <w:r>
        <w:rPr>
          <w:rFonts w:hint="eastAsia" w:ascii="宋体" w:hAnsi="宋体" w:eastAsia="宋体" w:cs="宋体"/>
          <w:b/>
          <w:color w:val="auto"/>
          <w:sz w:val="36"/>
          <w:szCs w:val="36"/>
          <w:highlight w:val="none"/>
          <w:lang w:bidi="ar"/>
        </w:rPr>
        <w:t>重要提示</w:t>
      </w:r>
      <w:bookmarkEnd w:id="0"/>
      <w:bookmarkEnd w:id="1"/>
    </w:p>
    <w:p w14:paraId="3F89F898">
      <w:pPr>
        <w:pStyle w:val="33"/>
        <w:widowControl w:val="0"/>
        <w:spacing w:before="0" w:beforeAutospacing="0" w:after="0" w:afterAutospacing="0" w:line="360" w:lineRule="auto"/>
        <w:ind w:firstLine="480" w:firstLineChars="200"/>
        <w:jc w:val="both"/>
        <w:outlineLvl w:val="9"/>
        <w:rPr>
          <w:rFonts w:hint="eastAsia" w:ascii="宋体" w:hAnsi="宋体" w:eastAsia="宋体" w:cs="宋体"/>
          <w:color w:val="auto"/>
          <w:sz w:val="24"/>
          <w:szCs w:val="24"/>
          <w:highlight w:val="none"/>
          <w:lang w:bidi="ar"/>
        </w:rPr>
      </w:pPr>
      <w:bookmarkStart w:id="2" w:name="_Toc22951"/>
      <w:bookmarkStart w:id="3" w:name="_Toc12698"/>
      <w:r>
        <w:rPr>
          <w:rFonts w:hint="eastAsia" w:ascii="宋体" w:hAnsi="宋体" w:eastAsia="宋体" w:cs="宋体"/>
          <w:color w:val="auto"/>
          <w:sz w:val="24"/>
          <w:szCs w:val="24"/>
          <w:highlight w:val="none"/>
          <w:lang w:bidi="ar"/>
        </w:rPr>
        <w:t>1.本次招标项目采用电子标书。</w:t>
      </w:r>
      <w:bookmarkEnd w:id="2"/>
      <w:bookmarkEnd w:id="3"/>
    </w:p>
    <w:p w14:paraId="0D75FAB0">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2.投标人将被要求递交具备法律效力的电子投标文件。为此，投标人应当具备使用依法设立的电子认证服务提供者签发的电子签名认证证书对电子投标文件进行电子签名的能力。投标人可向依法设立的电子认证服务提供者申请办理电子签名认证证书（简称：数字证书，包括企业数字证书和个人数字证书）。</w:t>
      </w:r>
    </w:p>
    <w:p w14:paraId="3A35DFAF">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3.除特别说明外，招标文件相关条款中提及的以及第六篇“投标文件格式”中包括但不限于“企业数字证书电子签名”及“电子签名”等要求签名的均指由数字证书电子签章或电子签名。</w:t>
      </w:r>
    </w:p>
    <w:p w14:paraId="3AC0B298">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4.投标人必须使用计算机互联网络（以下简称网络）将投标文件以jjb格式上传提交至东莞市公共资源交易E网通管理平台建设工程交易系统（以下简称交易系统），并在网上签到时，关联到对应的投标项目中。</w:t>
      </w:r>
    </w:p>
    <w:p w14:paraId="25C86F93">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5.投标人在交易系统中对投标文件进行解密的电子签名认证证书必须为机构证书或制作本项目投标文件的业务证书。</w:t>
      </w:r>
    </w:p>
    <w:p w14:paraId="26C35FAB">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6.投标人应及时提交投标文件，如在投标文件截止时间前因网络等任何原因未能成功上传投标文件，相关后果由投标人自行承担。</w:t>
      </w:r>
    </w:p>
    <w:p w14:paraId="6F9D5C2D">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7.投标人上传投标文件时，需设置投标文件查询密码（用于查询投标文件递交情况、撤销投标文件及签到时匹配对应的招标文件）。成功上传投标文件后，交易系统将自动随机生成投标文件识别码。识别码是交易系统确认投标人提交投标文件的唯一凭证，投标人须妥善保管。识别码丢失后，投标人将无法找回投标文件，需重新上传提交。</w:t>
      </w:r>
    </w:p>
    <w:p w14:paraId="45C72113">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8.如未在投标文件递交截止时间前匹配对应的投标文件，视为投标人未提交。本招标文件中签到、投标文件匹配、投标保证金关联等时间均以东莞市公共资源交易E网通管理平台时间为准。</w:t>
      </w:r>
    </w:p>
    <w:p w14:paraId="21D75FFE">
      <w:pPr>
        <w:pStyle w:val="33"/>
        <w:widowControl w:val="0"/>
        <w:spacing w:before="0" w:beforeAutospacing="0" w:after="0" w:afterAutospacing="0" w:line="360" w:lineRule="auto"/>
        <w:ind w:firstLine="480" w:firstLineChars="200"/>
        <w:jc w:val="both"/>
        <w:rPr>
          <w:rFonts w:hint="eastAsia" w:ascii="宋体" w:hAnsi="宋体" w:eastAsia="宋体" w:cs="宋体"/>
          <w:color w:val="auto"/>
          <w:sz w:val="24"/>
          <w:szCs w:val="24"/>
          <w:highlight w:val="none"/>
          <w:lang w:bidi="ar"/>
        </w:rPr>
      </w:pPr>
      <w:r>
        <w:rPr>
          <w:rFonts w:hint="eastAsia" w:ascii="宋体" w:hAnsi="宋体" w:eastAsia="宋体" w:cs="宋体"/>
          <w:color w:val="auto"/>
          <w:sz w:val="24"/>
          <w:szCs w:val="24"/>
          <w:highlight w:val="none"/>
          <w:lang w:bidi="ar"/>
        </w:rPr>
        <w:t>9.本招标项目在全国公共资源交易平台（广东省·东莞市）（https://ygp.gdzwfw.gov.cn/#/441900/index）等媒体发布招标公告，本项目招标公告及招标文件的修改、补充在全国公共资源交易平台（广东省·东莞市）发布。发布内容在其他媒体发布的文本如有不同之处，以在全国公共资源交易平台（广东省·东莞市）发布的文本为准。</w:t>
      </w:r>
    </w:p>
    <w:p w14:paraId="3C929EC9">
      <w:pPr>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br w:type="page"/>
      </w:r>
    </w:p>
    <w:p w14:paraId="7EFDB0FB">
      <w:pPr>
        <w:keepNext w:val="0"/>
        <w:keepLines w:val="0"/>
        <w:pageBreakBefore w:val="0"/>
        <w:widowControl w:val="0"/>
        <w:kinsoku/>
        <w:wordWrap/>
        <w:overflowPunct/>
        <w:topLinePunct w:val="0"/>
        <w:autoSpaceDE/>
        <w:autoSpaceDN/>
        <w:bidi w:val="0"/>
        <w:adjustRightInd/>
        <w:snapToGrid/>
        <w:spacing w:before="0" w:beforeLines="0" w:after="0" w:afterLines="0" w:line="360" w:lineRule="auto"/>
        <w:ind w:left="0" w:leftChars="0" w:right="0" w:rightChars="0" w:firstLine="0" w:firstLineChars="0"/>
        <w:jc w:val="center"/>
        <w:textAlignment w:val="auto"/>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目</w:t>
      </w:r>
      <w:r>
        <w:rPr>
          <w:rFonts w:hint="eastAsia" w:ascii="宋体" w:hAnsi="宋体" w:eastAsia="宋体" w:cs="宋体"/>
          <w:b/>
          <w:bCs/>
          <w:color w:val="auto"/>
          <w:sz w:val="24"/>
          <w:szCs w:val="24"/>
          <w:highlight w:val="none"/>
          <w:lang w:val="en-US" w:eastAsia="zh-CN"/>
        </w:rPr>
        <w:t xml:space="preserve">  </w:t>
      </w:r>
      <w:r>
        <w:rPr>
          <w:rFonts w:hint="eastAsia" w:ascii="宋体" w:hAnsi="宋体" w:eastAsia="宋体" w:cs="宋体"/>
          <w:b/>
          <w:bCs/>
          <w:color w:val="auto"/>
          <w:sz w:val="24"/>
          <w:szCs w:val="24"/>
          <w:highlight w:val="none"/>
        </w:rPr>
        <w:t>录</w:t>
      </w:r>
    </w:p>
    <w:p w14:paraId="1F1EC79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TOC \o "1-3" \h \u </w:instrText>
      </w:r>
      <w:r>
        <w:rPr>
          <w:rFonts w:hint="eastAsia" w:ascii="宋体" w:hAnsi="宋体" w:eastAsia="宋体" w:cs="宋体"/>
          <w:color w:val="auto"/>
          <w:highlight w:val="none"/>
        </w:rPr>
        <w:fldChar w:fldCharType="separate"/>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_Toc11860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第一篇 招标公告</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_Toc11860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5</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584DED9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_Toc15359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第二篇</w:t>
      </w:r>
      <w:r>
        <w:rPr>
          <w:rFonts w:hint="eastAsia" w:ascii="宋体" w:hAnsi="宋体" w:eastAsia="宋体" w:cs="宋体"/>
          <w:b/>
          <w:bCs/>
          <w:color w:val="auto"/>
          <w:kern w:val="44"/>
          <w:szCs w:val="32"/>
          <w:highlight w:val="none"/>
        </w:rPr>
        <w:t xml:space="preserve"> </w:t>
      </w:r>
      <w:r>
        <w:rPr>
          <w:rFonts w:hint="eastAsia" w:ascii="宋体" w:hAnsi="宋体" w:eastAsia="宋体" w:cs="宋体"/>
          <w:b/>
          <w:bCs/>
          <w:color w:val="auto"/>
          <w:kern w:val="44"/>
          <w:szCs w:val="32"/>
          <w:highlight w:val="none"/>
          <w:lang w:val="zh-CN"/>
        </w:rPr>
        <w:t>投标人须知</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_Toc15359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3623C6A">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_Toc14832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一、总则</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_Toc14832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8D7A4B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_Toc16288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1 资金来源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_Toc16288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AC914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_Toc31095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2 合格的投标人</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_Toc31095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3E5A0B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_Toc20209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3 合格的</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516258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_Toc23153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4 其它说明</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_Toc23153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229A748">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_Toc5462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二、招标文件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_Toc5462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9</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45AF7FF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_Toc2283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5 招标文件的构成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_Toc2283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90AB7C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_Toc19474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6 招标文件的异议</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_Toc19474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C451B1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_Toc18648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7 招标文件的澄清及修改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_Toc18648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84C807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_Toc24583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三、投标文件的编制</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_Toc24583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671230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_Toc4453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8 投标使用的文字及度量衡单位</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_Toc4453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BC62F1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_Toc31286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9 投标文件的组成</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_Toc31286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52D266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_Toc17386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10 投标函</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_Toc17386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5AF4B1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_Toc7391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11 投标报价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_Toc7391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73A249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_Toc7573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12 投标报价货币</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_Toc7573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A5638B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_Toc9955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13 证明投标人的合格性和资格的声明文件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_Toc9955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253DE7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_Toc7708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14 证明服务的合格性并符合招标文件规定的声明文件</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_Toc7708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30A4E99">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_Toc7860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15 投标保证金</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_Toc7860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14</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AC52C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_Toc24580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16 投标有效期</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_Toc24580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9945D2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_Toc16430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17 投标文件的编制和签署</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_Toc16430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849F40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_Toc7829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四、投标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_Toc7829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CF6713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_Toc22475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18 投标文件的加密</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_Toc22475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69695F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_Toc32766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19 投标文件的提交</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_Toc32766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17</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DC45D9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_Toc10027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20 投标会时间、地点及投标文件提交的截止时间</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_Toc10027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EA9618D">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_Toc20231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21 投标文件的拒绝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_Toc20231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D04B4B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_Toc1676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2 </w:t>
      </w:r>
      <w:r>
        <w:rPr>
          <w:rFonts w:hint="eastAsia" w:ascii="宋体" w:hAnsi="宋体" w:eastAsia="宋体" w:cs="宋体"/>
          <w:color w:val="auto"/>
          <w:highlight w:val="none"/>
          <w:lang w:val="zh-CN"/>
        </w:rPr>
        <w:t>投标文件的补充、修改与撤回</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_Toc1676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707458CD">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_Toc29729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五、开标与评标</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_Toc29729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07BC142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_Toc19111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 xml:space="preserve">3 </w:t>
      </w:r>
      <w:r>
        <w:rPr>
          <w:rFonts w:hint="eastAsia" w:ascii="宋体" w:hAnsi="宋体" w:eastAsia="宋体" w:cs="宋体"/>
          <w:color w:val="auto"/>
          <w:highlight w:val="none"/>
          <w:lang w:val="zh-CN"/>
        </w:rPr>
        <w:t>开标</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_Toc19111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18</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83254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_Toc5684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24</w:t>
      </w:r>
      <w:r>
        <w:rPr>
          <w:rFonts w:hint="eastAsia" w:ascii="宋体" w:hAnsi="宋体" w:eastAsia="宋体" w:cs="宋体"/>
          <w:color w:val="auto"/>
          <w:highlight w:val="none"/>
          <w:lang w:val="zh-CN"/>
        </w:rPr>
        <w:t xml:space="preserve"> </w:t>
      </w:r>
      <w:r>
        <w:rPr>
          <w:rFonts w:hint="eastAsia" w:ascii="宋体" w:hAnsi="宋体" w:eastAsia="宋体" w:cs="宋体"/>
          <w:color w:val="auto"/>
          <w:highlight w:val="none"/>
        </w:rPr>
        <w:t>评标过程的保密性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_Toc5684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FC54DC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_Toc32615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lang w:val="zh-CN"/>
        </w:rPr>
        <w:t xml:space="preserve"> 评标委员会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_Toc32615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A491DA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_Toc29870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26</w:t>
      </w:r>
      <w:r>
        <w:rPr>
          <w:rFonts w:hint="eastAsia" w:ascii="宋体" w:hAnsi="宋体" w:eastAsia="宋体" w:cs="宋体"/>
          <w:color w:val="auto"/>
          <w:highlight w:val="none"/>
        </w:rPr>
        <w:t xml:space="preserve"> </w:t>
      </w:r>
      <w:r>
        <w:rPr>
          <w:rFonts w:hint="eastAsia" w:ascii="宋体" w:hAnsi="宋体" w:eastAsia="宋体" w:cs="宋体"/>
          <w:color w:val="auto"/>
          <w:highlight w:val="none"/>
          <w:lang w:val="zh-CN"/>
        </w:rPr>
        <w:t>投标文件的有效性</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_Toc29870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19</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175FB187">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_Toc22266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7</w:t>
      </w:r>
      <w:r>
        <w:rPr>
          <w:rFonts w:hint="eastAsia" w:ascii="宋体" w:hAnsi="宋体" w:eastAsia="宋体" w:cs="宋体"/>
          <w:color w:val="auto"/>
          <w:highlight w:val="none"/>
          <w:lang w:val="zh-CN"/>
        </w:rPr>
        <w:t xml:space="preserve"> 投标文件的初审</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_Toc22266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25E6FF">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_Toc14701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8</w:t>
      </w:r>
      <w:r>
        <w:rPr>
          <w:rFonts w:hint="eastAsia" w:ascii="宋体" w:hAnsi="宋体" w:eastAsia="宋体" w:cs="宋体"/>
          <w:color w:val="auto"/>
          <w:highlight w:val="none"/>
          <w:lang w:val="zh-CN"/>
        </w:rPr>
        <w:t xml:space="preserve"> 投标文件的澄清</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_Toc14701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05CAEC">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_Toc6675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lang w:val="zh-CN"/>
        </w:rPr>
        <w:t>2</w:t>
      </w:r>
      <w:r>
        <w:rPr>
          <w:rFonts w:hint="eastAsia" w:ascii="宋体" w:hAnsi="宋体" w:eastAsia="宋体" w:cs="宋体"/>
          <w:color w:val="auto"/>
          <w:highlight w:val="none"/>
        </w:rPr>
        <w:t>9</w:t>
      </w:r>
      <w:r>
        <w:rPr>
          <w:rFonts w:hint="eastAsia" w:ascii="宋体" w:hAnsi="宋体" w:eastAsia="宋体" w:cs="宋体"/>
          <w:color w:val="auto"/>
          <w:highlight w:val="none"/>
          <w:lang w:val="zh-CN"/>
        </w:rPr>
        <w:t xml:space="preserve"> 对投标文件的比较和评价</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_Toc6675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1C1D4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_Toc16591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30</w:t>
      </w:r>
      <w:r>
        <w:rPr>
          <w:rFonts w:hint="eastAsia" w:ascii="宋体" w:hAnsi="宋体" w:eastAsia="宋体" w:cs="宋体"/>
          <w:color w:val="auto"/>
          <w:highlight w:val="none"/>
          <w:lang w:val="zh-CN"/>
        </w:rPr>
        <w:t xml:space="preserve"> 评标原则及方法</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_Toc16591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20</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9A06475">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fldChar w:fldCharType="begin"/>
      </w:r>
      <w:r>
        <w:rPr>
          <w:rFonts w:hint="eastAsia" w:ascii="宋体" w:hAnsi="宋体" w:eastAsia="宋体" w:cs="宋体"/>
          <w:color w:val="auto"/>
          <w:highlight w:val="none"/>
          <w:lang w:val="zh-CN"/>
        </w:rPr>
        <w:instrText xml:space="preserve"> HYPERLINK \l _Toc15343 </w:instrText>
      </w:r>
      <w:r>
        <w:rPr>
          <w:rFonts w:hint="eastAsia" w:ascii="宋体" w:hAnsi="宋体" w:eastAsia="宋体" w:cs="宋体"/>
          <w:color w:val="auto"/>
          <w:highlight w:val="none"/>
          <w:lang w:val="zh-CN"/>
        </w:rPr>
        <w:fldChar w:fldCharType="separate"/>
      </w:r>
      <w:r>
        <w:rPr>
          <w:rFonts w:hint="eastAsia" w:ascii="宋体" w:hAnsi="宋体" w:eastAsia="宋体" w:cs="宋体"/>
          <w:color w:val="auto"/>
          <w:highlight w:val="none"/>
          <w:lang w:val="zh-CN"/>
        </w:rPr>
        <w:t>31 评标结果公示及异议、投诉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_Toc15343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21</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0B501B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lang w:val="zh-CN"/>
        </w:rPr>
        <w:fldChar w:fldCharType="begin"/>
      </w:r>
      <w:r>
        <w:rPr>
          <w:rFonts w:hint="eastAsia" w:ascii="宋体" w:hAnsi="宋体" w:eastAsia="宋体" w:cs="宋体"/>
          <w:color w:val="auto"/>
          <w:highlight w:val="none"/>
          <w:lang w:val="zh-CN"/>
        </w:rPr>
        <w:instrText xml:space="preserve"> HYPERLINK \l _Toc30599 </w:instrText>
      </w:r>
      <w:r>
        <w:rPr>
          <w:rFonts w:hint="eastAsia" w:ascii="宋体" w:hAnsi="宋体" w:eastAsia="宋体" w:cs="宋体"/>
          <w:color w:val="auto"/>
          <w:highlight w:val="none"/>
          <w:lang w:val="zh-CN"/>
        </w:rPr>
        <w:fldChar w:fldCharType="separate"/>
      </w:r>
      <w:r>
        <w:rPr>
          <w:rFonts w:hint="eastAsia" w:ascii="宋体" w:hAnsi="宋体" w:eastAsia="宋体" w:cs="宋体"/>
          <w:color w:val="auto"/>
          <w:highlight w:val="none"/>
          <w:lang w:val="zh-CN"/>
        </w:rPr>
        <w:t>32 真实性审查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_Toc30599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2168674">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_Toc8903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33</w:t>
      </w:r>
      <w:r>
        <w:rPr>
          <w:rFonts w:hint="eastAsia" w:ascii="宋体" w:hAnsi="宋体" w:eastAsia="宋体" w:cs="宋体"/>
          <w:color w:val="auto"/>
          <w:highlight w:val="none"/>
          <w:lang w:val="zh-CN"/>
        </w:rPr>
        <w:t xml:space="preserve"> 评标委员会和招标人接受或拒绝任何投标或所有投标的权利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_Toc8903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BC69FDB">
      <w:pPr>
        <w:pStyle w:val="30"/>
        <w:keepNext w:val="0"/>
        <w:keepLines w:val="0"/>
        <w:pageBreakBefore w:val="0"/>
        <w:widowControl w:val="0"/>
        <w:tabs>
          <w:tab w:val="right" w:leader="dot" w:pos="10154"/>
        </w:tabs>
        <w:kinsoku/>
        <w:wordWrap/>
        <w:overflowPunct/>
        <w:topLinePunct w:val="0"/>
        <w:autoSpaceDE/>
        <w:autoSpaceDN/>
        <w:bidi w:val="0"/>
        <w:adjustRightInd/>
        <w:snapToGrid/>
        <w:spacing w:line="360" w:lineRule="auto"/>
        <w:ind w:left="0" w:leftChars="0" w:firstLine="0" w:firstLineChars="0"/>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_Toc32732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21"/>
          <w:highlight w:val="none"/>
          <w:lang w:val="zh-CN"/>
        </w:rPr>
        <w:t>六、授予合同</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_Toc32732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22</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750F3F70">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_Toc8531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34</w:t>
      </w:r>
      <w:r>
        <w:rPr>
          <w:rFonts w:hint="eastAsia" w:ascii="宋体" w:hAnsi="宋体" w:eastAsia="宋体" w:cs="宋体"/>
          <w:color w:val="auto"/>
          <w:highlight w:val="none"/>
          <w:lang w:val="zh-CN"/>
        </w:rPr>
        <w:t xml:space="preserve"> 授予合同的准则</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_Toc8531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22</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3B07082A">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_Toc21308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35</w:t>
      </w:r>
      <w:r>
        <w:rPr>
          <w:rFonts w:hint="eastAsia" w:ascii="宋体" w:hAnsi="宋体" w:eastAsia="宋体" w:cs="宋体"/>
          <w:color w:val="auto"/>
          <w:highlight w:val="none"/>
          <w:lang w:val="zh-CN"/>
        </w:rPr>
        <w:t xml:space="preserve"> 中标通知</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_Toc21308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DF6303E">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_Toc31041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36</w:t>
      </w:r>
      <w:r>
        <w:rPr>
          <w:rFonts w:hint="eastAsia" w:ascii="宋体" w:hAnsi="宋体" w:eastAsia="宋体" w:cs="宋体"/>
          <w:color w:val="auto"/>
          <w:highlight w:val="none"/>
          <w:lang w:val="zh-CN"/>
        </w:rPr>
        <w:t xml:space="preserve"> 签署合同</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_Toc31041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729C1D6">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_Toc6114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 xml:space="preserve">37 </w:t>
      </w:r>
      <w:r>
        <w:rPr>
          <w:rFonts w:hint="eastAsia" w:ascii="宋体" w:hAnsi="宋体" w:eastAsia="宋体" w:cs="宋体"/>
          <w:color w:val="auto"/>
          <w:highlight w:val="none"/>
          <w:lang w:val="zh-CN"/>
        </w:rPr>
        <w:t>履约担保</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_Toc6114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23</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11F6551">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_Toc11309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38</w:t>
      </w:r>
      <w:r>
        <w:rPr>
          <w:rFonts w:hint="eastAsia" w:ascii="宋体" w:hAnsi="宋体" w:eastAsia="宋体" w:cs="宋体"/>
          <w:color w:val="auto"/>
          <w:highlight w:val="none"/>
          <w:lang w:val="zh-CN"/>
        </w:rPr>
        <w:t xml:space="preserve"> 在合同履行中变更采购范围的权利</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_Toc11309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006417B3">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_Toc22944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39</w:t>
      </w:r>
      <w:r>
        <w:rPr>
          <w:rFonts w:hint="eastAsia" w:ascii="宋体" w:hAnsi="宋体" w:eastAsia="宋体" w:cs="宋体"/>
          <w:color w:val="auto"/>
          <w:highlight w:val="none"/>
          <w:lang w:val="zh-CN"/>
        </w:rPr>
        <w:t xml:space="preserve"> 中标服务费</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_Toc22944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56F8224B">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_Toc23317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40</w:t>
      </w:r>
      <w:r>
        <w:rPr>
          <w:rFonts w:hint="eastAsia" w:ascii="宋体" w:hAnsi="宋体" w:eastAsia="宋体" w:cs="宋体"/>
          <w:color w:val="auto"/>
          <w:highlight w:val="none"/>
          <w:lang w:val="zh-CN"/>
        </w:rPr>
        <w:t xml:space="preserve"> 发票</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_Toc23317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25</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6CA7E0D8">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_Toc5624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41 招标相关补充约定</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_Toc5624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2353B682">
      <w:pPr>
        <w:pStyle w:val="20"/>
        <w:keepNext w:val="0"/>
        <w:keepLines w:val="0"/>
        <w:pageBreakBefore w:val="0"/>
        <w:widowControl w:val="0"/>
        <w:tabs>
          <w:tab w:val="right" w:leader="dot" w:pos="10154"/>
          <w:tab w:val="clear" w:pos="10144"/>
        </w:tabs>
        <w:kinsoku/>
        <w:wordWrap/>
        <w:overflowPunct/>
        <w:topLinePunct w:val="0"/>
        <w:autoSpaceDE/>
        <w:autoSpaceDN/>
        <w:bidi w:val="0"/>
        <w:adjustRightInd/>
        <w:snapToGrid/>
        <w:spacing w:line="360" w:lineRule="auto"/>
        <w:ind w:left="840" w:leftChars="200" w:hanging="420" w:hangingChars="200"/>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\l _Toc20859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4</w:t>
      </w:r>
      <w:r>
        <w:rPr>
          <w:rFonts w:hint="eastAsia" w:ascii="宋体" w:hAnsi="宋体" w:eastAsia="宋体" w:cs="宋体"/>
          <w:color w:val="auto"/>
          <w:highlight w:val="none"/>
          <w:lang w:val="en-US" w:eastAsia="zh-CN"/>
        </w:rPr>
        <w:t>2</w:t>
      </w:r>
      <w:r>
        <w:rPr>
          <w:rFonts w:hint="eastAsia" w:ascii="宋体" w:hAnsi="宋体" w:eastAsia="宋体" w:cs="宋体"/>
          <w:color w:val="auto"/>
          <w:highlight w:val="none"/>
        </w:rPr>
        <w:t xml:space="preserve"> 本次招标活动的最终解释权归招标代理机构及招标人所有。</w:t>
      </w:r>
      <w:r>
        <w:rPr>
          <w:rFonts w:hint="eastAsia" w:ascii="宋体" w:hAnsi="宋体" w:eastAsia="宋体" w:cs="宋体"/>
          <w:color w:val="auto"/>
          <w:highlight w:val="none"/>
        </w:rPr>
        <w:tab/>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PAGEREF _Toc20859 \h </w:instrText>
      </w:r>
      <w:r>
        <w:rPr>
          <w:rFonts w:hint="eastAsia" w:ascii="宋体" w:hAnsi="宋体" w:eastAsia="宋体" w:cs="宋体"/>
          <w:color w:val="auto"/>
          <w:highlight w:val="none"/>
        </w:rPr>
        <w:fldChar w:fldCharType="separate"/>
      </w:r>
      <w:r>
        <w:rPr>
          <w:rFonts w:hint="eastAsia" w:ascii="宋体" w:hAnsi="宋体" w:eastAsia="宋体" w:cs="宋体"/>
          <w:color w:val="auto"/>
          <w:highlight w:val="none"/>
        </w:rPr>
        <w:t>26</w:t>
      </w:r>
      <w:r>
        <w:rPr>
          <w:rFonts w:hint="eastAsia" w:ascii="宋体" w:hAnsi="宋体" w:eastAsia="宋体" w:cs="宋体"/>
          <w:color w:val="auto"/>
          <w:highlight w:val="none"/>
        </w:rPr>
        <w:fldChar w:fldCharType="end"/>
      </w:r>
      <w:r>
        <w:rPr>
          <w:rFonts w:hint="eastAsia" w:ascii="宋体" w:hAnsi="宋体" w:eastAsia="宋体" w:cs="宋体"/>
          <w:color w:val="auto"/>
          <w:highlight w:val="none"/>
        </w:rPr>
        <w:fldChar w:fldCharType="end"/>
      </w:r>
    </w:p>
    <w:p w14:paraId="45A5CC71">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_Toc7329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第三篇 用户需求书</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_Toc7329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27</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24C96D80">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_Toc15247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第四篇 合同条款格式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_Toc15247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04A1B22">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_Toc12626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szCs w:val="32"/>
          <w:highlight w:val="none"/>
          <w:lang w:val="zh-CN"/>
        </w:rPr>
        <w:t>第五篇 相关保函格式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_Toc12626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61</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5718094">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b/>
          <w:bCs/>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_Toc25246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第六篇 投标文件格式</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_Toc25246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124</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375994D3">
      <w:pPr>
        <w:pStyle w:val="27"/>
        <w:keepNext w:val="0"/>
        <w:keepLines w:val="0"/>
        <w:pageBreakBefore w:val="0"/>
        <w:widowControl w:val="0"/>
        <w:tabs>
          <w:tab w:val="right" w:leader="dot" w:pos="10154"/>
        </w:tabs>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HYPERLINK \l _Toc22667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kern w:val="44"/>
          <w:szCs w:val="32"/>
          <w:highlight w:val="none"/>
          <w:lang w:val="zh-CN"/>
        </w:rPr>
        <w:t>附件一：评标工作大纲</w:t>
      </w:r>
      <w:r>
        <w:rPr>
          <w:rFonts w:hint="eastAsia" w:ascii="宋体" w:hAnsi="宋体" w:eastAsia="宋体" w:cs="宋体"/>
          <w:b/>
          <w:bCs/>
          <w:color w:val="auto"/>
          <w:highlight w:val="none"/>
        </w:rPr>
        <w:tab/>
      </w:r>
      <w:r>
        <w:rPr>
          <w:rFonts w:hint="eastAsia" w:ascii="宋体" w:hAnsi="宋体" w:eastAsia="宋体" w:cs="宋体"/>
          <w:b/>
          <w:bCs/>
          <w:color w:val="auto"/>
          <w:highlight w:val="none"/>
        </w:rPr>
        <w:fldChar w:fldCharType="begin"/>
      </w:r>
      <w:r>
        <w:rPr>
          <w:rFonts w:hint="eastAsia" w:ascii="宋体" w:hAnsi="宋体" w:eastAsia="宋体" w:cs="宋体"/>
          <w:b/>
          <w:bCs/>
          <w:color w:val="auto"/>
          <w:highlight w:val="none"/>
        </w:rPr>
        <w:instrText xml:space="preserve"> PAGEREF _Toc22667 \h </w:instrText>
      </w:r>
      <w:r>
        <w:rPr>
          <w:rFonts w:hint="eastAsia" w:ascii="宋体" w:hAnsi="宋体" w:eastAsia="宋体" w:cs="宋体"/>
          <w:b/>
          <w:bCs/>
          <w:color w:val="auto"/>
          <w:highlight w:val="none"/>
        </w:rPr>
        <w:fldChar w:fldCharType="separate"/>
      </w:r>
      <w:r>
        <w:rPr>
          <w:rFonts w:hint="eastAsia" w:ascii="宋体" w:hAnsi="宋体" w:eastAsia="宋体" w:cs="宋体"/>
          <w:b/>
          <w:bCs/>
          <w:color w:val="auto"/>
          <w:highlight w:val="none"/>
        </w:rPr>
        <w:t>168</w:t>
      </w:r>
      <w:r>
        <w:rPr>
          <w:rFonts w:hint="eastAsia" w:ascii="宋体" w:hAnsi="宋体" w:eastAsia="宋体" w:cs="宋体"/>
          <w:b/>
          <w:bCs/>
          <w:color w:val="auto"/>
          <w:highlight w:val="none"/>
        </w:rPr>
        <w:fldChar w:fldCharType="end"/>
      </w:r>
      <w:r>
        <w:rPr>
          <w:rFonts w:hint="eastAsia" w:ascii="宋体" w:hAnsi="宋体" w:eastAsia="宋体" w:cs="宋体"/>
          <w:b/>
          <w:bCs/>
          <w:color w:val="auto"/>
          <w:highlight w:val="none"/>
        </w:rPr>
        <w:fldChar w:fldCharType="end"/>
      </w:r>
    </w:p>
    <w:p w14:paraId="1EEE109F">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宋体" w:hAnsi="宋体" w:eastAsia="宋体" w:cs="宋体"/>
          <w:color w:val="auto"/>
          <w:highlight w:val="none"/>
        </w:rPr>
      </w:pPr>
      <w:r>
        <w:rPr>
          <w:rFonts w:hint="eastAsia" w:ascii="宋体" w:hAnsi="宋体" w:eastAsia="宋体" w:cs="宋体"/>
          <w:color w:val="auto"/>
          <w:highlight w:val="none"/>
        </w:rPr>
        <w:fldChar w:fldCharType="end"/>
      </w:r>
    </w:p>
    <w:p w14:paraId="26C35D71">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lang w:val="zh-CN"/>
        </w:rPr>
      </w:pPr>
      <w:bookmarkStart w:id="4" w:name="_Toc4869"/>
      <w:bookmarkStart w:id="5" w:name="_Toc17326"/>
      <w:bookmarkStart w:id="6" w:name="_Toc2723_WPSOffice_Level1"/>
      <w:bookmarkStart w:id="7" w:name="_Toc20249"/>
      <w:bookmarkStart w:id="8" w:name="_Toc450662846"/>
      <w:bookmarkStart w:id="9" w:name="_Toc11860"/>
      <w:bookmarkStart w:id="10" w:name="_Toc142508310"/>
      <w:bookmarkStart w:id="11" w:name="_Toc486167660"/>
      <w:r>
        <w:rPr>
          <w:rFonts w:hint="eastAsia" w:ascii="宋体" w:hAnsi="宋体" w:eastAsia="宋体" w:cs="宋体"/>
          <w:b/>
          <w:bCs/>
          <w:color w:val="auto"/>
          <w:kern w:val="44"/>
          <w:sz w:val="32"/>
          <w:szCs w:val="32"/>
          <w:highlight w:val="none"/>
          <w:lang w:val="zh-CN"/>
        </w:rPr>
        <w:t>第一篇 招标公告</w:t>
      </w:r>
      <w:bookmarkEnd w:id="4"/>
      <w:bookmarkEnd w:id="5"/>
      <w:bookmarkEnd w:id="6"/>
      <w:bookmarkEnd w:id="7"/>
      <w:bookmarkEnd w:id="8"/>
      <w:bookmarkEnd w:id="9"/>
      <w:bookmarkEnd w:id="10"/>
      <w:bookmarkEnd w:id="11"/>
    </w:p>
    <w:p w14:paraId="4762110F">
      <w:pPr>
        <w:autoSpaceDE w:val="0"/>
        <w:autoSpaceDN w:val="0"/>
        <w:adjustRightInd w:val="0"/>
        <w:snapToGrid w:val="0"/>
        <w:spacing w:line="360" w:lineRule="auto"/>
        <w:ind w:right="-34" w:firstLine="420" w:firstLineChars="20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lang w:eastAsia="zh-CN"/>
        </w:rPr>
        <w:t>广州宏达工程顾问集团有限公司</w:t>
      </w:r>
      <w:r>
        <w:rPr>
          <w:rFonts w:hint="eastAsia" w:ascii="宋体" w:hAnsi="宋体" w:eastAsia="宋体" w:cs="宋体"/>
          <w:color w:val="auto"/>
          <w:szCs w:val="21"/>
          <w:highlight w:val="none"/>
          <w:lang w:val="zh-CN"/>
        </w:rPr>
        <w:t>（以下简称“招标代理机构”）受</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szCs w:val="21"/>
          <w:highlight w:val="none"/>
          <w:lang w:val="zh-CN"/>
        </w:rPr>
        <w:t>（以下简称“招标人”）的委托，对</w:t>
      </w:r>
      <w:bookmarkStart w:id="12" w:name="_Hlk41903390"/>
      <w:r>
        <w:rPr>
          <w:rFonts w:hint="eastAsia" w:ascii="宋体" w:hAnsi="宋体" w:eastAsia="宋体" w:cs="宋体"/>
          <w:color w:val="auto"/>
          <w:kern w:val="0"/>
          <w:szCs w:val="21"/>
          <w:highlight w:val="none"/>
          <w:lang w:eastAsia="zh-CN"/>
        </w:rPr>
        <w:t>东莞市水务环境投资控股集团供水有限公司2026-2027年度清洁保洁、绿化养护、除“四害”及灭蚁防治服务采购项目</w:t>
      </w:r>
      <w:r>
        <w:rPr>
          <w:rFonts w:hint="eastAsia" w:ascii="宋体" w:hAnsi="宋体" w:eastAsia="宋体" w:cs="宋体"/>
          <w:color w:val="auto"/>
          <w:szCs w:val="21"/>
          <w:highlight w:val="none"/>
          <w:lang w:val="zh-CN"/>
        </w:rPr>
        <w:t>(招标编号：SSSSSZ12600026)</w:t>
      </w:r>
      <w:bookmarkEnd w:id="12"/>
      <w:r>
        <w:rPr>
          <w:rFonts w:hint="eastAsia" w:ascii="宋体" w:hAnsi="宋体" w:eastAsia="宋体" w:cs="宋体"/>
          <w:color w:val="auto"/>
          <w:szCs w:val="21"/>
          <w:highlight w:val="none"/>
          <w:lang w:val="zh-CN"/>
        </w:rPr>
        <w:t>进行国内公开招标，</w:t>
      </w:r>
      <w:r>
        <w:rPr>
          <w:rFonts w:hint="eastAsia" w:ascii="宋体" w:hAnsi="宋体" w:eastAsia="宋体" w:cs="宋体"/>
          <w:bCs/>
          <w:color w:val="auto"/>
          <w:kern w:val="0"/>
          <w:szCs w:val="21"/>
          <w:highlight w:val="none"/>
        </w:rPr>
        <w:t>详情请参见本招标文件。</w:t>
      </w:r>
      <w:r>
        <w:rPr>
          <w:rFonts w:hint="eastAsia" w:ascii="宋体" w:hAnsi="宋体" w:eastAsia="宋体" w:cs="宋体"/>
          <w:color w:val="auto"/>
          <w:kern w:val="0"/>
          <w:szCs w:val="21"/>
          <w:highlight w:val="none"/>
        </w:rPr>
        <w:t>欢迎符合条件的合格投标人参加投标，</w:t>
      </w:r>
      <w:r>
        <w:rPr>
          <w:rFonts w:hint="eastAsia" w:ascii="宋体" w:hAnsi="宋体" w:eastAsia="宋体" w:cs="宋体"/>
          <w:bCs/>
          <w:color w:val="auto"/>
          <w:kern w:val="0"/>
          <w:szCs w:val="21"/>
          <w:highlight w:val="none"/>
        </w:rPr>
        <w:t>有关事项如下：</w:t>
      </w:r>
    </w:p>
    <w:p w14:paraId="01254163">
      <w:pPr>
        <w:autoSpaceDE w:val="0"/>
        <w:autoSpaceDN w:val="0"/>
        <w:adjustRightInd w:val="0"/>
        <w:spacing w:line="360" w:lineRule="auto"/>
        <w:ind w:right="-29" w:rightChars="-14" w:firstLine="420" w:firstLineChars="200"/>
        <w:rPr>
          <w:rFonts w:hint="eastAsia" w:ascii="宋体" w:hAnsi="宋体" w:eastAsia="宋体" w:cs="宋体"/>
          <w:color w:val="auto"/>
          <w:szCs w:val="21"/>
          <w:highlight w:val="none"/>
          <w:lang w:val="zh-CN"/>
        </w:rPr>
      </w:pPr>
    </w:p>
    <w:p w14:paraId="7F2F58F8">
      <w:pPr>
        <w:numPr>
          <w:ilvl w:val="0"/>
          <w:numId w:val="1"/>
        </w:numPr>
        <w:autoSpaceDE w:val="0"/>
        <w:autoSpaceDN w:val="0"/>
        <w:adjustRightInd w:val="0"/>
        <w:snapToGrid w:val="0"/>
        <w:spacing w:line="360" w:lineRule="auto"/>
        <w:ind w:right="-34"/>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招标范围：招标人供水厂及配套设施（含泵房、加压站等）、各属地分公司办公楼（含营业厅）等合共71个服务点需采购清洁保洁服务，预计服务面积877559.</w:t>
      </w:r>
      <w:r>
        <w:rPr>
          <w:rFonts w:hint="eastAsia" w:ascii="宋体" w:hAnsi="宋体" w:eastAsia="宋体" w:cs="宋体"/>
          <w:color w:val="auto"/>
          <w:szCs w:val="21"/>
          <w:highlight w:val="none"/>
          <w:lang w:val="en-US" w:eastAsia="zh-CN"/>
        </w:rPr>
        <w:t>37</w:t>
      </w:r>
      <w:r>
        <w:rPr>
          <w:rFonts w:hint="eastAsia" w:ascii="宋体" w:hAnsi="宋体" w:eastAsia="宋体" w:cs="宋体"/>
          <w:color w:val="auto"/>
          <w:szCs w:val="21"/>
          <w:highlight w:val="none"/>
          <w:lang w:val="zh-CN"/>
        </w:rPr>
        <w:t>平方米；43个服务点需采购绿化养护服务，预计服务面积629892.37平方米；75个服务点需采购除“四害”及灭蚁防治服务，预计服务面积1327850.33平方米。（具体内容详见：第三篇用户需求书）。</w:t>
      </w:r>
    </w:p>
    <w:p w14:paraId="6A7AB6E8">
      <w:pPr>
        <w:autoSpaceDE w:val="0"/>
        <w:autoSpaceDN w:val="0"/>
        <w:adjustRightInd w:val="0"/>
        <w:spacing w:line="360" w:lineRule="auto"/>
        <w:ind w:right="-29" w:rightChars="-14"/>
        <w:rPr>
          <w:rFonts w:hint="eastAsia" w:ascii="宋体" w:hAnsi="宋体" w:eastAsia="宋体" w:cs="宋体"/>
          <w:color w:val="auto"/>
          <w:szCs w:val="21"/>
          <w:highlight w:val="none"/>
          <w:lang w:val="zh-CN"/>
        </w:rPr>
      </w:pPr>
    </w:p>
    <w:p w14:paraId="7CCAFB0A">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合格投标人资格要求：</w:t>
      </w:r>
    </w:p>
    <w:p w14:paraId="07BBEA6C">
      <w:pPr>
        <w:pStyle w:val="159"/>
        <w:spacing w:line="360" w:lineRule="auto"/>
        <w:ind w:left="422" w:right="-29" w:rightChars="-14" w:hanging="422" w:hangingChars="200"/>
        <w:jc w:val="both"/>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2.1 在中华人民共和国境内登记注册、合法存续、正常经营且具有独立承担民事责任能力的法人或其他组织；</w:t>
      </w:r>
    </w:p>
    <w:p w14:paraId="1F17B3C0">
      <w:pPr>
        <w:pStyle w:val="159"/>
        <w:spacing w:line="360" w:lineRule="auto"/>
        <w:ind w:left="422" w:right="-29" w:rightChars="-14" w:hanging="422" w:hangingChars="200"/>
        <w:jc w:val="both"/>
        <w:rPr>
          <w:rFonts w:hint="eastAsia" w:ascii="宋体" w:hAnsi="宋体" w:eastAsia="宋体" w:cs="宋体"/>
          <w:b/>
          <w:color w:val="auto"/>
          <w:sz w:val="21"/>
          <w:szCs w:val="21"/>
          <w:highlight w:val="none"/>
          <w:lang w:val="en-US" w:eastAsia="zh-CN"/>
        </w:rPr>
      </w:pPr>
      <w:bookmarkStart w:id="13" w:name="_Toc25819"/>
      <w:r>
        <w:rPr>
          <w:rFonts w:hint="eastAsia" w:ascii="宋体" w:hAnsi="宋体" w:eastAsia="宋体" w:cs="宋体"/>
          <w:b/>
          <w:color w:val="auto"/>
          <w:sz w:val="21"/>
          <w:szCs w:val="21"/>
          <w:highlight w:val="none"/>
          <w:lang w:val="zh-CN"/>
        </w:rPr>
        <w:t>2.2 投标人202</w:t>
      </w: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年1月1日以来具有一份清洁保洁服务项目或绿化养护服务项目业绩（合同签订日期为202</w:t>
      </w: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zh-CN"/>
        </w:rPr>
        <w:t>年1月1日或以后）；</w:t>
      </w:r>
    </w:p>
    <w:p w14:paraId="47BFA872">
      <w:pPr>
        <w:pStyle w:val="159"/>
        <w:spacing w:line="360" w:lineRule="auto"/>
        <w:ind w:right="-29" w:rightChars="-14" w:firstLine="0" w:firstLineChars="0"/>
        <w:jc w:val="both"/>
        <w:rPr>
          <w:rFonts w:hint="eastAsia"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en-US" w:eastAsia="zh-CN"/>
        </w:rPr>
        <w:t>2.</w:t>
      </w:r>
      <w:r>
        <w:rPr>
          <w:rFonts w:hint="eastAsia"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lang w:val="en-US" w:eastAsia="zh-CN"/>
        </w:rPr>
        <w:t xml:space="preserve"> </w:t>
      </w:r>
      <w:r>
        <w:rPr>
          <w:rFonts w:hint="eastAsia" w:ascii="宋体" w:hAnsi="宋体" w:eastAsia="宋体" w:cs="宋体"/>
          <w:b/>
          <w:color w:val="auto"/>
          <w:sz w:val="21"/>
          <w:szCs w:val="21"/>
          <w:highlight w:val="none"/>
          <w:lang w:val="zh-CN"/>
        </w:rPr>
        <w:t>本项目不接受联合体投标</w:t>
      </w:r>
      <w:bookmarkEnd w:id="13"/>
      <w:r>
        <w:rPr>
          <w:rFonts w:hint="eastAsia" w:hAnsi="宋体" w:eastAsia="宋体" w:cs="宋体"/>
          <w:b/>
          <w:color w:val="auto"/>
          <w:sz w:val="21"/>
          <w:szCs w:val="21"/>
          <w:highlight w:val="none"/>
          <w:lang w:val="zh-CN"/>
        </w:rPr>
        <w:t>。</w:t>
      </w:r>
    </w:p>
    <w:p w14:paraId="3D58321C">
      <w:pPr>
        <w:pStyle w:val="159"/>
        <w:spacing w:line="360" w:lineRule="auto"/>
        <w:ind w:right="-29" w:rightChars="-14" w:firstLine="0" w:firstLineChars="0"/>
        <w:jc w:val="both"/>
        <w:rPr>
          <w:rFonts w:hint="eastAsia" w:ascii="宋体" w:hAnsi="宋体" w:eastAsia="宋体" w:cs="宋体"/>
          <w:b/>
          <w:color w:val="auto"/>
          <w:sz w:val="21"/>
          <w:szCs w:val="21"/>
          <w:highlight w:val="none"/>
          <w:lang w:val="zh-CN"/>
        </w:rPr>
      </w:pPr>
    </w:p>
    <w:p w14:paraId="70395D6B">
      <w:pPr>
        <w:numPr>
          <w:ilvl w:val="0"/>
          <w:numId w:val="1"/>
        </w:numPr>
        <w:autoSpaceDE w:val="0"/>
        <w:autoSpaceDN w:val="0"/>
        <w:adjustRightInd w:val="0"/>
        <w:snapToGrid w:val="0"/>
        <w:spacing w:line="360" w:lineRule="auto"/>
        <w:ind w:right="-34"/>
        <w:jc w:val="left"/>
        <w:rPr>
          <w:rFonts w:hint="eastAsia" w:ascii="宋体" w:hAnsi="宋体" w:eastAsia="宋体" w:cs="宋体"/>
          <w:b/>
          <w:color w:val="auto"/>
          <w:sz w:val="21"/>
          <w:szCs w:val="21"/>
          <w:highlight w:val="none"/>
          <w:lang w:val="zh-CN"/>
        </w:rPr>
      </w:pPr>
      <w:r>
        <w:rPr>
          <w:rFonts w:hint="eastAsia" w:ascii="宋体" w:hAnsi="宋体" w:eastAsia="宋体" w:cs="宋体"/>
          <w:b/>
          <w:color w:val="auto"/>
          <w:sz w:val="21"/>
          <w:szCs w:val="21"/>
          <w:highlight w:val="none"/>
          <w:lang w:val="zh-CN"/>
        </w:rPr>
        <w:t>其他要求：</w:t>
      </w:r>
      <w:bookmarkStart w:id="754" w:name="_GoBack"/>
      <w:bookmarkEnd w:id="754"/>
    </w:p>
    <w:p w14:paraId="3ED06B00">
      <w:pPr>
        <w:pStyle w:val="159"/>
        <w:keepNext w:val="0"/>
        <w:keepLines w:val="0"/>
        <w:pageBreakBefore w:val="0"/>
        <w:kinsoku/>
        <w:overflowPunct/>
        <w:topLinePunct w:val="0"/>
        <w:autoSpaceDE/>
        <w:autoSpaceDN/>
        <w:bidi w:val="0"/>
        <w:spacing w:line="360" w:lineRule="auto"/>
        <w:ind w:left="0" w:leftChars="0" w:firstLine="0" w:firstLineChars="0"/>
        <w:jc w:val="both"/>
        <w:outlineLvl w:val="9"/>
        <w:rPr>
          <w:rFonts w:hint="eastAsia" w:ascii="宋体" w:hAnsi="宋体" w:eastAsia="宋体" w:cs="宋体"/>
          <w:b/>
          <w:color w:val="auto"/>
          <w:sz w:val="21"/>
          <w:szCs w:val="21"/>
          <w:highlight w:val="none"/>
          <w:lang w:val="zh-CN"/>
        </w:rPr>
      </w:pPr>
      <w:bookmarkStart w:id="14" w:name="_Toc19234"/>
      <w:bookmarkStart w:id="15" w:name="_Toc26562"/>
      <w:r>
        <w:rPr>
          <w:rFonts w:hint="eastAsia" w:hAnsi="宋体" w:eastAsia="宋体" w:cs="宋体"/>
          <w:b/>
          <w:color w:val="auto"/>
          <w:sz w:val="21"/>
          <w:szCs w:val="21"/>
          <w:highlight w:val="none"/>
          <w:lang w:val="en-US" w:eastAsia="zh-CN"/>
        </w:rPr>
        <w:t xml:space="preserve">3.1 </w:t>
      </w:r>
      <w:r>
        <w:rPr>
          <w:rFonts w:hint="eastAsia" w:ascii="宋体" w:hAnsi="宋体" w:eastAsia="宋体" w:cs="宋体"/>
          <w:b/>
          <w:color w:val="auto"/>
          <w:sz w:val="21"/>
          <w:szCs w:val="21"/>
          <w:highlight w:val="none"/>
          <w:lang w:val="zh-CN"/>
        </w:rPr>
        <w:t>投标人应在东莞市公共资源交易企业库建档；</w:t>
      </w:r>
      <w:bookmarkEnd w:id="14"/>
      <w:bookmarkEnd w:id="15"/>
    </w:p>
    <w:p w14:paraId="4A963C57">
      <w:pPr>
        <w:pStyle w:val="159"/>
        <w:keepNext w:val="0"/>
        <w:keepLines w:val="0"/>
        <w:pageBreakBefore w:val="0"/>
        <w:kinsoku/>
        <w:overflowPunct/>
        <w:topLinePunct w:val="0"/>
        <w:autoSpaceDE/>
        <w:autoSpaceDN/>
        <w:bidi w:val="0"/>
        <w:spacing w:line="360" w:lineRule="auto"/>
        <w:ind w:left="422" w:leftChars="0" w:hanging="422" w:hangingChars="200"/>
        <w:jc w:val="both"/>
        <w:outlineLvl w:val="9"/>
        <w:rPr>
          <w:rFonts w:hint="eastAsia" w:ascii="宋体" w:hAnsi="宋体" w:eastAsia="宋体" w:cs="宋体"/>
          <w:b/>
          <w:color w:val="auto"/>
          <w:sz w:val="21"/>
          <w:szCs w:val="21"/>
          <w:highlight w:val="none"/>
          <w:lang w:val="zh-CN"/>
        </w:rPr>
      </w:pPr>
      <w:r>
        <w:rPr>
          <w:rFonts w:hint="eastAsia" w:hAnsi="宋体" w:eastAsia="宋体" w:cs="宋体"/>
          <w:b/>
          <w:color w:val="auto"/>
          <w:sz w:val="21"/>
          <w:szCs w:val="21"/>
          <w:highlight w:val="none"/>
          <w:lang w:val="en-US" w:eastAsia="zh-CN"/>
        </w:rPr>
        <w:t xml:space="preserve">3.2 </w:t>
      </w:r>
      <w:r>
        <w:rPr>
          <w:rFonts w:hint="eastAsia" w:ascii="宋体" w:hAnsi="宋体" w:eastAsia="宋体" w:cs="宋体"/>
          <w:b/>
          <w:color w:val="auto"/>
          <w:sz w:val="21"/>
          <w:szCs w:val="21"/>
          <w:highlight w:val="none"/>
          <w:lang w:val="zh-CN"/>
        </w:rPr>
        <w:t>在招标文件规定的东莞市公共资源交易E网通管理平台建设工程交易系统（以下简称交易系统）信息数据采集时间前，投标人已在东莞市公共资源交易企业库建档，且法人、法定代表人名称或企业、人员资质证书等与本次招标项目密切相关的信息发生变更时已办结该变更的登记手续，投标人应登录交易系统核实企业填报数据真实有效。</w:t>
      </w:r>
    </w:p>
    <w:p w14:paraId="06C37785">
      <w:pPr>
        <w:autoSpaceDE w:val="0"/>
        <w:autoSpaceDN w:val="0"/>
        <w:adjustRightInd w:val="0"/>
        <w:spacing w:line="360" w:lineRule="auto"/>
        <w:ind w:right="-29" w:rightChars="-14" w:firstLine="420" w:firstLineChars="200"/>
        <w:outlineLvl w:val="9"/>
        <w:rPr>
          <w:rFonts w:hint="eastAsia" w:ascii="宋体" w:hAnsi="宋体" w:eastAsia="宋体" w:cs="宋体"/>
          <w:color w:val="auto"/>
          <w:szCs w:val="21"/>
          <w:highlight w:val="none"/>
          <w:lang w:val="zh-CN"/>
        </w:rPr>
      </w:pPr>
    </w:p>
    <w:p w14:paraId="1AE760A7">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获取招标文件的方式：凡有意参加投标者，可于</w:t>
      </w:r>
      <w:r>
        <w:rPr>
          <w:rFonts w:hint="eastAsia" w:ascii="宋体" w:hAnsi="宋体" w:eastAsia="宋体" w:cs="宋体"/>
          <w:color w:val="auto"/>
          <w:szCs w:val="21"/>
          <w:highlight w:val="none"/>
          <w:u w:val="single"/>
          <w:lang w:val="en-US" w:eastAsia="zh-CN"/>
        </w:rPr>
        <w:t>2026</w:t>
      </w:r>
      <w:r>
        <w:rPr>
          <w:rFonts w:hint="eastAsia" w:ascii="宋体" w:hAnsi="宋体" w:eastAsia="宋体" w:cs="宋体"/>
          <w:color w:val="auto"/>
          <w:szCs w:val="21"/>
          <w:highlight w:val="none"/>
          <w:lang w:val="zh-CN"/>
        </w:rPr>
        <w:t>年</w:t>
      </w:r>
      <w:r>
        <w:rPr>
          <w:rFonts w:hint="default"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01</w:t>
      </w:r>
      <w:r>
        <w:rPr>
          <w:rFonts w:hint="default"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月</w:t>
      </w:r>
      <w:r>
        <w:rPr>
          <w:rFonts w:hint="default"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u w:val="single"/>
          <w:lang w:val="en-US" w:eastAsia="zh-CN"/>
        </w:rPr>
        <w:t>09</w:t>
      </w:r>
      <w:r>
        <w:rPr>
          <w:rFonts w:hint="default"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日至投标截止时间前登录交易系统下载本次招标项目的招标文件等资料。</w:t>
      </w:r>
    </w:p>
    <w:p w14:paraId="421731A8">
      <w:pPr>
        <w:autoSpaceDE w:val="0"/>
        <w:autoSpaceDN w:val="0"/>
        <w:adjustRightInd w:val="0"/>
        <w:spacing w:line="360" w:lineRule="auto"/>
        <w:ind w:left="630" w:leftChars="100" w:right="-29" w:rightChars="-14" w:hanging="420" w:hangingChars="200"/>
        <w:outlineLvl w:val="9"/>
        <w:rPr>
          <w:rFonts w:hint="eastAsia" w:ascii="宋体" w:hAnsi="宋体" w:eastAsia="宋体" w:cs="宋体"/>
          <w:color w:val="auto"/>
          <w:szCs w:val="21"/>
          <w:highlight w:val="none"/>
          <w:lang w:val="zh-CN"/>
        </w:rPr>
      </w:pPr>
    </w:p>
    <w:p w14:paraId="33513629">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招标代理机构在递交投标文件截止时间当天通过“信用中国”网站（www.creditchina.gov.cn）查询投标人（含其不具有独立法人资格的分支机构）信用记录。招标代理机构对投标人信用记录进行甄别，对列入失信被执行人、重大税收违法失信主体、</w:t>
      </w:r>
      <w:r>
        <w:rPr>
          <w:rFonts w:hint="eastAsia" w:ascii="宋体" w:hAnsi="宋体" w:eastAsia="宋体" w:cs="宋体"/>
          <w:color w:val="auto"/>
          <w:szCs w:val="21"/>
          <w:highlight w:val="none"/>
          <w:lang w:val="en-US" w:eastAsia="zh-CN"/>
        </w:rPr>
        <w:t>政府采购</w:t>
      </w:r>
      <w:r>
        <w:rPr>
          <w:rFonts w:hint="eastAsia" w:ascii="宋体" w:hAnsi="宋体" w:eastAsia="宋体" w:cs="宋体"/>
          <w:color w:val="auto"/>
          <w:szCs w:val="21"/>
          <w:highlight w:val="none"/>
          <w:lang w:val="zh-CN"/>
        </w:rPr>
        <w:t>严重违法失信行为记录名单的投标人，做好相关记录（处罚期限届满的除外）。</w:t>
      </w:r>
    </w:p>
    <w:p w14:paraId="1C09C61F">
      <w:pPr>
        <w:pStyle w:val="45"/>
        <w:outlineLvl w:val="9"/>
        <w:rPr>
          <w:rFonts w:hint="eastAsia"/>
          <w:color w:val="auto"/>
          <w:highlight w:val="none"/>
          <w:lang w:val="zh-CN"/>
        </w:rPr>
      </w:pPr>
    </w:p>
    <w:p w14:paraId="057AC138">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9"/>
        <w:rPr>
          <w:rFonts w:hint="eastAsia" w:ascii="宋体" w:hAnsi="宋体" w:eastAsia="宋体" w:cs="宋体"/>
          <w:color w:val="auto"/>
          <w:szCs w:val="21"/>
          <w:highlight w:val="none"/>
          <w:lang w:val="zh-CN"/>
        </w:rPr>
      </w:pPr>
      <w:bookmarkStart w:id="16" w:name="_Toc15579"/>
      <w:bookmarkStart w:id="17" w:name="_Toc10505"/>
      <w:r>
        <w:rPr>
          <w:rFonts w:hint="eastAsia" w:ascii="宋体" w:hAnsi="宋体" w:eastAsia="宋体" w:cs="宋体"/>
          <w:color w:val="auto"/>
          <w:szCs w:val="21"/>
          <w:highlight w:val="none"/>
          <w:lang w:val="zh-CN"/>
        </w:rPr>
        <w:t>投标会时间、地点及投标文件提交截止时间：</w:t>
      </w:r>
      <w:bookmarkEnd w:id="16"/>
      <w:bookmarkEnd w:id="17"/>
    </w:p>
    <w:p w14:paraId="6433DFBA">
      <w:pPr>
        <w:pStyle w:val="159"/>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en-US" w:eastAsia="zh-CN"/>
        </w:rPr>
        <w:t xml:space="preserve">.1 </w:t>
      </w:r>
      <w:r>
        <w:rPr>
          <w:rFonts w:hint="eastAsia" w:ascii="宋体" w:hAnsi="宋体" w:eastAsia="宋体" w:cs="宋体"/>
          <w:bCs/>
          <w:color w:val="auto"/>
          <w:sz w:val="21"/>
          <w:szCs w:val="21"/>
          <w:highlight w:val="none"/>
          <w:lang w:val="zh-CN"/>
        </w:rPr>
        <w:t>投标会召开时间：</w:t>
      </w:r>
      <w:r>
        <w:rPr>
          <w:rFonts w:hint="eastAsia" w:hAnsi="宋体" w:eastAsia="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lang w:val="zh-CN"/>
        </w:rPr>
        <w:t>年</w:t>
      </w:r>
      <w:r>
        <w:rPr>
          <w:rFonts w:hint="default" w:hAnsi="宋体" w:eastAsia="宋体" w:cs="宋体"/>
          <w:bCs/>
          <w:color w:val="auto"/>
          <w:sz w:val="21"/>
          <w:szCs w:val="21"/>
          <w:highlight w:val="none"/>
          <w:u w:val="single"/>
          <w:lang w:val="en-US" w:eastAsia="zh-CN"/>
        </w:rPr>
        <w:t xml:space="preserve"> </w:t>
      </w:r>
      <w:r>
        <w:rPr>
          <w:rFonts w:hint="eastAsia" w:hAnsi="宋体" w:eastAsia="宋体" w:cs="宋体"/>
          <w:bCs/>
          <w:color w:val="auto"/>
          <w:sz w:val="21"/>
          <w:szCs w:val="21"/>
          <w:highlight w:val="none"/>
          <w:u w:val="single"/>
          <w:lang w:val="en-US" w:eastAsia="zh-CN"/>
        </w:rPr>
        <w:t>01</w:t>
      </w:r>
      <w:r>
        <w:rPr>
          <w:rFonts w:hint="default"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val="zh-CN"/>
        </w:rPr>
        <w:t>月</w:t>
      </w:r>
      <w:r>
        <w:rPr>
          <w:rFonts w:hint="default" w:hAnsi="宋体" w:eastAsia="宋体" w:cs="宋体"/>
          <w:bCs/>
          <w:color w:val="auto"/>
          <w:sz w:val="21"/>
          <w:szCs w:val="21"/>
          <w:highlight w:val="none"/>
          <w:u w:val="single"/>
          <w:lang w:val="en-US" w:eastAsia="zh-CN"/>
        </w:rPr>
        <w:t xml:space="preserve"> </w:t>
      </w:r>
      <w:r>
        <w:rPr>
          <w:rFonts w:hint="eastAsia" w:hAnsi="宋体" w:eastAsia="宋体" w:cs="宋体"/>
          <w:bCs/>
          <w:color w:val="auto"/>
          <w:sz w:val="21"/>
          <w:szCs w:val="21"/>
          <w:highlight w:val="none"/>
          <w:u w:val="single"/>
          <w:lang w:val="en-US" w:eastAsia="zh-CN"/>
        </w:rPr>
        <w:t>29</w:t>
      </w:r>
      <w:r>
        <w:rPr>
          <w:rFonts w:hint="default"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val="zh-CN"/>
        </w:rPr>
        <w:t>日</w:t>
      </w:r>
      <w:r>
        <w:rPr>
          <w:rFonts w:hint="default" w:hAnsi="宋体" w:eastAsia="宋体" w:cs="宋体"/>
          <w:bCs/>
          <w:color w:val="auto"/>
          <w:sz w:val="21"/>
          <w:szCs w:val="21"/>
          <w:highlight w:val="none"/>
          <w:u w:val="single"/>
          <w:lang w:val="en-US" w:eastAsia="zh-CN"/>
        </w:rPr>
        <w:t xml:space="preserve"> </w:t>
      </w:r>
      <w:r>
        <w:rPr>
          <w:rFonts w:hint="eastAsia" w:hAnsi="宋体" w:eastAsia="宋体" w:cs="宋体"/>
          <w:bCs/>
          <w:color w:val="auto"/>
          <w:sz w:val="21"/>
          <w:szCs w:val="21"/>
          <w:highlight w:val="none"/>
          <w:u w:val="single"/>
          <w:lang w:val="en-US" w:eastAsia="zh-CN"/>
        </w:rPr>
        <w:t>09</w:t>
      </w:r>
      <w:r>
        <w:rPr>
          <w:rFonts w:hint="default"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val="zh-CN"/>
        </w:rPr>
        <w:t>时</w:t>
      </w:r>
      <w:r>
        <w:rPr>
          <w:rFonts w:hint="default" w:hAnsi="宋体" w:eastAsia="宋体" w:cs="宋体"/>
          <w:bCs/>
          <w:color w:val="auto"/>
          <w:sz w:val="21"/>
          <w:szCs w:val="21"/>
          <w:highlight w:val="none"/>
          <w:u w:val="single"/>
          <w:lang w:val="en-US" w:eastAsia="zh-CN"/>
        </w:rPr>
        <w:t xml:space="preserve"> </w:t>
      </w:r>
      <w:r>
        <w:rPr>
          <w:rFonts w:hint="eastAsia" w:hAnsi="宋体" w:eastAsia="宋体" w:cs="宋体"/>
          <w:bCs/>
          <w:color w:val="auto"/>
          <w:sz w:val="21"/>
          <w:szCs w:val="21"/>
          <w:highlight w:val="none"/>
          <w:u w:val="single"/>
          <w:lang w:val="en-US" w:eastAsia="zh-CN"/>
        </w:rPr>
        <w:t>30</w:t>
      </w:r>
      <w:r>
        <w:rPr>
          <w:rFonts w:hint="default"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lang w:val="zh-CN"/>
        </w:rPr>
        <w:t>，投标会召开地点：东莞市南城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default" w:hAnsi="宋体" w:eastAsia="宋体" w:cs="宋体"/>
          <w:bCs/>
          <w:color w:val="auto"/>
          <w:sz w:val="21"/>
          <w:szCs w:val="21"/>
          <w:highlight w:val="none"/>
          <w:lang w:val="en-US" w:eastAsia="zh-CN"/>
        </w:rPr>
        <w:t xml:space="preserve"> </w:t>
      </w:r>
      <w:r>
        <w:rPr>
          <w:rFonts w:hint="eastAsia" w:hAnsi="宋体" w:eastAsia="宋体" w:cs="宋体"/>
          <w:bCs/>
          <w:color w:val="auto"/>
          <w:sz w:val="21"/>
          <w:szCs w:val="21"/>
          <w:highlight w:val="none"/>
          <w:lang w:val="en-US" w:eastAsia="zh-CN"/>
        </w:rPr>
        <w:t>11</w:t>
      </w:r>
      <w:r>
        <w:rPr>
          <w:rFonts w:hint="default"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zh-CN"/>
        </w:rPr>
        <w:t>）；</w:t>
      </w:r>
    </w:p>
    <w:p w14:paraId="3849D8B5">
      <w:pPr>
        <w:pStyle w:val="159"/>
        <w:keepNext w:val="0"/>
        <w:keepLines w:val="0"/>
        <w:pageBreakBefore w:val="0"/>
        <w:kinsoku/>
        <w:overflowPunct/>
        <w:topLinePunct w:val="0"/>
        <w:bidi w:val="0"/>
        <w:spacing w:line="360" w:lineRule="auto"/>
        <w:ind w:left="420" w:hanging="420" w:hangingChars="200"/>
        <w:jc w:val="both"/>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2</w:t>
      </w:r>
      <w:r>
        <w:rPr>
          <w:rFonts w:hint="eastAsia" w:ascii="宋体" w:hAnsi="宋体" w:eastAsia="宋体" w:cs="宋体"/>
          <w:bCs/>
          <w:color w:val="auto"/>
          <w:sz w:val="21"/>
          <w:szCs w:val="21"/>
          <w:highlight w:val="none"/>
          <w:lang w:val="zh-CN"/>
        </w:rPr>
        <w:t xml:space="preserve"> 投标文件递交的截止时间（投标截止时间，下同）：</w:t>
      </w:r>
      <w:r>
        <w:rPr>
          <w:rFonts w:hint="eastAsia" w:hAnsi="宋体" w:eastAsia="宋体" w:cs="宋体"/>
          <w:bCs/>
          <w:color w:val="auto"/>
          <w:sz w:val="21"/>
          <w:szCs w:val="21"/>
          <w:highlight w:val="none"/>
          <w:u w:val="single"/>
          <w:lang w:val="en-US" w:eastAsia="zh-CN"/>
        </w:rPr>
        <w:t>2026</w:t>
      </w:r>
      <w:r>
        <w:rPr>
          <w:rFonts w:hint="eastAsia" w:ascii="宋体" w:hAnsi="宋体" w:eastAsia="宋体" w:cs="宋体"/>
          <w:bCs/>
          <w:color w:val="auto"/>
          <w:sz w:val="21"/>
          <w:szCs w:val="21"/>
          <w:highlight w:val="none"/>
          <w:u w:val="single"/>
          <w:lang w:val="zh-CN"/>
        </w:rPr>
        <w:t>年</w:t>
      </w:r>
      <w:r>
        <w:rPr>
          <w:rFonts w:hint="default" w:hAnsi="宋体" w:eastAsia="宋体" w:cs="宋体"/>
          <w:bCs/>
          <w:color w:val="auto"/>
          <w:sz w:val="21"/>
          <w:szCs w:val="21"/>
          <w:highlight w:val="none"/>
          <w:u w:val="single"/>
          <w:lang w:val="en-US" w:eastAsia="zh-CN"/>
        </w:rPr>
        <w:t xml:space="preserve"> </w:t>
      </w:r>
      <w:r>
        <w:rPr>
          <w:rFonts w:hint="eastAsia" w:hAnsi="宋体" w:eastAsia="宋体" w:cs="宋体"/>
          <w:bCs/>
          <w:color w:val="auto"/>
          <w:sz w:val="21"/>
          <w:szCs w:val="21"/>
          <w:highlight w:val="none"/>
          <w:u w:val="single"/>
          <w:lang w:val="en-US" w:eastAsia="zh-CN"/>
        </w:rPr>
        <w:t>01</w:t>
      </w:r>
      <w:r>
        <w:rPr>
          <w:rFonts w:hint="default"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val="zh-CN"/>
        </w:rPr>
        <w:t>月</w:t>
      </w:r>
      <w:r>
        <w:rPr>
          <w:rFonts w:hint="default" w:hAnsi="宋体" w:eastAsia="宋体" w:cs="宋体"/>
          <w:bCs/>
          <w:color w:val="auto"/>
          <w:sz w:val="21"/>
          <w:szCs w:val="21"/>
          <w:highlight w:val="none"/>
          <w:u w:val="single"/>
          <w:lang w:val="en-US" w:eastAsia="zh-CN"/>
        </w:rPr>
        <w:t xml:space="preserve"> </w:t>
      </w:r>
      <w:r>
        <w:rPr>
          <w:rFonts w:hint="eastAsia" w:hAnsi="宋体" w:eastAsia="宋体" w:cs="宋体"/>
          <w:bCs/>
          <w:color w:val="auto"/>
          <w:sz w:val="21"/>
          <w:szCs w:val="21"/>
          <w:highlight w:val="none"/>
          <w:u w:val="single"/>
          <w:lang w:val="en-US" w:eastAsia="zh-CN"/>
        </w:rPr>
        <w:t>29</w:t>
      </w:r>
      <w:r>
        <w:rPr>
          <w:rFonts w:hint="default"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val="zh-CN"/>
        </w:rPr>
        <w:t>日</w:t>
      </w:r>
      <w:r>
        <w:rPr>
          <w:rFonts w:hint="default" w:hAnsi="宋体" w:eastAsia="宋体" w:cs="宋体"/>
          <w:bCs/>
          <w:color w:val="auto"/>
          <w:sz w:val="21"/>
          <w:szCs w:val="21"/>
          <w:highlight w:val="none"/>
          <w:u w:val="single"/>
          <w:lang w:val="en-US" w:eastAsia="zh-CN"/>
        </w:rPr>
        <w:t xml:space="preserve"> </w:t>
      </w:r>
      <w:r>
        <w:rPr>
          <w:rFonts w:hint="eastAsia" w:hAnsi="宋体" w:eastAsia="宋体" w:cs="宋体"/>
          <w:bCs/>
          <w:color w:val="auto"/>
          <w:sz w:val="21"/>
          <w:szCs w:val="21"/>
          <w:highlight w:val="none"/>
          <w:u w:val="single"/>
          <w:lang w:val="en-US" w:eastAsia="zh-CN"/>
        </w:rPr>
        <w:t>09</w:t>
      </w:r>
      <w:r>
        <w:rPr>
          <w:rFonts w:hint="default"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val="zh-CN"/>
        </w:rPr>
        <w:t>时</w:t>
      </w:r>
      <w:r>
        <w:rPr>
          <w:rFonts w:hint="default" w:hAnsi="宋体" w:eastAsia="宋体" w:cs="宋体"/>
          <w:bCs/>
          <w:color w:val="auto"/>
          <w:sz w:val="21"/>
          <w:szCs w:val="21"/>
          <w:highlight w:val="none"/>
          <w:u w:val="single"/>
          <w:lang w:val="en-US" w:eastAsia="zh-CN"/>
        </w:rPr>
        <w:t xml:space="preserve"> </w:t>
      </w:r>
      <w:r>
        <w:rPr>
          <w:rFonts w:hint="eastAsia" w:hAnsi="宋体" w:eastAsia="宋体" w:cs="宋体"/>
          <w:bCs/>
          <w:color w:val="auto"/>
          <w:sz w:val="21"/>
          <w:szCs w:val="21"/>
          <w:highlight w:val="none"/>
          <w:u w:val="single"/>
          <w:lang w:val="en-US" w:eastAsia="zh-CN"/>
        </w:rPr>
        <w:t>30</w:t>
      </w:r>
      <w:r>
        <w:rPr>
          <w:rFonts w:hint="default" w:hAnsi="宋体" w:eastAsia="宋体" w:cs="宋体"/>
          <w:bCs/>
          <w:color w:val="auto"/>
          <w:sz w:val="21"/>
          <w:szCs w:val="21"/>
          <w:highlight w:val="none"/>
          <w:u w:val="single"/>
          <w:lang w:val="en-US" w:eastAsia="zh-CN"/>
        </w:rPr>
        <w:t xml:space="preserve"> </w:t>
      </w:r>
      <w:r>
        <w:rPr>
          <w:rFonts w:hint="eastAsia" w:ascii="宋体" w:hAnsi="宋体" w:eastAsia="宋体" w:cs="宋体"/>
          <w:bCs/>
          <w:color w:val="auto"/>
          <w:sz w:val="21"/>
          <w:szCs w:val="21"/>
          <w:highlight w:val="none"/>
          <w:u w:val="single"/>
          <w:lang w:val="zh-CN"/>
        </w:rPr>
        <w:t>分</w:t>
      </w:r>
      <w:r>
        <w:rPr>
          <w:rFonts w:hint="eastAsia" w:ascii="宋体" w:hAnsi="宋体" w:eastAsia="宋体" w:cs="宋体"/>
          <w:bCs/>
          <w:color w:val="auto"/>
          <w:sz w:val="21"/>
          <w:szCs w:val="21"/>
          <w:highlight w:val="none"/>
          <w:u w:val="none"/>
          <w:lang w:val="zh-CN"/>
        </w:rPr>
        <w:t>，</w:t>
      </w:r>
      <w:r>
        <w:rPr>
          <w:rFonts w:hint="eastAsia" w:ascii="宋体" w:hAnsi="宋体" w:eastAsia="宋体" w:cs="宋体"/>
          <w:bCs/>
          <w:color w:val="auto"/>
          <w:sz w:val="21"/>
          <w:szCs w:val="21"/>
          <w:highlight w:val="none"/>
          <w:lang w:val="zh-CN"/>
        </w:rPr>
        <w:t>地点：通过东莞市公共资源交易E网通管理平台建设工程交易系统网上提交；</w:t>
      </w:r>
    </w:p>
    <w:p w14:paraId="12F37949">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6</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3</w:t>
      </w:r>
      <w:r>
        <w:rPr>
          <w:rFonts w:hint="eastAsia" w:ascii="宋体" w:hAnsi="宋体" w:eastAsia="宋体" w:cs="宋体"/>
          <w:bCs/>
          <w:color w:val="auto"/>
          <w:sz w:val="21"/>
          <w:szCs w:val="21"/>
          <w:highlight w:val="none"/>
          <w:lang w:val="zh-CN"/>
        </w:rPr>
        <w:t xml:space="preserve"> 投标人必须通过交易系统在线上传投标文件，上述方式外提交的投标文件及逾期通过网络上传的电子投标文件，招标人不予受理。</w:t>
      </w:r>
    </w:p>
    <w:p w14:paraId="12BA140F">
      <w:pPr>
        <w:autoSpaceDE w:val="0"/>
        <w:autoSpaceDN w:val="0"/>
        <w:adjustRightInd w:val="0"/>
        <w:spacing w:line="360" w:lineRule="auto"/>
        <w:ind w:right="-29" w:rightChars="-14" w:firstLine="210" w:firstLineChars="100"/>
        <w:outlineLvl w:val="9"/>
        <w:rPr>
          <w:rFonts w:hint="eastAsia" w:ascii="宋体" w:hAnsi="宋体" w:eastAsia="宋体" w:cs="宋体"/>
          <w:color w:val="auto"/>
          <w:kern w:val="0"/>
          <w:szCs w:val="21"/>
          <w:highlight w:val="none"/>
        </w:rPr>
      </w:pPr>
    </w:p>
    <w:p w14:paraId="3BFEAF26">
      <w:pPr>
        <w:keepNext w:val="0"/>
        <w:keepLines w:val="0"/>
        <w:pageBreakBefore w:val="0"/>
        <w:numPr>
          <w:ilvl w:val="0"/>
          <w:numId w:val="1"/>
        </w:numPr>
        <w:kinsoku/>
        <w:overflowPunct/>
        <w:topLinePunct w:val="0"/>
        <w:bidi w:val="0"/>
        <w:snapToGrid w:val="0"/>
        <w:spacing w:line="360" w:lineRule="auto"/>
        <w:ind w:right="-34"/>
        <w:outlineLvl w:val="9"/>
        <w:rPr>
          <w:rFonts w:hint="eastAsia" w:ascii="宋体" w:hAnsi="宋体" w:eastAsia="宋体" w:cs="宋体"/>
          <w:bCs/>
          <w:color w:val="auto"/>
          <w:sz w:val="21"/>
          <w:szCs w:val="21"/>
          <w:highlight w:val="none"/>
          <w:lang w:val="zh-CN"/>
        </w:rPr>
      </w:pPr>
      <w:bookmarkStart w:id="18" w:name="_Toc19461"/>
      <w:bookmarkStart w:id="19" w:name="_Toc8363"/>
      <w:r>
        <w:rPr>
          <w:rFonts w:hint="eastAsia" w:ascii="宋体" w:hAnsi="宋体" w:eastAsia="宋体" w:cs="宋体"/>
          <w:bCs/>
          <w:color w:val="auto"/>
          <w:sz w:val="21"/>
          <w:szCs w:val="21"/>
          <w:highlight w:val="none"/>
          <w:lang w:val="zh-CN"/>
        </w:rPr>
        <w:t>开标时间和地点：</w:t>
      </w:r>
      <w:bookmarkEnd w:id="18"/>
      <w:bookmarkEnd w:id="19"/>
    </w:p>
    <w:p w14:paraId="228DA692">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0" w:name="_Toc8817"/>
      <w:bookmarkStart w:id="21" w:name="_Toc15059"/>
      <w:r>
        <w:rPr>
          <w:rFonts w:hint="eastAsia"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zh-CN" w:eastAsia="zh-CN"/>
        </w:rPr>
        <w:t xml:space="preserve">.1 </w:t>
      </w:r>
      <w:r>
        <w:rPr>
          <w:rFonts w:hint="eastAsia" w:ascii="宋体" w:hAnsi="宋体" w:eastAsia="宋体" w:cs="宋体"/>
          <w:bCs/>
          <w:color w:val="auto"/>
          <w:sz w:val="21"/>
          <w:szCs w:val="21"/>
          <w:highlight w:val="none"/>
          <w:lang w:val="zh-CN"/>
        </w:rPr>
        <w:t>开标时间：同投标截止时间；</w:t>
      </w:r>
      <w:bookmarkEnd w:id="20"/>
      <w:bookmarkEnd w:id="21"/>
    </w:p>
    <w:p w14:paraId="7F171408">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7</w:t>
      </w:r>
      <w:r>
        <w:rPr>
          <w:rFonts w:hint="eastAsia" w:ascii="宋体" w:hAnsi="宋体" w:eastAsia="宋体" w:cs="宋体"/>
          <w:bCs/>
          <w:color w:val="auto"/>
          <w:sz w:val="21"/>
          <w:szCs w:val="21"/>
          <w:highlight w:val="none"/>
          <w:lang w:val="zh-CN" w:eastAsia="zh-CN"/>
        </w:rPr>
        <w:t xml:space="preserve">.2 </w:t>
      </w:r>
      <w:r>
        <w:rPr>
          <w:rFonts w:hint="eastAsia" w:ascii="宋体" w:hAnsi="宋体" w:eastAsia="宋体" w:cs="宋体"/>
          <w:bCs/>
          <w:color w:val="auto"/>
          <w:sz w:val="21"/>
          <w:szCs w:val="21"/>
          <w:highlight w:val="none"/>
          <w:lang w:val="zh-CN"/>
        </w:rPr>
        <w:t>开标地点：东莞市南城</w:t>
      </w:r>
      <w:r>
        <w:rPr>
          <w:rFonts w:hint="eastAsia" w:ascii="宋体" w:hAnsi="宋体" w:eastAsia="宋体" w:cs="宋体"/>
          <w:bCs/>
          <w:color w:val="auto"/>
          <w:sz w:val="21"/>
          <w:szCs w:val="21"/>
          <w:highlight w:val="none"/>
          <w:lang w:val="en-US" w:eastAsia="zh-CN"/>
        </w:rPr>
        <w:t>街道</w:t>
      </w:r>
      <w:r>
        <w:rPr>
          <w:rFonts w:hint="eastAsia" w:ascii="宋体" w:hAnsi="宋体" w:eastAsia="宋体" w:cs="宋体"/>
          <w:bCs/>
          <w:color w:val="auto"/>
          <w:sz w:val="21"/>
          <w:szCs w:val="21"/>
          <w:highlight w:val="none"/>
          <w:lang w:val="zh-CN"/>
        </w:rPr>
        <w:t>西平社区宏伟三路45号东莞市公共资源交易中心开标室（</w:t>
      </w:r>
      <w:r>
        <w:rPr>
          <w:rFonts w:hint="default" w:hAnsi="宋体" w:eastAsia="宋体" w:cs="宋体"/>
          <w:bCs/>
          <w:color w:val="auto"/>
          <w:sz w:val="21"/>
          <w:szCs w:val="21"/>
          <w:highlight w:val="none"/>
          <w:lang w:val="en-US" w:eastAsia="zh-CN"/>
        </w:rPr>
        <w:t xml:space="preserve"> </w:t>
      </w:r>
      <w:r>
        <w:rPr>
          <w:rFonts w:hint="eastAsia" w:hAnsi="宋体" w:eastAsia="宋体" w:cs="宋体"/>
          <w:bCs/>
          <w:color w:val="auto"/>
          <w:sz w:val="21"/>
          <w:szCs w:val="21"/>
          <w:highlight w:val="none"/>
          <w:lang w:val="en-US" w:eastAsia="zh-CN"/>
        </w:rPr>
        <w:t>11</w:t>
      </w:r>
      <w:r>
        <w:rPr>
          <w:rFonts w:hint="default"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zh-CN"/>
        </w:rPr>
        <w:t>）。</w:t>
      </w:r>
    </w:p>
    <w:p w14:paraId="424F6E47">
      <w:pPr>
        <w:autoSpaceDE w:val="0"/>
        <w:autoSpaceDN w:val="0"/>
        <w:adjustRightInd w:val="0"/>
        <w:spacing w:line="360" w:lineRule="auto"/>
        <w:ind w:left="210" w:leftChars="100" w:right="-29" w:rightChars="-14"/>
        <w:outlineLvl w:val="9"/>
        <w:rPr>
          <w:rFonts w:hint="eastAsia" w:ascii="宋体" w:hAnsi="宋体" w:eastAsia="宋体" w:cs="宋体"/>
          <w:color w:val="auto"/>
          <w:szCs w:val="21"/>
          <w:highlight w:val="none"/>
          <w:lang w:val="zh-CN"/>
        </w:rPr>
      </w:pPr>
    </w:p>
    <w:p w14:paraId="446D52B9">
      <w:pPr>
        <w:keepNext w:val="0"/>
        <w:keepLines w:val="0"/>
        <w:pageBreakBefore w:val="0"/>
        <w:widowControl w:val="0"/>
        <w:numPr>
          <w:ilvl w:val="0"/>
          <w:numId w:val="1"/>
        </w:numPr>
        <w:kinsoku/>
        <w:wordWrap w:val="0"/>
        <w:overflowPunct/>
        <w:topLinePunct w:val="0"/>
        <w:autoSpaceDE w:val="0"/>
        <w:autoSpaceDN w:val="0"/>
        <w:bidi w:val="0"/>
        <w:adjustRightInd w:val="0"/>
        <w:snapToGrid w:val="0"/>
        <w:spacing w:line="360" w:lineRule="auto"/>
        <w:ind w:left="363" w:right="-34" w:hanging="363"/>
        <w:jc w:val="left"/>
        <w:textAlignment w:val="auto"/>
        <w:outlineLvl w:val="9"/>
        <w:rPr>
          <w:rFonts w:hint="eastAsia" w:ascii="宋体" w:hAnsi="宋体" w:eastAsia="宋体" w:cs="宋体"/>
          <w:bCs/>
          <w:color w:val="auto"/>
          <w:szCs w:val="21"/>
          <w:highlight w:val="none"/>
        </w:rPr>
      </w:pPr>
      <w:r>
        <w:rPr>
          <w:rFonts w:hint="eastAsia" w:ascii="宋体" w:hAnsi="宋体" w:eastAsia="宋体" w:cs="宋体"/>
          <w:bCs/>
          <w:color w:val="auto"/>
          <w:szCs w:val="21"/>
          <w:highlight w:val="none"/>
        </w:rPr>
        <w:t>本项目相关公告在以下媒介发布：全国公共资源交易平台（广东省·东莞市）（https://ygp.gdzwfw.gov.cn/#/441900/index）</w:t>
      </w:r>
      <w:r>
        <w:rPr>
          <w:rFonts w:hint="eastAsia" w:ascii="宋体" w:hAnsi="宋体" w:eastAsia="宋体" w:cs="宋体"/>
          <w:bCs/>
          <w:color w:val="auto"/>
          <w:szCs w:val="21"/>
          <w:highlight w:val="none"/>
          <w:lang w:eastAsia="zh-CN"/>
        </w:rPr>
        <w:t>、</w:t>
      </w:r>
      <w:r>
        <w:rPr>
          <w:rFonts w:hint="eastAsia" w:ascii="宋体" w:hAnsi="宋体" w:eastAsia="宋体" w:cs="宋体"/>
          <w:bCs/>
          <w:color w:val="auto"/>
          <w:szCs w:val="21"/>
          <w:highlight w:val="none"/>
        </w:rPr>
        <w:t>中国招标投标公共服务平台（www.cebpubservice.com）、</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bCs/>
          <w:color w:val="auto"/>
          <w:szCs w:val="21"/>
          <w:highlight w:val="none"/>
        </w:rPr>
        <w:t>（www.dg</w:t>
      </w:r>
      <w:r>
        <w:rPr>
          <w:rFonts w:hint="eastAsia" w:ascii="宋体" w:hAnsi="宋体" w:eastAsia="宋体" w:cs="宋体"/>
          <w:bCs/>
          <w:color w:val="auto"/>
          <w:szCs w:val="21"/>
          <w:highlight w:val="none"/>
          <w:lang w:val="en-US" w:eastAsia="zh-CN"/>
        </w:rPr>
        <w:t>swjt</w:t>
      </w:r>
      <w:r>
        <w:rPr>
          <w:rFonts w:hint="eastAsia" w:ascii="宋体" w:hAnsi="宋体" w:eastAsia="宋体" w:cs="宋体"/>
          <w:bCs/>
          <w:color w:val="auto"/>
          <w:szCs w:val="21"/>
          <w:highlight w:val="none"/>
        </w:rPr>
        <w:t>.cn）、招标代理</w:t>
      </w:r>
      <w:r>
        <w:rPr>
          <w:rFonts w:hint="eastAsia" w:ascii="宋体" w:hAnsi="宋体" w:eastAsia="宋体" w:cs="宋体"/>
          <w:bCs/>
          <w:color w:val="auto"/>
          <w:szCs w:val="21"/>
          <w:highlight w:val="none"/>
          <w:lang w:val="en-US" w:eastAsia="zh-CN"/>
        </w:rPr>
        <w:t>机构</w:t>
      </w:r>
      <w:r>
        <w:rPr>
          <w:rFonts w:hint="eastAsia" w:ascii="宋体" w:hAnsi="宋体" w:eastAsia="宋体" w:cs="宋体"/>
          <w:bCs/>
          <w:color w:val="auto"/>
          <w:szCs w:val="21"/>
          <w:highlight w:val="none"/>
        </w:rPr>
        <w:t>网站（</w:t>
      </w:r>
      <w:r>
        <w:rPr>
          <w:rFonts w:hint="eastAsia" w:ascii="宋体" w:hAnsi="宋体" w:eastAsia="宋体" w:cs="宋体"/>
          <w:bCs/>
          <w:color w:val="auto"/>
          <w:szCs w:val="21"/>
          <w:highlight w:val="none"/>
          <w:u w:val="none"/>
          <w:lang w:eastAsia="zh-CN"/>
        </w:rPr>
        <w:t>www.wangtat.com.cn</w:t>
      </w:r>
      <w:r>
        <w:rPr>
          <w:rFonts w:hint="eastAsia" w:ascii="宋体" w:hAnsi="宋体" w:eastAsia="宋体" w:cs="宋体"/>
          <w:bCs/>
          <w:color w:val="auto"/>
          <w:szCs w:val="21"/>
          <w:highlight w:val="none"/>
        </w:rPr>
        <w:t>）</w:t>
      </w:r>
      <w:r>
        <w:rPr>
          <w:rFonts w:hint="eastAsia" w:ascii="宋体" w:hAnsi="宋体" w:eastAsia="宋体" w:cs="宋体"/>
          <w:color w:val="auto"/>
          <w:szCs w:val="21"/>
          <w:highlight w:val="none"/>
          <w:lang w:val="zh-CN"/>
        </w:rPr>
        <w:t>。</w:t>
      </w:r>
    </w:p>
    <w:p w14:paraId="6B287E87">
      <w:pPr>
        <w:pStyle w:val="45"/>
        <w:outlineLvl w:val="9"/>
        <w:rPr>
          <w:rFonts w:hint="eastAsia" w:ascii="宋体" w:hAnsi="宋体" w:eastAsia="宋体" w:cs="宋体"/>
          <w:color w:val="auto"/>
          <w:highlight w:val="none"/>
        </w:rPr>
      </w:pPr>
    </w:p>
    <w:p w14:paraId="1D461BA0">
      <w:pPr>
        <w:keepNext w:val="0"/>
        <w:keepLines w:val="0"/>
        <w:pageBreakBefore w:val="0"/>
        <w:numPr>
          <w:ilvl w:val="0"/>
          <w:numId w:val="1"/>
        </w:numPr>
        <w:kinsoku/>
        <w:overflowPunct/>
        <w:topLinePunct w:val="0"/>
        <w:autoSpaceDE w:val="0"/>
        <w:autoSpaceDN w:val="0"/>
        <w:bidi w:val="0"/>
        <w:adjustRightInd w:val="0"/>
        <w:snapToGrid w:val="0"/>
        <w:spacing w:line="360" w:lineRule="auto"/>
        <w:ind w:right="-34"/>
        <w:jc w:val="left"/>
        <w:outlineLvl w:val="9"/>
        <w:rPr>
          <w:rFonts w:hint="eastAsia" w:ascii="宋体" w:hAnsi="宋体" w:eastAsia="宋体" w:cs="宋体"/>
          <w:color w:val="auto"/>
          <w:szCs w:val="21"/>
          <w:highlight w:val="none"/>
        </w:rPr>
      </w:pPr>
      <w:bookmarkStart w:id="22" w:name="_Toc16545"/>
      <w:bookmarkStart w:id="23" w:name="_Toc3809"/>
      <w:r>
        <w:rPr>
          <w:rFonts w:hint="eastAsia" w:ascii="宋体" w:hAnsi="宋体" w:eastAsia="宋体" w:cs="宋体"/>
          <w:color w:val="auto"/>
          <w:szCs w:val="21"/>
          <w:highlight w:val="none"/>
        </w:rPr>
        <w:t>投标保证金</w:t>
      </w:r>
      <w:bookmarkEnd w:id="22"/>
      <w:bookmarkEnd w:id="23"/>
    </w:p>
    <w:p w14:paraId="748C5262">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.1 本次招标投标人须提交投标保证金金额：</w:t>
      </w:r>
      <w:r>
        <w:rPr>
          <w:rFonts w:hint="default" w:ascii="宋体" w:hAnsi="宋体" w:eastAsia="宋体" w:cs="宋体"/>
          <w:bCs/>
          <w:color w:val="auto"/>
          <w:sz w:val="21"/>
          <w:szCs w:val="21"/>
          <w:highlight w:val="none"/>
          <w:lang w:val="en-US"/>
        </w:rPr>
        <w:t>3</w:t>
      </w:r>
      <w:r>
        <w:rPr>
          <w:rFonts w:hint="eastAsia" w:hAnsi="宋体" w:eastAsia="宋体" w:cs="宋体"/>
          <w:bCs/>
          <w:color w:val="auto"/>
          <w:sz w:val="21"/>
          <w:szCs w:val="21"/>
          <w:highlight w:val="none"/>
          <w:lang w:val="en-US" w:eastAsia="zh-CN"/>
        </w:rPr>
        <w:t>0</w:t>
      </w:r>
      <w:r>
        <w:rPr>
          <w:rFonts w:hint="eastAsia" w:ascii="宋体" w:hAnsi="宋体" w:eastAsia="宋体" w:cs="宋体"/>
          <w:bCs/>
          <w:color w:val="auto"/>
          <w:sz w:val="21"/>
          <w:szCs w:val="21"/>
          <w:highlight w:val="none"/>
          <w:lang w:val="zh-CN"/>
        </w:rPr>
        <w:t>0,000.00元。</w:t>
      </w:r>
    </w:p>
    <w:p w14:paraId="4C70E9F8">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.2</w:t>
      </w:r>
      <w:r>
        <w:rPr>
          <w:rFonts w:hint="eastAsia" w:ascii="宋体" w:hAnsi="宋体" w:eastAsia="宋体" w:cs="宋体"/>
          <w:bCs/>
          <w:color w:val="auto"/>
          <w:sz w:val="21"/>
          <w:szCs w:val="21"/>
          <w:highlight w:val="none"/>
          <w:lang w:val="en-US" w:eastAsia="zh-CN"/>
        </w:rPr>
        <w:t xml:space="preserve"> </w:t>
      </w:r>
      <w:r>
        <w:rPr>
          <w:rFonts w:hint="eastAsia" w:ascii="宋体" w:hAnsi="宋体" w:eastAsia="宋体" w:cs="宋体"/>
          <w:bCs/>
          <w:color w:val="auto"/>
          <w:sz w:val="21"/>
          <w:szCs w:val="21"/>
          <w:highlight w:val="none"/>
          <w:lang w:val="zh-CN"/>
        </w:rPr>
        <w:t>投标保证金形式：单项投标保证金；银行电子保函；保险电子保单；</w:t>
      </w:r>
    </w:p>
    <w:p w14:paraId="00204D49">
      <w:pPr>
        <w:pStyle w:val="159"/>
        <w:keepNext w:val="0"/>
        <w:keepLines w:val="0"/>
        <w:pageBreakBefore w:val="0"/>
        <w:kinsoku/>
        <w:overflowPunct/>
        <w:topLinePunct w:val="0"/>
        <w:bidi w:val="0"/>
        <w:spacing w:line="360" w:lineRule="auto"/>
        <w:ind w:left="420" w:leftChars="200" w:firstLine="0" w:firstLineChars="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其它：      /       。</w:t>
      </w:r>
    </w:p>
    <w:p w14:paraId="702A2095">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4" w:name="_Toc14886"/>
      <w:bookmarkStart w:id="25" w:name="_Toc31252"/>
      <w:r>
        <w:rPr>
          <w:rFonts w:hint="eastAsia" w:hAnsi="宋体" w:eastAsia="宋体" w:cs="宋体"/>
          <w:bCs/>
          <w:color w:val="auto"/>
          <w:sz w:val="21"/>
          <w:szCs w:val="21"/>
          <w:highlight w:val="none"/>
          <w:lang w:val="en-US" w:eastAsia="zh-CN"/>
        </w:rPr>
        <w:t>9</w:t>
      </w:r>
      <w:r>
        <w:rPr>
          <w:rFonts w:hint="eastAsia" w:ascii="宋体" w:hAnsi="宋体" w:eastAsia="宋体" w:cs="宋体"/>
          <w:bCs/>
          <w:color w:val="auto"/>
          <w:sz w:val="21"/>
          <w:szCs w:val="21"/>
          <w:highlight w:val="none"/>
          <w:lang w:val="zh-CN"/>
        </w:rPr>
        <w:t>.</w:t>
      </w:r>
      <w:r>
        <w:rPr>
          <w:rFonts w:hint="eastAsia" w:ascii="宋体" w:hAnsi="宋体" w:eastAsia="宋体" w:cs="宋体"/>
          <w:bCs/>
          <w:color w:val="auto"/>
          <w:sz w:val="21"/>
          <w:szCs w:val="21"/>
          <w:highlight w:val="none"/>
          <w:lang w:val="en-US" w:eastAsia="zh-CN"/>
        </w:rPr>
        <w:t xml:space="preserve">3 </w:t>
      </w:r>
      <w:r>
        <w:rPr>
          <w:rFonts w:hint="eastAsia" w:ascii="宋体" w:hAnsi="宋体" w:eastAsia="宋体" w:cs="宋体"/>
          <w:bCs/>
          <w:color w:val="auto"/>
          <w:sz w:val="21"/>
          <w:szCs w:val="21"/>
          <w:highlight w:val="none"/>
          <w:lang w:val="zh-CN"/>
        </w:rPr>
        <w:t>投标保证金形式注意事项：</w:t>
      </w:r>
      <w:bookmarkEnd w:id="24"/>
      <w:bookmarkEnd w:id="25"/>
    </w:p>
    <w:p w14:paraId="66171AE5">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6" w:name="_Toc26630"/>
      <w:bookmarkStart w:id="27" w:name="_Toc21912"/>
      <w:r>
        <w:rPr>
          <w:rFonts w:hint="eastAsia" w:ascii="宋体" w:hAnsi="宋体" w:eastAsia="宋体" w:cs="宋体"/>
          <w:bCs/>
          <w:color w:val="auto"/>
          <w:sz w:val="21"/>
          <w:szCs w:val="21"/>
          <w:highlight w:val="none"/>
          <w:lang w:val="zh-CN"/>
        </w:rPr>
        <w:t>（1）投标保证金到账时间应为投标保证金的关联时间。</w:t>
      </w:r>
      <w:bookmarkEnd w:id="26"/>
      <w:bookmarkEnd w:id="27"/>
    </w:p>
    <w:p w14:paraId="64C979CD">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r>
        <w:rPr>
          <w:rFonts w:hint="eastAsia" w:ascii="宋体" w:hAnsi="宋体" w:eastAsia="宋体" w:cs="宋体"/>
          <w:bCs/>
          <w:color w:val="auto"/>
          <w:sz w:val="21"/>
          <w:szCs w:val="21"/>
          <w:highlight w:val="none"/>
          <w:lang w:val="zh-CN"/>
        </w:rPr>
        <w:t>（2）投标保证金数据超过投标截止时间后到达交易系统的，无法关联。</w:t>
      </w:r>
    </w:p>
    <w:p w14:paraId="7BEAD3EB">
      <w:pPr>
        <w:pStyle w:val="159"/>
        <w:keepNext w:val="0"/>
        <w:keepLines w:val="0"/>
        <w:pageBreakBefore w:val="0"/>
        <w:kinsoku/>
        <w:overflowPunct/>
        <w:topLinePunct w:val="0"/>
        <w:bidi w:val="0"/>
        <w:spacing w:line="360" w:lineRule="auto"/>
        <w:ind w:left="420" w:hanging="420" w:hangingChars="200"/>
        <w:outlineLvl w:val="9"/>
        <w:rPr>
          <w:rFonts w:hint="eastAsia" w:ascii="宋体" w:hAnsi="宋体" w:eastAsia="宋体" w:cs="宋体"/>
          <w:bCs/>
          <w:color w:val="auto"/>
          <w:sz w:val="21"/>
          <w:szCs w:val="21"/>
          <w:highlight w:val="none"/>
          <w:lang w:val="zh-CN"/>
        </w:rPr>
      </w:pPr>
      <w:bookmarkStart w:id="28" w:name="_Toc12832"/>
      <w:bookmarkStart w:id="29" w:name="_Toc2829"/>
      <w:r>
        <w:rPr>
          <w:rFonts w:hint="eastAsia" w:ascii="宋体" w:hAnsi="宋体" w:eastAsia="宋体" w:cs="宋体"/>
          <w:bCs/>
          <w:color w:val="auto"/>
          <w:sz w:val="21"/>
          <w:szCs w:val="21"/>
          <w:highlight w:val="none"/>
          <w:lang w:val="zh-CN"/>
        </w:rPr>
        <w:t>（3）投标人应提前办理投标保证金手续，自行承担数据延误风险。</w:t>
      </w:r>
      <w:bookmarkEnd w:id="28"/>
      <w:bookmarkEnd w:id="29"/>
    </w:p>
    <w:p w14:paraId="5018A11C">
      <w:pPr>
        <w:numPr>
          <w:ilvl w:val="-1"/>
          <w:numId w:val="0"/>
        </w:numPr>
        <w:autoSpaceDE w:val="0"/>
        <w:autoSpaceDN w:val="0"/>
        <w:adjustRightInd w:val="0"/>
        <w:snapToGrid w:val="0"/>
        <w:spacing w:line="360" w:lineRule="auto"/>
        <w:ind w:left="0" w:right="-34" w:firstLine="0"/>
        <w:jc w:val="left"/>
        <w:outlineLvl w:val="9"/>
        <w:rPr>
          <w:rFonts w:hint="eastAsia" w:ascii="宋体" w:hAnsi="宋体" w:eastAsia="宋体" w:cs="宋体"/>
          <w:color w:val="auto"/>
          <w:szCs w:val="21"/>
          <w:highlight w:val="none"/>
        </w:rPr>
      </w:pPr>
    </w:p>
    <w:p w14:paraId="22D09DCF">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bCs/>
          <w:color w:val="auto"/>
          <w:szCs w:val="21"/>
          <w:highlight w:val="none"/>
          <w:lang w:val="zh-CN"/>
        </w:rPr>
        <w:t>招标人联系方式</w:t>
      </w:r>
    </w:p>
    <w:p w14:paraId="20231C74">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rPr>
        <w:t>招标人：</w:t>
      </w:r>
      <w:r>
        <w:rPr>
          <w:rFonts w:hint="eastAsia" w:ascii="宋体" w:hAnsi="宋体" w:eastAsia="宋体" w:cs="宋体"/>
          <w:color w:val="auto"/>
          <w:kern w:val="0"/>
          <w:szCs w:val="21"/>
          <w:highlight w:val="none"/>
          <w:lang w:eastAsia="zh-CN"/>
        </w:rPr>
        <w:t>东莞市水务环境投资控股集团供水有限公司</w:t>
      </w:r>
    </w:p>
    <w:p w14:paraId="537DA3DE">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址：广东省东莞市莞城街道莞龙路141号</w:t>
      </w:r>
    </w:p>
    <w:p w14:paraId="3C32C1AB">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联系人：陈</w:t>
      </w:r>
      <w:r>
        <w:rPr>
          <w:rFonts w:hint="eastAsia" w:ascii="宋体" w:hAnsi="宋体" w:eastAsia="宋体" w:cs="宋体"/>
          <w:color w:val="auto"/>
          <w:kern w:val="0"/>
          <w:szCs w:val="21"/>
          <w:highlight w:val="none"/>
          <w:lang w:val="en-US" w:eastAsia="zh-CN"/>
        </w:rPr>
        <w:t>晃华</w:t>
      </w:r>
    </w:p>
    <w:p w14:paraId="4AD9F8B5">
      <w:pPr>
        <w:widowControl/>
        <w:autoSpaceDE w:val="0"/>
        <w:autoSpaceDN w:val="0"/>
        <w:adjustRightInd w:val="0"/>
        <w:spacing w:line="360" w:lineRule="auto"/>
        <w:ind w:right="-31" w:rightChars="-15" w:firstLine="424" w:firstLineChars="202"/>
        <w:jc w:val="left"/>
        <w:textAlignment w:val="bottom"/>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电  话：0769-22628713</w:t>
      </w:r>
    </w:p>
    <w:p w14:paraId="1FA7CEDB">
      <w:pPr>
        <w:autoSpaceDE w:val="0"/>
        <w:autoSpaceDN w:val="0"/>
        <w:adjustRightInd w:val="0"/>
        <w:spacing w:line="360" w:lineRule="auto"/>
        <w:ind w:right="-29" w:rightChars="-14" w:firstLine="420"/>
        <w:outlineLvl w:val="9"/>
        <w:rPr>
          <w:rFonts w:hint="eastAsia" w:ascii="宋体" w:hAnsi="宋体" w:eastAsia="宋体" w:cs="宋体"/>
          <w:color w:val="auto"/>
          <w:kern w:val="0"/>
          <w:szCs w:val="21"/>
          <w:highlight w:val="none"/>
        </w:rPr>
      </w:pPr>
    </w:p>
    <w:p w14:paraId="2F16ABFC">
      <w:pPr>
        <w:numPr>
          <w:ilvl w:val="0"/>
          <w:numId w:val="1"/>
        </w:numPr>
        <w:autoSpaceDE w:val="0"/>
        <w:autoSpaceDN w:val="0"/>
        <w:adjustRightInd w:val="0"/>
        <w:snapToGrid w:val="0"/>
        <w:spacing w:line="360" w:lineRule="auto"/>
        <w:ind w:right="-34"/>
        <w:jc w:val="left"/>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招标代理机构</w:t>
      </w:r>
      <w:r>
        <w:rPr>
          <w:rFonts w:hint="eastAsia" w:ascii="宋体" w:hAnsi="宋体" w:eastAsia="宋体" w:cs="Times New Roman"/>
          <w:szCs w:val="21"/>
          <w:highlight w:val="none"/>
        </w:rPr>
        <w:t>及异议受理</w:t>
      </w:r>
      <w:r>
        <w:rPr>
          <w:rFonts w:hint="eastAsia" w:ascii="宋体" w:hAnsi="宋体" w:eastAsia="宋体" w:cs="宋体"/>
          <w:color w:val="auto"/>
          <w:szCs w:val="21"/>
          <w:highlight w:val="none"/>
        </w:rPr>
        <w:t>联系方式</w:t>
      </w:r>
    </w:p>
    <w:p w14:paraId="4AFD64F0">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bookmarkStart w:id="30" w:name="_Toc31764_WPSOffice_Level1"/>
      <w:bookmarkStart w:id="31" w:name="_Toc450662847"/>
      <w:bookmarkStart w:id="32" w:name="_Toc486167661"/>
      <w:r>
        <w:rPr>
          <w:rFonts w:hint="eastAsia" w:ascii="宋体" w:hAnsi="宋体" w:eastAsia="宋体" w:cs="宋体"/>
          <w:color w:val="auto"/>
          <w:kern w:val="0"/>
          <w:szCs w:val="21"/>
          <w:highlight w:val="none"/>
        </w:rPr>
        <w:t>招标代理机构：</w:t>
      </w:r>
      <w:r>
        <w:rPr>
          <w:rFonts w:hint="eastAsia" w:ascii="宋体" w:hAnsi="宋体" w:eastAsia="宋体" w:cs="宋体"/>
          <w:color w:val="auto"/>
          <w:kern w:val="0"/>
          <w:sz w:val="21"/>
          <w:szCs w:val="21"/>
          <w:highlight w:val="none"/>
          <w:lang w:val="en-US" w:eastAsia="zh-CN" w:bidi="ar-SA"/>
        </w:rPr>
        <w:t>广州宏达工程顾问集团有限公司</w:t>
      </w:r>
    </w:p>
    <w:p w14:paraId="5816E840">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  址：广东省东莞市南城街道宏图路105号1栋313室</w:t>
      </w:r>
    </w:p>
    <w:p w14:paraId="18FB10D1">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联系人：邓晓欣</w:t>
      </w:r>
    </w:p>
    <w:p w14:paraId="115DF52C">
      <w:pPr>
        <w:widowControl/>
        <w:autoSpaceDE w:val="0"/>
        <w:autoSpaceDN w:val="0"/>
        <w:adjustRightInd w:val="0"/>
        <w:spacing w:line="360" w:lineRule="auto"/>
        <w:ind w:right="-31" w:rightChars="-15" w:firstLine="424" w:firstLineChars="202"/>
        <w:jc w:val="left"/>
        <w:textAlignment w:val="bottom"/>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电  话：0769-28056866-804</w:t>
      </w:r>
    </w:p>
    <w:p w14:paraId="35430E4F">
      <w:pPr>
        <w:pageBreakBefore/>
        <w:tabs>
          <w:tab w:val="left" w:pos="1080"/>
        </w:tabs>
        <w:autoSpaceDE w:val="0"/>
        <w:autoSpaceDN w:val="0"/>
        <w:adjustRightInd w:val="0"/>
        <w:spacing w:line="360" w:lineRule="auto"/>
        <w:ind w:left="-167" w:leftChars="-100" w:hanging="43"/>
        <w:jc w:val="center"/>
        <w:outlineLvl w:val="0"/>
        <w:rPr>
          <w:rFonts w:hint="eastAsia" w:ascii="宋体" w:hAnsi="宋体" w:eastAsia="宋体" w:cs="宋体"/>
          <w:b/>
          <w:bCs/>
          <w:color w:val="auto"/>
          <w:kern w:val="44"/>
          <w:sz w:val="32"/>
          <w:szCs w:val="32"/>
          <w:highlight w:val="none"/>
        </w:rPr>
      </w:pPr>
      <w:bookmarkStart w:id="33" w:name="_Toc18212"/>
      <w:bookmarkStart w:id="34" w:name="_Toc15111"/>
      <w:bookmarkStart w:id="35" w:name="_Toc15359"/>
      <w:bookmarkStart w:id="36" w:name="_Toc142508311"/>
      <w:r>
        <w:rPr>
          <w:rFonts w:hint="eastAsia" w:ascii="宋体" w:hAnsi="宋体" w:eastAsia="宋体" w:cs="宋体"/>
          <w:b/>
          <w:bCs/>
          <w:color w:val="auto"/>
          <w:kern w:val="44"/>
          <w:sz w:val="32"/>
          <w:szCs w:val="32"/>
          <w:highlight w:val="none"/>
          <w:lang w:val="zh-CN"/>
        </w:rPr>
        <w:t>第二篇</w:t>
      </w:r>
      <w:r>
        <w:rPr>
          <w:rFonts w:hint="eastAsia" w:ascii="宋体" w:hAnsi="宋体" w:eastAsia="宋体" w:cs="宋体"/>
          <w:b/>
          <w:bCs/>
          <w:color w:val="auto"/>
          <w:kern w:val="44"/>
          <w:sz w:val="32"/>
          <w:szCs w:val="32"/>
          <w:highlight w:val="none"/>
        </w:rPr>
        <w:t xml:space="preserve"> </w:t>
      </w:r>
      <w:r>
        <w:rPr>
          <w:rFonts w:hint="eastAsia" w:ascii="宋体" w:hAnsi="宋体" w:eastAsia="宋体" w:cs="宋体"/>
          <w:b/>
          <w:bCs/>
          <w:color w:val="auto"/>
          <w:kern w:val="44"/>
          <w:sz w:val="32"/>
          <w:szCs w:val="32"/>
          <w:highlight w:val="none"/>
          <w:lang w:val="zh-CN"/>
        </w:rPr>
        <w:t>投标人须知</w:t>
      </w:r>
      <w:bookmarkEnd w:id="30"/>
      <w:bookmarkEnd w:id="31"/>
      <w:bookmarkEnd w:id="32"/>
      <w:bookmarkEnd w:id="33"/>
      <w:bookmarkEnd w:id="34"/>
      <w:bookmarkEnd w:id="35"/>
      <w:bookmarkEnd w:id="36"/>
    </w:p>
    <w:p w14:paraId="4F55EC10">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37" w:name="_Toc142508312"/>
      <w:bookmarkStart w:id="38" w:name="_Toc14832"/>
      <w:bookmarkStart w:id="39" w:name="_Toc486167662"/>
      <w:bookmarkStart w:id="40" w:name="_Toc450662848"/>
      <w:bookmarkStart w:id="41" w:name="_Toc140596871"/>
      <w:bookmarkStart w:id="42" w:name="_Toc9555"/>
      <w:bookmarkStart w:id="43" w:name="_Toc15366_WPSOffice_Level2"/>
      <w:bookmarkStart w:id="44" w:name="_Toc24479"/>
      <w:r>
        <w:rPr>
          <w:rFonts w:hint="eastAsia" w:ascii="宋体" w:hAnsi="宋体" w:eastAsia="宋体" w:cs="宋体"/>
          <w:b/>
          <w:bCs/>
          <w:color w:val="auto"/>
          <w:kern w:val="44"/>
          <w:szCs w:val="21"/>
          <w:highlight w:val="none"/>
          <w:lang w:val="zh-CN"/>
        </w:rPr>
        <w:t>一、总则</w:t>
      </w:r>
      <w:bookmarkEnd w:id="37"/>
      <w:bookmarkEnd w:id="38"/>
      <w:bookmarkEnd w:id="39"/>
      <w:bookmarkEnd w:id="40"/>
      <w:bookmarkEnd w:id="41"/>
      <w:bookmarkEnd w:id="42"/>
      <w:bookmarkEnd w:id="43"/>
      <w:bookmarkEnd w:id="44"/>
    </w:p>
    <w:p w14:paraId="19D4E08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5" w:name="_Toc450662849"/>
      <w:bookmarkStart w:id="46" w:name="_Toc142508313"/>
      <w:bookmarkStart w:id="47" w:name="_Toc23333"/>
      <w:bookmarkStart w:id="48" w:name="_Toc16288"/>
      <w:bookmarkStart w:id="49" w:name="_Toc9608"/>
      <w:bookmarkStart w:id="50" w:name="_Toc486167663"/>
      <w:bookmarkStart w:id="51" w:name="_Toc21710_WPSOffice_Level3"/>
      <w:r>
        <w:rPr>
          <w:rFonts w:hint="eastAsia" w:ascii="宋体" w:hAnsi="宋体" w:eastAsia="宋体" w:cs="宋体"/>
          <w:color w:val="auto"/>
          <w:szCs w:val="21"/>
          <w:highlight w:val="none"/>
          <w:lang w:val="zh-CN"/>
        </w:rPr>
        <w:t>1 资金来源：企业自筹资金。</w:t>
      </w:r>
      <w:bookmarkEnd w:id="45"/>
      <w:bookmarkEnd w:id="46"/>
      <w:bookmarkEnd w:id="47"/>
      <w:bookmarkEnd w:id="48"/>
      <w:bookmarkEnd w:id="49"/>
      <w:bookmarkEnd w:id="50"/>
      <w:bookmarkEnd w:id="51"/>
    </w:p>
    <w:p w14:paraId="1D708BA1">
      <w:pPr>
        <w:autoSpaceDE w:val="0"/>
        <w:autoSpaceDN w:val="0"/>
        <w:adjustRightInd w:val="0"/>
        <w:jc w:val="left"/>
        <w:rPr>
          <w:rFonts w:hint="eastAsia" w:ascii="宋体" w:hAnsi="宋体" w:eastAsia="宋体" w:cs="宋体"/>
          <w:color w:val="auto"/>
          <w:kern w:val="0"/>
          <w:sz w:val="24"/>
          <w:szCs w:val="24"/>
          <w:highlight w:val="none"/>
        </w:rPr>
      </w:pPr>
    </w:p>
    <w:p w14:paraId="1E9C51E8">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52" w:name="_Toc450662850"/>
      <w:bookmarkStart w:id="53" w:name="_Toc18557"/>
      <w:bookmarkStart w:id="54" w:name="_Toc32244"/>
      <w:bookmarkStart w:id="55" w:name="_Toc142508314"/>
      <w:bookmarkStart w:id="56" w:name="_Toc31095"/>
      <w:bookmarkStart w:id="57" w:name="_Toc80_WPSOffice_Level3"/>
      <w:bookmarkStart w:id="58" w:name="_Toc486167664"/>
      <w:r>
        <w:rPr>
          <w:rFonts w:hint="eastAsia" w:ascii="宋体" w:hAnsi="宋体" w:eastAsia="宋体" w:cs="宋体"/>
          <w:b/>
          <w:color w:val="auto"/>
          <w:szCs w:val="21"/>
          <w:highlight w:val="none"/>
          <w:lang w:val="zh-CN"/>
        </w:rPr>
        <w:t>2 合格的投标人</w:t>
      </w:r>
      <w:bookmarkEnd w:id="52"/>
      <w:bookmarkEnd w:id="53"/>
      <w:bookmarkEnd w:id="54"/>
      <w:bookmarkEnd w:id="55"/>
      <w:bookmarkEnd w:id="56"/>
      <w:bookmarkEnd w:id="57"/>
      <w:bookmarkEnd w:id="58"/>
    </w:p>
    <w:p w14:paraId="63D58538">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2.1  合格的投标人条件见第一篇《招标公告》中第2条的“合格投标人资格要求”及本条以下2.2款至2.</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款的通用要求。</w:t>
      </w:r>
    </w:p>
    <w:p w14:paraId="0A1AF3D1">
      <w:pPr>
        <w:autoSpaceDE w:val="0"/>
        <w:autoSpaceDN w:val="0"/>
        <w:adjustRightInd w:val="0"/>
        <w:spacing w:line="360" w:lineRule="auto"/>
        <w:ind w:left="359" w:leftChars="-100" w:hanging="569" w:hangingChars="27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2.2  </w:t>
      </w:r>
      <w:r>
        <w:rPr>
          <w:rFonts w:hint="eastAsia" w:ascii="宋体" w:hAnsi="宋体" w:eastAsia="宋体" w:cs="宋体"/>
          <w:b/>
          <w:color w:val="auto"/>
          <w:kern w:val="0"/>
          <w:szCs w:val="21"/>
          <w:highlight w:val="none"/>
        </w:rPr>
        <w:t>投标人在参加本项目投标前的三年内不得在投标活动中存在《中华人民共和国招标投标法》第五十三条（相互串通投标或者与招标人串通投标，以向招标人或者评标委员会成员行贿的手段谋取中标）、第五十四条（以他人名义投标或者以其他方式弄虚作假，骗取中标）、第六十条（中标人不履行与招标人订立的合同）、《中华人民共和国招标投标法实施条例》第七十六条（将中标项目转让给他人的，将中标项目肢解后分别转让给他人的，违反招标投标法和本条例规定将中标项目的部分主体、关键性工作分包给他人的，或者分包人再次分包）、第七十七条（捏造事实、伪造材料或者以非法手段取得证明材料进行投诉）规定的违法行为，而受到各级管理部门的处罚。投标人存在前述处罚的，在投标文件中必须主动按招标文件的要求填报“最近3年投标人牵涉的其他（失信和违法）</w:t>
      </w:r>
      <w:r>
        <w:rPr>
          <w:rFonts w:hint="eastAsia" w:ascii="宋体" w:hAnsi="宋体" w:eastAsia="宋体" w:cs="宋体"/>
          <w:b/>
          <w:color w:val="auto"/>
          <w:kern w:val="0"/>
          <w:szCs w:val="21"/>
          <w:highlight w:val="none"/>
          <w:lang w:val="zh-CN"/>
        </w:rPr>
        <w:t>处罚说明</w:t>
      </w:r>
      <w:r>
        <w:rPr>
          <w:rFonts w:hint="eastAsia" w:ascii="宋体" w:hAnsi="宋体" w:eastAsia="宋体" w:cs="宋体"/>
          <w:b/>
          <w:color w:val="auto"/>
          <w:kern w:val="0"/>
          <w:szCs w:val="21"/>
          <w:highlight w:val="none"/>
        </w:rPr>
        <w:t>”，如果不主动填报而被事后发现的，将取消其投标（中标）资格，并按有关规定从重处理。</w:t>
      </w:r>
    </w:p>
    <w:p w14:paraId="571E9857">
      <w:pPr>
        <w:autoSpaceDE w:val="0"/>
        <w:autoSpaceDN w:val="0"/>
        <w:adjustRightInd w:val="0"/>
        <w:spacing w:line="360" w:lineRule="auto"/>
        <w:ind w:left="317" w:leftChars="-100" w:hanging="527" w:hangingChars="250"/>
        <w:rPr>
          <w:rFonts w:hint="eastAsia" w:ascii="宋体" w:hAnsi="宋体" w:eastAsia="宋体" w:cs="宋体"/>
          <w:b/>
          <w:color w:val="auto"/>
          <w:szCs w:val="21"/>
          <w:highlight w:val="none"/>
          <w:lang w:val="zh-CN"/>
        </w:rPr>
      </w:pPr>
      <w:r>
        <w:rPr>
          <w:rFonts w:hint="eastAsia" w:ascii="宋体" w:hAnsi="宋体" w:eastAsia="宋体" w:cs="宋体"/>
          <w:b/>
          <w:color w:val="auto"/>
          <w:kern w:val="0"/>
          <w:szCs w:val="21"/>
          <w:highlight w:val="none"/>
          <w:lang w:val="zh-CN"/>
        </w:rPr>
        <w:t>2.3  投标人</w:t>
      </w:r>
      <w:r>
        <w:rPr>
          <w:rFonts w:hint="eastAsia" w:ascii="宋体" w:hAnsi="宋体" w:eastAsia="宋体" w:cs="宋体"/>
          <w:b/>
          <w:color w:val="auto"/>
          <w:szCs w:val="21"/>
          <w:highlight w:val="none"/>
          <w:lang w:val="zh-CN"/>
        </w:rPr>
        <w:t>符合《中华人民共和国招标投标法》第二十六条规定。</w:t>
      </w:r>
    </w:p>
    <w:p w14:paraId="2BE09E27">
      <w:pPr>
        <w:autoSpaceDE w:val="0"/>
        <w:autoSpaceDN w:val="0"/>
        <w:adjustRightInd w:val="0"/>
        <w:spacing w:line="360" w:lineRule="auto"/>
        <w:ind w:left="359" w:leftChars="-99" w:hanging="567" w:hangingChars="26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2.4  投标人（含其不具有独立法人资格的分支机构）未被列入“信用中国”网站（www.creditchina.gov.cn）失信被执行人、重大税收违法失信主体、</w:t>
      </w:r>
      <w:r>
        <w:rPr>
          <w:rFonts w:hint="eastAsia" w:ascii="宋体" w:hAnsi="宋体" w:eastAsia="宋体" w:cs="宋体"/>
          <w:b/>
          <w:color w:val="auto"/>
          <w:kern w:val="0"/>
          <w:szCs w:val="21"/>
          <w:highlight w:val="none"/>
          <w:lang w:val="en-US" w:eastAsia="zh-CN"/>
        </w:rPr>
        <w:t>政府采购</w:t>
      </w:r>
      <w:r>
        <w:rPr>
          <w:rFonts w:hint="eastAsia" w:ascii="宋体" w:hAnsi="宋体" w:eastAsia="宋体" w:cs="宋体"/>
          <w:b/>
          <w:color w:val="auto"/>
          <w:kern w:val="0"/>
          <w:szCs w:val="21"/>
          <w:highlight w:val="none"/>
        </w:rPr>
        <w:t>严重违法失信行为记录名单（处罚期限届满的除外）。</w:t>
      </w:r>
    </w:p>
    <w:p w14:paraId="5B3EEF92">
      <w:pPr>
        <w:autoSpaceDE w:val="0"/>
        <w:autoSpaceDN w:val="0"/>
        <w:adjustRightInd w:val="0"/>
        <w:spacing w:line="360" w:lineRule="auto"/>
        <w:ind w:left="317" w:leftChars="-100" w:hanging="527" w:hangingChars="250"/>
        <w:rPr>
          <w:rFonts w:hint="eastAsia" w:ascii="宋体" w:hAnsi="宋体" w:eastAsia="宋体" w:cs="宋体"/>
          <w:b/>
          <w:color w:val="auto"/>
          <w:kern w:val="0"/>
          <w:szCs w:val="21"/>
          <w:highlight w:val="none"/>
          <w:lang w:val="zh-CN"/>
        </w:rPr>
      </w:pPr>
      <w:r>
        <w:rPr>
          <w:rFonts w:hint="eastAsia" w:ascii="宋体" w:hAnsi="宋体" w:eastAsia="宋体" w:cs="宋体"/>
          <w:b/>
          <w:color w:val="auto"/>
          <w:szCs w:val="21"/>
          <w:highlight w:val="none"/>
          <w:lang w:val="zh-CN"/>
        </w:rPr>
        <w:t xml:space="preserve">2.5  </w:t>
      </w:r>
      <w:r>
        <w:rPr>
          <w:rFonts w:hint="eastAsia" w:ascii="宋体" w:hAnsi="宋体" w:eastAsia="宋体" w:cs="宋体"/>
          <w:b/>
          <w:color w:val="auto"/>
          <w:kern w:val="0"/>
          <w:szCs w:val="21"/>
          <w:highlight w:val="none"/>
        </w:rPr>
        <w:t>根据《中华人民共和国招标投标法实施条例》第三十四条规定，与招标人存在利害关系可能影响招标公正性的法人、其他组织或者个人，不得参加投标；投标人负责人为同一人或者存在控股、管理关系的不同投标人，不得参加同一项目投标。上述情况一经发现，相关投标均无效</w:t>
      </w:r>
      <w:r>
        <w:rPr>
          <w:rFonts w:hint="eastAsia" w:ascii="宋体" w:hAnsi="宋体" w:eastAsia="宋体" w:cs="宋体"/>
          <w:b/>
          <w:color w:val="auto"/>
          <w:szCs w:val="21"/>
          <w:highlight w:val="none"/>
          <w:lang w:val="zh-CN"/>
        </w:rPr>
        <w:t>。</w:t>
      </w:r>
    </w:p>
    <w:p w14:paraId="1333410D">
      <w:pPr>
        <w:tabs>
          <w:tab w:val="left" w:pos="426"/>
        </w:tabs>
        <w:autoSpaceDE w:val="0"/>
        <w:autoSpaceDN w:val="0"/>
        <w:adjustRightInd w:val="0"/>
        <w:spacing w:line="360" w:lineRule="auto"/>
        <w:ind w:left="319" w:leftChars="-100" w:hanging="529" w:hangingChars="252"/>
        <w:rPr>
          <w:rFonts w:hint="eastAsia" w:ascii="宋体" w:hAnsi="宋体" w:eastAsia="宋体" w:cs="宋体"/>
          <w:color w:val="auto"/>
          <w:kern w:val="0"/>
          <w:szCs w:val="24"/>
          <w:highlight w:val="none"/>
        </w:rPr>
      </w:pPr>
    </w:p>
    <w:p w14:paraId="03384194">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en-US" w:eastAsia="zh-CN"/>
        </w:rPr>
      </w:pPr>
      <w:bookmarkStart w:id="59" w:name="_Toc142508315"/>
      <w:bookmarkStart w:id="60" w:name="_Toc23847_WPSOffice_Level3"/>
      <w:bookmarkStart w:id="61" w:name="_Toc20209"/>
      <w:bookmarkStart w:id="62" w:name="_Toc11689"/>
      <w:bookmarkStart w:id="63" w:name="_Toc19774"/>
      <w:bookmarkStart w:id="64" w:name="_Toc486167665"/>
      <w:bookmarkStart w:id="65" w:name="_Toc450662851"/>
      <w:r>
        <w:rPr>
          <w:rFonts w:hint="eastAsia" w:ascii="宋体" w:hAnsi="宋体" w:eastAsia="宋体" w:cs="宋体"/>
          <w:b/>
          <w:color w:val="auto"/>
          <w:szCs w:val="21"/>
          <w:highlight w:val="none"/>
          <w:lang w:val="zh-CN"/>
        </w:rPr>
        <w:t>3 合格的</w:t>
      </w:r>
      <w:bookmarkEnd w:id="59"/>
      <w:bookmarkEnd w:id="60"/>
      <w:r>
        <w:rPr>
          <w:rFonts w:hint="eastAsia" w:ascii="宋体" w:hAnsi="宋体" w:eastAsia="宋体" w:cs="宋体"/>
          <w:b/>
          <w:color w:val="auto"/>
          <w:szCs w:val="21"/>
          <w:highlight w:val="none"/>
          <w:lang w:val="en-US" w:eastAsia="zh-CN"/>
        </w:rPr>
        <w:t>服务</w:t>
      </w:r>
      <w:bookmarkEnd w:id="61"/>
      <w:bookmarkEnd w:id="62"/>
      <w:bookmarkEnd w:id="63"/>
    </w:p>
    <w:p w14:paraId="0A18C774">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rPr>
        <w:t>“服务”是指投标人按招标文件规定完成的全部服务内容，其中包括完成服务所需的货物和工程，及须承担的技术支持、培训和其它伴随服务。</w:t>
      </w:r>
    </w:p>
    <w:p w14:paraId="6F4F333F">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66" w:name="_Toc1977663"/>
      <w:bookmarkStart w:id="67" w:name="_Toc533708063"/>
      <w:r>
        <w:rPr>
          <w:rFonts w:hint="eastAsia" w:ascii="宋体" w:hAnsi="宋体" w:eastAsia="宋体" w:cs="宋体"/>
          <w:color w:val="auto"/>
          <w:szCs w:val="21"/>
          <w:highlight w:val="none"/>
          <w:lang w:val="zh-CN"/>
        </w:rPr>
        <w:t xml:space="preserve">3.2  </w:t>
      </w:r>
      <w:bookmarkEnd w:id="66"/>
      <w:bookmarkEnd w:id="67"/>
      <w:bookmarkStart w:id="68" w:name="_Toc533708065"/>
      <w:bookmarkStart w:id="69" w:name="_Toc1977665"/>
      <w:r>
        <w:rPr>
          <w:rFonts w:hint="eastAsia" w:ascii="宋体" w:hAnsi="宋体" w:eastAsia="宋体" w:cs="宋体"/>
          <w:color w:val="auto"/>
          <w:szCs w:val="21"/>
          <w:highlight w:val="none"/>
          <w:lang w:val="zh-CN"/>
        </w:rPr>
        <w:t>投标人必须保证提供的所有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或</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的任何部分均为最新正式版本。</w:t>
      </w:r>
      <w:bookmarkEnd w:id="68"/>
      <w:bookmarkEnd w:id="69"/>
    </w:p>
    <w:p w14:paraId="760F3CF1">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0" w:name="_Toc533708066"/>
      <w:bookmarkStart w:id="71" w:name="_Toc1977666"/>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 xml:space="preserve">  </w:t>
      </w:r>
      <w:bookmarkEnd w:id="70"/>
      <w:bookmarkEnd w:id="71"/>
      <w:bookmarkStart w:id="72" w:name="_Toc533708067"/>
      <w:bookmarkStart w:id="73" w:name="_Toc1977667"/>
      <w:r>
        <w:rPr>
          <w:rFonts w:hint="eastAsia" w:ascii="宋体" w:hAnsi="宋体" w:eastAsia="宋体" w:cs="宋体"/>
          <w:color w:val="auto"/>
          <w:szCs w:val="21"/>
          <w:highlight w:val="none"/>
          <w:lang w:val="zh-CN"/>
        </w:rPr>
        <w:t>投标人</w:t>
      </w:r>
      <w:r>
        <w:rPr>
          <w:rFonts w:hint="eastAsia" w:ascii="宋体" w:hAnsi="宋体" w:eastAsia="宋体" w:cs="宋体"/>
          <w:color w:val="auto"/>
          <w:kern w:val="0"/>
          <w:szCs w:val="21"/>
          <w:highlight w:val="none"/>
        </w:rPr>
        <w:t>应保证招标人在中华人民共和国使用</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任何一部分时，招标人免受第三方提出侵犯其专利权、商标权或其它知识产权的起诉。如果投标人不拥有相应的知识产权，则须在报价中包括合法获取该知识产权的相关费用，并在招标文件中附有相关证明文件。如有违反，造成招标人任何经济损失或其他损失的，由投标人承担全部赔偿责任</w:t>
      </w:r>
      <w:r>
        <w:rPr>
          <w:rFonts w:hint="eastAsia" w:ascii="宋体" w:hAnsi="宋体" w:eastAsia="宋体" w:cs="宋体"/>
          <w:color w:val="auto"/>
          <w:szCs w:val="21"/>
          <w:highlight w:val="none"/>
          <w:lang w:val="zh-CN"/>
        </w:rPr>
        <w:t>。</w:t>
      </w:r>
      <w:bookmarkEnd w:id="72"/>
      <w:bookmarkEnd w:id="73"/>
    </w:p>
    <w:p w14:paraId="2E3A41C0">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74" w:name="_Toc533708068"/>
      <w:bookmarkStart w:id="75" w:name="_Toc1977668"/>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 xml:space="preserve"> </w:t>
      </w:r>
      <w:bookmarkEnd w:id="74"/>
      <w:bookmarkEnd w:id="75"/>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无论投标人</w:t>
      </w:r>
      <w:r>
        <w:rPr>
          <w:rFonts w:hint="eastAsia" w:ascii="宋体" w:hAnsi="宋体" w:eastAsia="宋体" w:cs="宋体"/>
          <w:color w:val="auto"/>
          <w:kern w:val="0"/>
          <w:szCs w:val="21"/>
          <w:highlight w:val="none"/>
        </w:rPr>
        <w:t>是否在投标报价表中明示，均视为投标报价已包含所有应支付的对专利权</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商标权和版权、设计或其他知识产权而需要向其他方支付的版税和使用费等相关费用。如投标人未依法向第三方支付应缴版税和使用费等相关费用</w:t>
      </w:r>
      <w:r>
        <w:rPr>
          <w:rFonts w:hint="eastAsia" w:ascii="宋体" w:hAnsi="宋体" w:eastAsia="宋体" w:cs="宋体"/>
          <w:color w:val="auto"/>
          <w:kern w:val="0"/>
          <w:szCs w:val="21"/>
          <w:highlight w:val="none"/>
          <w:lang w:val="en-US" w:eastAsia="zh-CN"/>
        </w:rPr>
        <w:t>的</w:t>
      </w:r>
      <w:r>
        <w:rPr>
          <w:rFonts w:hint="eastAsia" w:ascii="宋体" w:hAnsi="宋体" w:eastAsia="宋体" w:cs="宋体"/>
          <w:color w:val="auto"/>
          <w:kern w:val="0"/>
          <w:szCs w:val="21"/>
          <w:highlight w:val="none"/>
        </w:rPr>
        <w:t>，造成招标人任何经济损失的，由投标人承担全部赔偿责任</w:t>
      </w:r>
      <w:r>
        <w:rPr>
          <w:rFonts w:hint="eastAsia" w:ascii="宋体" w:hAnsi="宋体" w:eastAsia="宋体" w:cs="宋体"/>
          <w:color w:val="auto"/>
          <w:szCs w:val="21"/>
          <w:highlight w:val="none"/>
          <w:lang w:val="zh-CN"/>
        </w:rPr>
        <w:t>。</w:t>
      </w:r>
    </w:p>
    <w:p w14:paraId="6397EE9C">
      <w:pPr>
        <w:autoSpaceDE w:val="0"/>
        <w:autoSpaceDN w:val="0"/>
        <w:adjustRightInd w:val="0"/>
        <w:spacing w:line="360" w:lineRule="auto"/>
        <w:jc w:val="left"/>
        <w:rPr>
          <w:rFonts w:hint="eastAsia" w:ascii="宋体" w:hAnsi="宋体" w:eastAsia="宋体" w:cs="宋体"/>
          <w:color w:val="auto"/>
          <w:szCs w:val="21"/>
          <w:highlight w:val="none"/>
          <w:lang w:val="zh-CN"/>
        </w:rPr>
      </w:pPr>
    </w:p>
    <w:p w14:paraId="6B7BB61C">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76" w:name="_Toc23153"/>
      <w:bookmarkStart w:id="77" w:name="_Toc142508316"/>
      <w:bookmarkStart w:id="78" w:name="_Toc3404"/>
      <w:bookmarkStart w:id="79" w:name="_Toc11533"/>
      <w:bookmarkStart w:id="80" w:name="_Toc9658_WPSOffice_Level3"/>
      <w:r>
        <w:rPr>
          <w:rFonts w:hint="eastAsia" w:ascii="宋体" w:hAnsi="宋体" w:eastAsia="宋体" w:cs="宋体"/>
          <w:color w:val="auto"/>
          <w:szCs w:val="21"/>
          <w:highlight w:val="none"/>
          <w:lang w:val="zh-CN"/>
        </w:rPr>
        <w:t>4 其它说明</w:t>
      </w:r>
      <w:bookmarkEnd w:id="76"/>
      <w:bookmarkEnd w:id="77"/>
      <w:bookmarkEnd w:id="78"/>
      <w:bookmarkEnd w:id="79"/>
      <w:bookmarkEnd w:id="80"/>
    </w:p>
    <w:p w14:paraId="07A4164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81" w:name="_Toc1977670"/>
      <w:bookmarkStart w:id="82" w:name="_Toc533708070"/>
      <w:r>
        <w:rPr>
          <w:rFonts w:hint="eastAsia" w:ascii="宋体" w:hAnsi="宋体" w:eastAsia="宋体" w:cs="宋体"/>
          <w:color w:val="auto"/>
          <w:szCs w:val="21"/>
          <w:highlight w:val="none"/>
          <w:lang w:val="zh-CN"/>
        </w:rPr>
        <w:t>4.1  投标费用</w:t>
      </w:r>
      <w:bookmarkEnd w:id="81"/>
      <w:bookmarkEnd w:id="82"/>
    </w:p>
    <w:p w14:paraId="062E4ECF">
      <w:pPr>
        <w:autoSpaceDE w:val="0"/>
        <w:autoSpaceDN w:val="0"/>
        <w:adjustRightInd w:val="0"/>
        <w:spacing w:line="360" w:lineRule="auto"/>
        <w:ind w:left="210" w:leftChars="100" w:firstLine="420" w:firstLineChars="200"/>
        <w:rPr>
          <w:rFonts w:hint="eastAsia" w:ascii="宋体" w:hAnsi="宋体" w:eastAsia="宋体" w:cs="宋体"/>
          <w:color w:val="auto"/>
          <w:szCs w:val="21"/>
          <w:highlight w:val="none"/>
          <w:lang w:val="zh-CN"/>
        </w:rPr>
      </w:pPr>
      <w:bookmarkStart w:id="83" w:name="_Toc1977672"/>
      <w:bookmarkStart w:id="84" w:name="_Toc533708072"/>
      <w:r>
        <w:rPr>
          <w:rFonts w:hint="eastAsia" w:ascii="宋体" w:hAnsi="宋体" w:eastAsia="宋体" w:cs="宋体"/>
          <w:color w:val="auto"/>
          <w:szCs w:val="21"/>
          <w:highlight w:val="none"/>
          <w:lang w:val="zh-CN"/>
        </w:rPr>
        <w:t>无论招标过程中的做法和结果如何，投标人须承担所有与编写和递交投标文件有关的费用，招标人和招标代理机构在任何情况下不负担这些费用。</w:t>
      </w:r>
      <w:bookmarkEnd w:id="83"/>
      <w:bookmarkEnd w:id="84"/>
    </w:p>
    <w:p w14:paraId="354E2F2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bookmarkStart w:id="85" w:name="_Toc533708073"/>
      <w:bookmarkStart w:id="86" w:name="_Toc1977673"/>
      <w:r>
        <w:rPr>
          <w:rFonts w:hint="eastAsia" w:ascii="宋体" w:hAnsi="宋体" w:eastAsia="宋体" w:cs="宋体"/>
          <w:color w:val="auto"/>
          <w:szCs w:val="21"/>
          <w:highlight w:val="none"/>
          <w:lang w:val="zh-CN"/>
        </w:rPr>
        <w:t>4.2  踏勘现场</w:t>
      </w:r>
      <w:bookmarkEnd w:id="85"/>
      <w:bookmarkEnd w:id="86"/>
    </w:p>
    <w:p w14:paraId="43D579D6">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bookmarkStart w:id="87" w:name="_Toc1977676"/>
      <w:bookmarkStart w:id="88" w:name="_Toc533708076"/>
      <w:r>
        <w:rPr>
          <w:rFonts w:hint="eastAsia" w:ascii="宋体" w:hAnsi="宋体" w:eastAsia="宋体" w:cs="宋体"/>
          <w:color w:val="auto"/>
          <w:kern w:val="0"/>
          <w:szCs w:val="21"/>
          <w:highlight w:val="none"/>
        </w:rPr>
        <w:t>（1）本项目不组织集中踏勘现场和答疑</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投标人应自行到实地踏勘考察</w:t>
      </w:r>
      <w:r>
        <w:rPr>
          <w:rFonts w:hint="eastAsia" w:ascii="宋体" w:hAnsi="宋体" w:eastAsia="宋体" w:cs="宋体"/>
          <w:color w:val="auto"/>
          <w:kern w:val="0"/>
          <w:szCs w:val="21"/>
          <w:highlight w:val="none"/>
        </w:rPr>
        <w:t>。</w:t>
      </w:r>
    </w:p>
    <w:p w14:paraId="56D0E9D6">
      <w:pPr>
        <w:autoSpaceDE w:val="0"/>
        <w:autoSpaceDN w:val="0"/>
        <w:adjustRightInd w:val="0"/>
        <w:spacing w:line="360" w:lineRule="auto"/>
        <w:ind w:left="300" w:leftChars="-59" w:hanging="424" w:hangingChars="202"/>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（2）潜在投标人应承担踏勘现场自身所发生的费用。</w:t>
      </w:r>
    </w:p>
    <w:p w14:paraId="215B6696">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（3）招标人和招标代理机构在踏勘现场中介绍的有关现场和相关的周边环境情况，供投标人在编制投标文件时参考，招标人不对投标人据此作出的判断和决策负责。</w:t>
      </w:r>
    </w:p>
    <w:p w14:paraId="61A023E6">
      <w:pPr>
        <w:spacing w:line="360" w:lineRule="auto"/>
        <w:ind w:left="419" w:leftChars="-59" w:hanging="543" w:hangingChars="259"/>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（4）潜在投标人可为踏勘需要而进入招标人的项目现场，但潜在投标人不得因此使招标人承担有关的责任和蒙受损失。潜在投标人应承担踏勘现场的责任和风险。</w:t>
      </w:r>
    </w:p>
    <w:p w14:paraId="337EEA48">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4.3</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纪律与保密事项</w:t>
      </w:r>
      <w:bookmarkEnd w:id="64"/>
      <w:bookmarkEnd w:id="65"/>
      <w:bookmarkEnd w:id="87"/>
      <w:bookmarkEnd w:id="88"/>
    </w:p>
    <w:p w14:paraId="17C02FC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（1）获得本招标文件的投标人，不得用作本次投标以外的任何用途。</w:t>
      </w:r>
    </w:p>
    <w:p w14:paraId="74E2B5E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zh-CN"/>
        </w:rPr>
        <w:t>（2</w:t>
      </w:r>
      <w:r>
        <w:rPr>
          <w:rFonts w:hint="eastAsia" w:ascii="宋体" w:hAnsi="宋体" w:eastAsia="宋体" w:cs="宋体"/>
          <w:color w:val="auto"/>
          <w:kern w:val="0"/>
          <w:szCs w:val="21"/>
          <w:highlight w:val="none"/>
        </w:rPr>
        <w:t>）凡参与招标工作的有关人员均应自觉接受有关主管部门的监督，不得向他人透露可能影响公平竞争的情况。</w:t>
      </w:r>
    </w:p>
    <w:p w14:paraId="27E238CE">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（3）开标后，直至向中标人</w:t>
      </w:r>
      <w:r>
        <w:rPr>
          <w:rFonts w:hint="eastAsia" w:ascii="宋体" w:hAnsi="宋体" w:eastAsia="宋体" w:cs="宋体"/>
          <w:color w:val="auto"/>
          <w:kern w:val="0"/>
          <w:szCs w:val="21"/>
          <w:highlight w:val="none"/>
          <w:lang w:eastAsia="zh-CN"/>
        </w:rPr>
        <w:t>授予合同期间</w:t>
      </w:r>
      <w:r>
        <w:rPr>
          <w:rFonts w:hint="eastAsia" w:ascii="宋体" w:hAnsi="宋体" w:eastAsia="宋体" w:cs="宋体"/>
          <w:color w:val="auto"/>
          <w:kern w:val="0"/>
          <w:szCs w:val="21"/>
          <w:highlight w:val="none"/>
        </w:rPr>
        <w:t>，凡与审查、澄清、评价和比较报价的有关资料以及授标意见等，参与评标工作的有关人员均不得向投标人及与评标无关的其他人透露。</w:t>
      </w:r>
    </w:p>
    <w:p w14:paraId="012C175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（4）除投标人被要求对投标文件进行澄清外，从递交投标文件截止之时起至授予合同期间，投标人不得就与其投标文件有关的事项主动与评标委员会、招标代理机构以及招标人联系。</w:t>
      </w:r>
    </w:p>
    <w:p w14:paraId="6FD57D0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从开标之日起至授予合同期间，在投标文件的审查、澄清、比较和评价阶段，投标人试图对评标委员会和招标代理机构施加任何影响或对招标人的比较及授予合同的决定产生影响，都可能导致其投标文件被拒绝。</w:t>
      </w:r>
    </w:p>
    <w:p w14:paraId="7375849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（6）投标人不得串通作弊，以不正当的手段妨碍、排挤其他投标人，扰乱采购市场，破坏公平竞争原则。</w:t>
      </w:r>
    </w:p>
    <w:p w14:paraId="5814CEAA">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rPr>
      </w:pPr>
    </w:p>
    <w:p w14:paraId="189CE783">
      <w:pPr>
        <w:keepNext/>
        <w:keepLine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89" w:name="_Toc486167667"/>
      <w:bookmarkStart w:id="90" w:name="_Toc1565"/>
      <w:bookmarkStart w:id="91" w:name="_Toc142508317"/>
      <w:bookmarkStart w:id="92" w:name="_Toc5395"/>
      <w:bookmarkStart w:id="93" w:name="_Toc140596876"/>
      <w:bookmarkStart w:id="94" w:name="_Toc5462"/>
      <w:bookmarkStart w:id="95" w:name="_Toc450662853"/>
      <w:bookmarkStart w:id="96" w:name="_Toc30507_WPSOffice_Level2"/>
      <w:r>
        <w:rPr>
          <w:rFonts w:hint="eastAsia" w:ascii="宋体" w:hAnsi="宋体" w:eastAsia="宋体" w:cs="宋体"/>
          <w:b/>
          <w:bCs/>
          <w:color w:val="auto"/>
          <w:kern w:val="44"/>
          <w:szCs w:val="21"/>
          <w:highlight w:val="none"/>
          <w:lang w:val="zh-CN"/>
        </w:rPr>
        <w:t>二、招标文件</w:t>
      </w:r>
      <w:bookmarkEnd w:id="89"/>
      <w:bookmarkEnd w:id="90"/>
      <w:bookmarkEnd w:id="91"/>
      <w:bookmarkEnd w:id="92"/>
      <w:bookmarkEnd w:id="93"/>
      <w:bookmarkEnd w:id="94"/>
      <w:bookmarkEnd w:id="95"/>
      <w:bookmarkEnd w:id="96"/>
    </w:p>
    <w:p w14:paraId="11B5E05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97" w:name="_Toc26635_WPSOffice_Level3"/>
      <w:bookmarkStart w:id="98" w:name="_Toc486167668"/>
      <w:bookmarkStart w:id="99" w:name="_Toc450662854"/>
      <w:bookmarkStart w:id="100" w:name="_Toc2406"/>
      <w:bookmarkStart w:id="101" w:name="_Toc28893"/>
      <w:bookmarkStart w:id="102" w:name="_Toc142508318"/>
      <w:bookmarkStart w:id="103" w:name="_Toc2283"/>
      <w:r>
        <w:rPr>
          <w:rFonts w:hint="eastAsia" w:ascii="宋体" w:hAnsi="宋体" w:eastAsia="宋体" w:cs="宋体"/>
          <w:color w:val="auto"/>
          <w:szCs w:val="21"/>
          <w:highlight w:val="none"/>
          <w:lang w:val="zh-CN"/>
        </w:rPr>
        <w:t>5 招标文件的构成</w:t>
      </w:r>
      <w:bookmarkEnd w:id="97"/>
      <w:bookmarkEnd w:id="98"/>
      <w:bookmarkEnd w:id="99"/>
      <w:bookmarkEnd w:id="100"/>
      <w:bookmarkEnd w:id="101"/>
      <w:bookmarkEnd w:id="102"/>
      <w:bookmarkEnd w:id="103"/>
    </w:p>
    <w:p w14:paraId="3A688EF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5.1</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招标文件包括：</w:t>
      </w:r>
    </w:p>
    <w:p w14:paraId="724C5682">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第一篇 招标公告</w:t>
      </w:r>
    </w:p>
    <w:p w14:paraId="0CF8971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第二篇 投标人须知</w:t>
      </w:r>
    </w:p>
    <w:p w14:paraId="708FCB5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第三篇 用户需求书</w:t>
      </w:r>
    </w:p>
    <w:p w14:paraId="54BE174C">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zh-CN"/>
        </w:rPr>
        <w:t>第四篇 合同条款</w:t>
      </w:r>
      <w:r>
        <w:rPr>
          <w:rFonts w:hint="eastAsia" w:ascii="宋体" w:hAnsi="宋体" w:eastAsia="宋体" w:cs="宋体"/>
          <w:color w:val="auto"/>
          <w:szCs w:val="21"/>
          <w:highlight w:val="none"/>
          <w:lang w:val="en-US" w:eastAsia="zh-CN"/>
        </w:rPr>
        <w:t>格式</w:t>
      </w:r>
    </w:p>
    <w:p w14:paraId="7F90C080">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第五篇 相关保函格式</w:t>
      </w:r>
    </w:p>
    <w:p w14:paraId="6931D6A9">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第六篇 投标文件格式</w:t>
      </w:r>
    </w:p>
    <w:p w14:paraId="731065CC">
      <w:pPr>
        <w:tabs>
          <w:tab w:val="left" w:pos="1890"/>
        </w:tabs>
        <w:autoSpaceDE w:val="0"/>
        <w:autoSpaceDN w:val="0"/>
        <w:adjustRightInd w:val="0"/>
        <w:spacing w:line="360" w:lineRule="auto"/>
        <w:ind w:firstLine="424" w:firstLineChars="20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附件一：评标工作大纲</w:t>
      </w:r>
    </w:p>
    <w:p w14:paraId="6E8FA019">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lang w:val="zh-CN"/>
        </w:rPr>
      </w:pPr>
      <w:r>
        <w:rPr>
          <w:rFonts w:hint="eastAsia" w:ascii="宋体" w:hAnsi="宋体" w:eastAsia="宋体" w:cs="宋体"/>
          <w:bCs/>
          <w:color w:val="auto"/>
          <w:szCs w:val="21"/>
          <w:highlight w:val="none"/>
          <w:lang w:val="zh-CN"/>
        </w:rPr>
        <w:t>5.2</w:t>
      </w:r>
      <w:r>
        <w:rPr>
          <w:rFonts w:hint="eastAsia" w:ascii="宋体" w:hAnsi="宋体" w:eastAsia="宋体" w:cs="宋体"/>
          <w:b/>
          <w:bCs/>
          <w:color w:val="auto"/>
          <w:szCs w:val="21"/>
          <w:highlight w:val="none"/>
          <w:lang w:val="en-US" w:eastAsia="zh-CN"/>
        </w:rPr>
        <w:t xml:space="preserve">  </w:t>
      </w:r>
      <w:r>
        <w:rPr>
          <w:rFonts w:hint="eastAsia" w:ascii="宋体" w:hAnsi="宋体" w:eastAsia="宋体" w:cs="宋体"/>
          <w:b/>
          <w:bCs/>
          <w:color w:val="auto"/>
          <w:szCs w:val="21"/>
          <w:highlight w:val="none"/>
          <w:u w:val="single"/>
          <w:lang w:val="zh-CN"/>
        </w:rPr>
        <w:t>投标人应审阅招标文件中所有须知、格式、条款和规格。投标人未按招标文件要求提供全部资料或提交的投标文件未对招标文件作出实质性响应（★标志的部分为投标人、投标拟供服务必备的条件或重要指示），那么投标人的投标文件将有可能被拒绝接收或评审为无效投标文件。</w:t>
      </w:r>
    </w:p>
    <w:p w14:paraId="5BAD693B">
      <w:pPr>
        <w:autoSpaceDE w:val="0"/>
        <w:autoSpaceDN w:val="0"/>
        <w:adjustRightInd w:val="0"/>
        <w:spacing w:line="360" w:lineRule="auto"/>
        <w:ind w:left="356" w:leftChars="-99" w:hanging="564" w:hangingChars="269"/>
        <w:rPr>
          <w:rFonts w:hint="eastAsia" w:ascii="宋体" w:hAnsi="宋体" w:eastAsia="宋体" w:cs="宋体"/>
          <w:b/>
          <w:bCs/>
          <w:color w:val="auto"/>
          <w:szCs w:val="21"/>
          <w:highlight w:val="none"/>
          <w:u w:val="single"/>
        </w:rPr>
      </w:pPr>
      <w:r>
        <w:rPr>
          <w:rFonts w:hint="eastAsia" w:ascii="宋体" w:hAnsi="宋体" w:eastAsia="宋体" w:cs="宋体"/>
          <w:color w:val="auto"/>
          <w:szCs w:val="21"/>
          <w:highlight w:val="none"/>
          <w:lang w:val="zh-CN"/>
        </w:rPr>
        <w:t>5.3  本招标文件使用的词语有如下定义：</w:t>
      </w:r>
    </w:p>
    <w:p w14:paraId="5AFD6C4C">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（1）“招标人”指</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w:t>
      </w:r>
    </w:p>
    <w:p w14:paraId="63E7FCC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（2）“招标代理机构”指</w:t>
      </w:r>
      <w:r>
        <w:rPr>
          <w:rFonts w:hint="eastAsia" w:ascii="宋体" w:hAnsi="宋体" w:eastAsia="宋体" w:cs="宋体"/>
          <w:color w:val="auto"/>
          <w:kern w:val="0"/>
          <w:szCs w:val="21"/>
          <w:highlight w:val="none"/>
          <w:lang w:eastAsia="zh-CN"/>
        </w:rPr>
        <w:t>广州宏达工程顾问集团有限公司</w:t>
      </w:r>
      <w:r>
        <w:rPr>
          <w:rFonts w:hint="eastAsia" w:ascii="宋体" w:hAnsi="宋体" w:eastAsia="宋体" w:cs="宋体"/>
          <w:color w:val="auto"/>
          <w:kern w:val="0"/>
          <w:szCs w:val="21"/>
          <w:highlight w:val="none"/>
        </w:rPr>
        <w:t>；</w:t>
      </w:r>
    </w:p>
    <w:p w14:paraId="1548AC56">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（3）“投标人”指参加</w:t>
      </w:r>
      <w:r>
        <w:rPr>
          <w:rFonts w:hint="eastAsia" w:ascii="宋体" w:hAnsi="宋体" w:eastAsia="宋体" w:cs="宋体"/>
          <w:color w:val="auto"/>
          <w:kern w:val="0"/>
          <w:szCs w:val="21"/>
          <w:highlight w:val="none"/>
          <w:lang w:eastAsia="zh-CN"/>
        </w:rPr>
        <w:t>东莞市水务环境投资控股集团供水有限公司2026-2027年度清洁保洁、绿化养护、除“四害”及灭蚁防治服务采购项目</w:t>
      </w:r>
      <w:r>
        <w:rPr>
          <w:rFonts w:hint="eastAsia" w:ascii="宋体" w:hAnsi="宋体" w:eastAsia="宋体" w:cs="宋体"/>
          <w:color w:val="auto"/>
          <w:kern w:val="0"/>
          <w:szCs w:val="21"/>
          <w:highlight w:val="none"/>
        </w:rPr>
        <w:t>所需的</w:t>
      </w:r>
      <w:r>
        <w:rPr>
          <w:rFonts w:hint="eastAsia" w:ascii="宋体" w:hAnsi="宋体" w:eastAsia="宋体" w:cs="宋体"/>
          <w:color w:val="auto"/>
          <w:kern w:val="0"/>
          <w:szCs w:val="21"/>
          <w:highlight w:val="none"/>
          <w:lang w:val="en-US" w:eastAsia="zh-CN"/>
        </w:rPr>
        <w:t>服务</w:t>
      </w:r>
      <w:r>
        <w:rPr>
          <w:rFonts w:hint="eastAsia" w:ascii="宋体" w:hAnsi="宋体" w:eastAsia="宋体" w:cs="宋体"/>
          <w:color w:val="auto"/>
          <w:kern w:val="0"/>
          <w:szCs w:val="21"/>
          <w:highlight w:val="none"/>
        </w:rPr>
        <w:t>的投标，并向招标代理机构提交投标文件的当事人；</w:t>
      </w:r>
    </w:p>
    <w:p w14:paraId="7382D83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（4）“评标委员会”是依照《中华人民共和国招标投标法》等法规组建的专门负责本次评标工作的临时性机构；</w:t>
      </w:r>
    </w:p>
    <w:p w14:paraId="7FCC9291">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（5）“中标人”指其投标被招标人接受，并与招标人签订合同的当事人；</w:t>
      </w:r>
    </w:p>
    <w:p w14:paraId="6A7A744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（6）“甲方”指在合同条款中指明的购买服务的单位，即东莞市水务环境投资控股集团供水有限公司；</w:t>
      </w:r>
    </w:p>
    <w:p w14:paraId="7B75586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（7）“乙方”指在合同条款中指明的本合同项下提供服务的公司或实体；</w:t>
      </w:r>
    </w:p>
    <w:p w14:paraId="4E82C8E0">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（8）“招标文件”指招标公告和招标文件及其补充、变更和澄清等一系列文件；</w:t>
      </w:r>
    </w:p>
    <w:p w14:paraId="218D5519">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（9）“投标文件”指投标人根据本招标文件向</w:t>
      </w:r>
      <w:r>
        <w:rPr>
          <w:rFonts w:hint="eastAsia" w:ascii="宋体" w:hAnsi="宋体" w:eastAsia="宋体" w:cs="宋体"/>
          <w:color w:val="auto"/>
          <w:kern w:val="0"/>
          <w:szCs w:val="21"/>
          <w:highlight w:val="none"/>
          <w:lang w:val="en-US" w:eastAsia="zh-CN"/>
        </w:rPr>
        <w:t>交易系统在线上传</w:t>
      </w:r>
      <w:r>
        <w:rPr>
          <w:rFonts w:hint="eastAsia" w:ascii="宋体" w:hAnsi="宋体" w:eastAsia="宋体" w:cs="宋体"/>
          <w:color w:val="auto"/>
          <w:kern w:val="0"/>
          <w:szCs w:val="21"/>
          <w:highlight w:val="none"/>
        </w:rPr>
        <w:t>的全部文件；</w:t>
      </w:r>
    </w:p>
    <w:p w14:paraId="037F0943">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（10）“书面函件”指手写、打字或印刷的函件，包括电传、电报和传真；</w:t>
      </w:r>
    </w:p>
    <w:p w14:paraId="620CCDEA">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（11）“合同”指由本次招标所产生的合同或合约文件；</w:t>
      </w:r>
    </w:p>
    <w:p w14:paraId="2165B418">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（12）“日期”指公历日，“时间”指北京时间；</w:t>
      </w:r>
    </w:p>
    <w:p w14:paraId="0FB7AD07">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（13）本招标文件中的“境内”特指中华人民共和国海关关境以内，“境外”特指中华人民共和国海关关境以外；</w:t>
      </w:r>
    </w:p>
    <w:p w14:paraId="6F336DDD">
      <w:pPr>
        <w:autoSpaceDE w:val="0"/>
        <w:autoSpaceDN w:val="0"/>
        <w:adjustRightInd w:val="0"/>
        <w:spacing w:line="360" w:lineRule="auto"/>
        <w:ind w:left="441" w:leftChars="-6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14）不含税价，即为《中华人民共和国增值税暂行条例》（国务院令第691号修订版）规定的销售额。本招标文件所称的不含税价和不含税合同价是指不含本采购项目投标人的销项税额，包含了投标人完成合同义务（</w:t>
      </w:r>
      <w:r>
        <w:rPr>
          <w:rFonts w:hint="eastAsia" w:ascii="宋体" w:hAnsi="宋体" w:eastAsia="宋体" w:cs="宋体"/>
          <w:kern w:val="0"/>
          <w:szCs w:val="21"/>
          <w:highlight w:val="none"/>
        </w:rPr>
        <w:t>含投标人代缴代扣、分包及委外服务、施工、采购货物等所产生的价税</w:t>
      </w:r>
      <w:r>
        <w:rPr>
          <w:rFonts w:hint="eastAsia" w:ascii="宋体" w:hAnsi="宋体" w:eastAsia="宋体" w:cs="宋体"/>
          <w:color w:val="auto"/>
          <w:kern w:val="0"/>
          <w:szCs w:val="21"/>
          <w:highlight w:val="none"/>
        </w:rPr>
        <w:t>）的其他全部费用。本采购项目投标人的销项税额由招标人承担，不计入投标报价。</w:t>
      </w:r>
    </w:p>
    <w:p w14:paraId="6C7E4720">
      <w:pPr>
        <w:autoSpaceDE w:val="0"/>
        <w:autoSpaceDN w:val="0"/>
        <w:adjustRightInd w:val="0"/>
        <w:spacing w:line="360" w:lineRule="auto"/>
        <w:ind w:left="951" w:leftChars="78" w:hanging="787" w:hangingChars="375"/>
        <w:rPr>
          <w:rFonts w:hint="eastAsia" w:ascii="宋体" w:hAnsi="宋体" w:eastAsia="宋体" w:cs="宋体"/>
          <w:color w:val="auto"/>
          <w:szCs w:val="21"/>
          <w:highlight w:val="none"/>
          <w:lang w:val="zh-CN"/>
        </w:rPr>
      </w:pPr>
    </w:p>
    <w:p w14:paraId="71EE059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04" w:name="_Toc142508319"/>
      <w:bookmarkStart w:id="105" w:name="_Toc19474"/>
      <w:bookmarkStart w:id="106" w:name="_Toc3727"/>
      <w:bookmarkStart w:id="107" w:name="_Toc11346"/>
      <w:bookmarkStart w:id="108" w:name="_Toc29125_WPSOffice_Level3"/>
      <w:bookmarkStart w:id="109" w:name="_Toc450662855"/>
      <w:bookmarkStart w:id="110" w:name="_Toc486167669"/>
      <w:r>
        <w:rPr>
          <w:rFonts w:hint="eastAsia" w:ascii="宋体" w:hAnsi="宋体" w:eastAsia="宋体" w:cs="宋体"/>
          <w:color w:val="auto"/>
          <w:szCs w:val="21"/>
          <w:highlight w:val="none"/>
          <w:lang w:val="zh-CN"/>
        </w:rPr>
        <w:t>6 招标文件的异议</w:t>
      </w:r>
      <w:bookmarkEnd w:id="104"/>
      <w:bookmarkEnd w:id="105"/>
      <w:bookmarkEnd w:id="106"/>
      <w:bookmarkEnd w:id="107"/>
      <w:bookmarkEnd w:id="108"/>
      <w:bookmarkEnd w:id="109"/>
      <w:bookmarkEnd w:id="110"/>
    </w:p>
    <w:p w14:paraId="05E0D40A">
      <w:pPr>
        <w:autoSpaceDE w:val="0"/>
        <w:autoSpaceDN w:val="0"/>
        <w:adjustRightInd w:val="0"/>
        <w:spacing w:line="360" w:lineRule="auto"/>
        <w:ind w:left="8" w:leftChars="0" w:firstLine="411" w:firstLineChars="196"/>
        <w:rPr>
          <w:rFonts w:hint="eastAsia" w:ascii="宋体" w:hAnsi="宋体" w:eastAsia="宋体" w:cs="宋体"/>
          <w:bCs/>
          <w:color w:val="auto"/>
          <w:szCs w:val="21"/>
          <w:highlight w:val="none"/>
          <w:lang w:val="zh-CN"/>
        </w:rPr>
      </w:pPr>
      <w:r>
        <w:rPr>
          <w:rFonts w:hint="eastAsia" w:ascii="宋体" w:hAnsi="宋体" w:eastAsia="宋体" w:cs="宋体"/>
          <w:bCs/>
          <w:color w:val="auto"/>
          <w:szCs w:val="21"/>
          <w:highlight w:val="none"/>
          <w:lang w:val="zh-CN"/>
        </w:rPr>
        <w:t>投标人或者其他利害关系人对招标文件有异议的，应当在投标截止时间10日前</w:t>
      </w:r>
      <w:r>
        <w:rPr>
          <w:rFonts w:hint="eastAsia" w:ascii="宋体" w:hAnsi="宋体" w:eastAsia="宋体" w:cs="宋体"/>
          <w:color w:val="auto"/>
          <w:szCs w:val="21"/>
          <w:highlight w:val="none"/>
          <w:lang w:val="zh-CN"/>
        </w:rPr>
        <w:t>以书面形式向招标代理机构提出，并将材料原件送达招标代理机构，逾期则视为对招标文件所有内容无异议。</w:t>
      </w:r>
      <w:r>
        <w:rPr>
          <w:rFonts w:hint="eastAsia" w:ascii="宋体" w:hAnsi="宋体" w:eastAsia="宋体" w:cs="宋体"/>
          <w:bCs/>
          <w:color w:val="auto"/>
          <w:szCs w:val="21"/>
          <w:highlight w:val="none"/>
          <w:lang w:val="zh-CN"/>
        </w:rPr>
        <w:t>异议</w:t>
      </w:r>
      <w:r>
        <w:rPr>
          <w:rFonts w:hint="eastAsia" w:ascii="宋体" w:hAnsi="宋体" w:eastAsia="宋体" w:cs="宋体"/>
          <w:color w:val="auto"/>
          <w:szCs w:val="21"/>
          <w:highlight w:val="none"/>
          <w:lang w:val="zh-CN"/>
        </w:rPr>
        <w:t>书面材料必须加盖投标人法人公章，并注明联系人、联系电话、联系地址。</w:t>
      </w:r>
      <w:r>
        <w:rPr>
          <w:rFonts w:hint="eastAsia" w:ascii="宋体" w:hAnsi="宋体" w:eastAsia="宋体" w:cs="宋体"/>
          <w:bCs/>
          <w:color w:val="auto"/>
          <w:szCs w:val="21"/>
          <w:highlight w:val="none"/>
          <w:lang w:val="zh-CN"/>
        </w:rPr>
        <w:t>超出</w:t>
      </w:r>
      <w:r>
        <w:rPr>
          <w:rFonts w:hint="eastAsia" w:ascii="宋体" w:hAnsi="宋体" w:eastAsia="宋体" w:cs="宋体"/>
          <w:color w:val="auto"/>
          <w:szCs w:val="21"/>
          <w:highlight w:val="none"/>
          <w:lang w:val="zh-CN"/>
        </w:rPr>
        <w:t>提交接收异议截止时间而</w:t>
      </w:r>
      <w:r>
        <w:rPr>
          <w:rFonts w:hint="eastAsia" w:ascii="宋体" w:hAnsi="宋体" w:eastAsia="宋体" w:cs="宋体"/>
          <w:bCs/>
          <w:color w:val="auto"/>
          <w:szCs w:val="21"/>
          <w:highlight w:val="none"/>
          <w:lang w:val="zh-CN"/>
        </w:rPr>
        <w:t>提出的任何疑问，招标代理机构可不予答复。</w:t>
      </w:r>
      <w:r>
        <w:rPr>
          <w:rFonts w:hint="eastAsia" w:ascii="宋体" w:hAnsi="宋体" w:eastAsia="宋体" w:cs="宋体"/>
          <w:b/>
          <w:bCs/>
          <w:color w:val="auto"/>
          <w:szCs w:val="21"/>
          <w:highlight w:val="none"/>
          <w:u w:val="single"/>
          <w:lang w:val="zh-CN"/>
        </w:rPr>
        <w:t>投标人必须在投标文件中提供投标承诺书（格式详见第六篇投标文件格式）</w:t>
      </w:r>
      <w:r>
        <w:rPr>
          <w:rFonts w:hint="eastAsia" w:ascii="宋体" w:hAnsi="宋体" w:eastAsia="宋体" w:cs="宋体"/>
          <w:b/>
          <w:bCs/>
          <w:color w:val="auto"/>
          <w:szCs w:val="21"/>
          <w:highlight w:val="none"/>
          <w:lang w:val="zh-CN"/>
        </w:rPr>
        <w:t>。</w:t>
      </w:r>
    </w:p>
    <w:p w14:paraId="0D307342">
      <w:pPr>
        <w:autoSpaceDE w:val="0"/>
        <w:autoSpaceDN w:val="0"/>
        <w:adjustRightInd w:val="0"/>
        <w:spacing w:line="360" w:lineRule="auto"/>
        <w:ind w:left="290" w:leftChars="137" w:hanging="2" w:hangingChars="1"/>
        <w:rPr>
          <w:rFonts w:hint="eastAsia" w:ascii="宋体" w:hAnsi="宋体" w:eastAsia="宋体" w:cs="宋体"/>
          <w:b/>
          <w:bCs/>
          <w:color w:val="auto"/>
          <w:szCs w:val="21"/>
          <w:highlight w:val="none"/>
          <w:lang w:val="zh-CN"/>
        </w:rPr>
      </w:pPr>
    </w:p>
    <w:p w14:paraId="43313630">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11" w:name="_Toc142508320"/>
      <w:bookmarkStart w:id="112" w:name="_Toc17145"/>
      <w:bookmarkStart w:id="113" w:name="_Toc450662856"/>
      <w:bookmarkStart w:id="114" w:name="_Toc486167670"/>
      <w:bookmarkStart w:id="115" w:name="_Toc29864"/>
      <w:bookmarkStart w:id="116" w:name="_Toc23483_WPSOffice_Level3"/>
      <w:bookmarkStart w:id="117" w:name="_Toc18648"/>
      <w:r>
        <w:rPr>
          <w:rFonts w:hint="eastAsia" w:ascii="宋体" w:hAnsi="宋体" w:eastAsia="宋体" w:cs="宋体"/>
          <w:color w:val="auto"/>
          <w:szCs w:val="21"/>
          <w:highlight w:val="none"/>
          <w:lang w:val="zh-CN"/>
        </w:rPr>
        <w:t>7 招标文件的澄清及修改</w:t>
      </w:r>
      <w:bookmarkEnd w:id="111"/>
      <w:bookmarkEnd w:id="112"/>
      <w:bookmarkEnd w:id="113"/>
      <w:bookmarkEnd w:id="114"/>
      <w:bookmarkEnd w:id="115"/>
      <w:bookmarkEnd w:id="116"/>
      <w:bookmarkEnd w:id="117"/>
    </w:p>
    <w:p w14:paraId="39E7B76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7.1  招标代理机构对已发出的招标文件进行必要澄清或者修改的，将在招标文件要求提交投标文件截止时间15日前，在招标信息发布媒介上发布更正公告，请各投标人密切留意。该澄清或者修改的内容为招标文件的组成部分。</w:t>
      </w:r>
    </w:p>
    <w:p w14:paraId="52B443F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7.2</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项目特定情况下，招标代理机构必须延长投标截止时间和开标时间时，将在招标文件要求提交投标文件的截止时间前，在招标信息发布媒介上发布变更公告。</w:t>
      </w:r>
    </w:p>
    <w:p w14:paraId="7830FB81">
      <w:pPr>
        <w:keepNext w:val="0"/>
        <w:keepLines w:val="0"/>
        <w:pageBreakBefore w:val="0"/>
        <w:widowControl w:val="0"/>
        <w:kinsoku/>
        <w:wordWrap w:val="0"/>
        <w:overflowPunct/>
        <w:topLinePunct w:val="0"/>
        <w:autoSpaceDE w:val="0"/>
        <w:autoSpaceDN w:val="0"/>
        <w:bidi w:val="0"/>
        <w:adjustRightInd w:val="0"/>
        <w:snapToGrid/>
        <w:spacing w:line="360" w:lineRule="auto"/>
        <w:ind w:left="357" w:leftChars="-100" w:hanging="567"/>
        <w:jc w:val="left"/>
        <w:textAlignment w:val="auto"/>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7.3 </w:t>
      </w:r>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招标文件的修改、补充通知在全国公共资源交易平台（广东省·东莞市）（https://ygp.gdzwfw.gov.cn/#/441900/index）、中国招标投标公共服务平台（</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"http://www.cebpubservice.com）、广东省招标投标监管"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www.cebpubservice.com）、</w:t>
      </w:r>
      <w:r>
        <w:rPr>
          <w:rFonts w:hint="eastAsia" w:ascii="宋体" w:hAnsi="宋体" w:eastAsia="宋体" w:cs="宋体"/>
          <w:color w:val="auto"/>
          <w:szCs w:val="21"/>
          <w:highlight w:val="none"/>
          <w:lang w:val="zh-CN"/>
        </w:rPr>
        <w:fldChar w:fldCharType="end"/>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begin"/>
      </w:r>
      <w:r>
        <w:rPr>
          <w:rFonts w:hint="eastAsia" w:ascii="宋体" w:hAnsi="宋体" w:eastAsia="宋体" w:cs="宋体"/>
          <w:color w:val="auto"/>
          <w:szCs w:val="21"/>
          <w:highlight w:val="none"/>
          <w:lang w:val="zh-CN"/>
        </w:rPr>
        <w:instrText xml:space="preserve"> HYPERLINK "www.dgswjt.cn）、招标代理公司网站（http://%20%20%20%20%20%20%20%20%20%20%20%20%20%20）" </w:instrText>
      </w:r>
      <w:r>
        <w:rPr>
          <w:rFonts w:hint="eastAsia" w:ascii="宋体" w:hAnsi="宋体" w:eastAsia="宋体" w:cs="宋体"/>
          <w:color w:val="auto"/>
          <w:szCs w:val="21"/>
          <w:highlight w:val="none"/>
          <w:lang w:val="zh-CN"/>
        </w:rPr>
        <w:fldChar w:fldCharType="separate"/>
      </w:r>
      <w:r>
        <w:rPr>
          <w:rFonts w:hint="eastAsia" w:ascii="宋体" w:hAnsi="宋体" w:eastAsia="宋体" w:cs="宋体"/>
          <w:color w:val="auto"/>
          <w:szCs w:val="21"/>
          <w:highlight w:val="none"/>
          <w:lang w:val="zh-CN"/>
        </w:rPr>
        <w:t>www.</w:t>
      </w:r>
      <w:r>
        <w:rPr>
          <w:rFonts w:hint="eastAsia" w:ascii="宋体" w:hAnsi="宋体" w:eastAsia="宋体" w:cs="宋体"/>
          <w:bCs/>
          <w:color w:val="auto"/>
          <w:szCs w:val="21"/>
          <w:highlight w:val="none"/>
        </w:rPr>
        <w:t>dg</w:t>
      </w:r>
      <w:r>
        <w:rPr>
          <w:rFonts w:hint="eastAsia" w:ascii="宋体" w:hAnsi="宋体" w:eastAsia="宋体" w:cs="宋体"/>
          <w:bCs/>
          <w:color w:val="auto"/>
          <w:szCs w:val="21"/>
          <w:highlight w:val="none"/>
          <w:lang w:val="en-US" w:eastAsia="zh-CN"/>
        </w:rPr>
        <w:t>swjt</w:t>
      </w:r>
      <w:r>
        <w:rPr>
          <w:rFonts w:hint="eastAsia" w:ascii="宋体" w:hAnsi="宋体" w:eastAsia="宋体" w:cs="宋体"/>
          <w:color w:val="auto"/>
          <w:szCs w:val="21"/>
          <w:highlight w:val="none"/>
          <w:lang w:val="zh-CN"/>
        </w:rPr>
        <w:t>.cn）、招标代理机构网站（</w:t>
      </w:r>
      <w:r>
        <w:rPr>
          <w:rFonts w:hint="eastAsia" w:ascii="宋体" w:hAnsi="宋体" w:eastAsia="宋体" w:cs="宋体"/>
          <w:color w:val="auto"/>
          <w:szCs w:val="21"/>
          <w:highlight w:val="none"/>
          <w:lang w:val="zh-CN" w:eastAsia="zh-CN"/>
        </w:rPr>
        <w:t>www.wangtat.com.cn</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公布，请各投标人密切留意。</w:t>
      </w:r>
    </w:p>
    <w:p w14:paraId="50B72E5F">
      <w:pPr>
        <w:autoSpaceDE w:val="0"/>
        <w:autoSpaceDN w:val="0"/>
        <w:adjustRightInd w:val="0"/>
        <w:spacing w:line="360" w:lineRule="auto"/>
        <w:ind w:left="357" w:leftChars="-100" w:hanging="567"/>
        <w:rPr>
          <w:rFonts w:hint="eastAsia" w:ascii="宋体" w:hAnsi="宋体" w:eastAsia="宋体" w:cs="宋体"/>
          <w:color w:val="auto"/>
          <w:szCs w:val="21"/>
          <w:highlight w:val="none"/>
        </w:rPr>
      </w:pPr>
    </w:p>
    <w:p w14:paraId="144C6514">
      <w:pPr>
        <w:keepNext/>
        <w:keepLines/>
        <w:tabs>
          <w:tab w:val="left" w:pos="509"/>
        </w:tabs>
        <w:autoSpaceDE w:val="0"/>
        <w:autoSpaceDN w:val="0"/>
        <w:adjustRightInd w:val="0"/>
        <w:spacing w:line="360" w:lineRule="auto"/>
        <w:jc w:val="left"/>
        <w:outlineLvl w:val="0"/>
        <w:rPr>
          <w:rFonts w:hint="eastAsia" w:ascii="宋体" w:hAnsi="宋体" w:eastAsia="宋体" w:cs="宋体"/>
          <w:b/>
          <w:bCs/>
          <w:color w:val="auto"/>
          <w:kern w:val="44"/>
          <w:szCs w:val="21"/>
          <w:highlight w:val="none"/>
          <w:lang w:val="zh-CN"/>
        </w:rPr>
      </w:pPr>
      <w:bookmarkStart w:id="118" w:name="_Toc24583"/>
      <w:bookmarkStart w:id="119" w:name="_Toc140596880"/>
      <w:bookmarkStart w:id="120" w:name="_Toc8711"/>
      <w:bookmarkStart w:id="121" w:name="_Toc486167671"/>
      <w:bookmarkStart w:id="122" w:name="_Toc23342"/>
      <w:bookmarkStart w:id="123" w:name="_Toc29659_WPSOffice_Level2"/>
      <w:bookmarkStart w:id="124" w:name="_Toc450662857"/>
      <w:bookmarkStart w:id="125" w:name="_Toc142508321"/>
      <w:r>
        <w:rPr>
          <w:rFonts w:hint="eastAsia" w:ascii="宋体" w:hAnsi="宋体" w:eastAsia="宋体" w:cs="宋体"/>
          <w:b/>
          <w:bCs/>
          <w:color w:val="auto"/>
          <w:kern w:val="44"/>
          <w:szCs w:val="21"/>
          <w:highlight w:val="none"/>
          <w:lang w:val="zh-CN"/>
        </w:rPr>
        <w:t>三、投标文件的编制</w:t>
      </w:r>
      <w:bookmarkEnd w:id="118"/>
      <w:bookmarkEnd w:id="119"/>
      <w:bookmarkEnd w:id="120"/>
      <w:bookmarkEnd w:id="121"/>
      <w:bookmarkEnd w:id="122"/>
      <w:bookmarkEnd w:id="123"/>
      <w:bookmarkEnd w:id="124"/>
      <w:bookmarkEnd w:id="125"/>
    </w:p>
    <w:p w14:paraId="2E6DCD8B">
      <w:pPr>
        <w:tabs>
          <w:tab w:val="left" w:pos="67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26" w:name="_Toc486167672"/>
      <w:bookmarkStart w:id="127" w:name="_Toc6244"/>
      <w:bookmarkStart w:id="128" w:name="_Toc142508322"/>
      <w:bookmarkStart w:id="129" w:name="_Toc10015_WPSOffice_Level3"/>
      <w:bookmarkStart w:id="130" w:name="_Toc31162"/>
      <w:bookmarkStart w:id="131" w:name="_Toc4453"/>
      <w:bookmarkStart w:id="132" w:name="_Toc450662858"/>
      <w:r>
        <w:rPr>
          <w:rFonts w:hint="eastAsia" w:ascii="宋体" w:hAnsi="宋体" w:eastAsia="宋体" w:cs="宋体"/>
          <w:color w:val="auto"/>
          <w:szCs w:val="21"/>
          <w:highlight w:val="none"/>
          <w:lang w:val="zh-CN"/>
        </w:rPr>
        <w:t>8 投标使用的文字及度量衡单位</w:t>
      </w:r>
      <w:bookmarkEnd w:id="126"/>
      <w:bookmarkEnd w:id="127"/>
      <w:bookmarkEnd w:id="128"/>
      <w:bookmarkEnd w:id="129"/>
      <w:bookmarkEnd w:id="130"/>
      <w:bookmarkEnd w:id="131"/>
      <w:bookmarkEnd w:id="132"/>
    </w:p>
    <w:p w14:paraId="3354828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8.1  投标人的投标文件以及投标人与招标代理机构就有关投标的所有往来函电均应使用简体中文。</w:t>
      </w:r>
    </w:p>
    <w:p w14:paraId="5B1041D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8.2  投标文件使用的度量衡单位采用中华人民共和国法定计量单位。</w:t>
      </w:r>
    </w:p>
    <w:p w14:paraId="0DEB427F">
      <w:pPr>
        <w:autoSpaceDE w:val="0"/>
        <w:autoSpaceDN w:val="0"/>
        <w:adjustRightInd w:val="0"/>
        <w:spacing w:line="360" w:lineRule="auto"/>
        <w:rPr>
          <w:rFonts w:hint="eastAsia" w:ascii="宋体" w:hAnsi="宋体" w:eastAsia="宋体" w:cs="宋体"/>
          <w:color w:val="auto"/>
          <w:szCs w:val="21"/>
          <w:highlight w:val="none"/>
          <w:lang w:val="zh-CN"/>
        </w:rPr>
      </w:pPr>
    </w:p>
    <w:p w14:paraId="10F8B56C">
      <w:pPr>
        <w:tabs>
          <w:tab w:val="left" w:pos="540"/>
        </w:tabs>
        <w:autoSpaceDE w:val="0"/>
        <w:autoSpaceDN w:val="0"/>
        <w:adjustRightInd w:val="0"/>
        <w:spacing w:line="360" w:lineRule="auto"/>
        <w:ind w:left="357" w:leftChars="-100" w:hanging="567"/>
        <w:jc w:val="left"/>
        <w:outlineLvl w:val="2"/>
        <w:rPr>
          <w:rFonts w:hint="eastAsia" w:ascii="宋体" w:hAnsi="宋体" w:eastAsia="宋体" w:cs="宋体"/>
          <w:color w:val="auto"/>
          <w:sz w:val="24"/>
          <w:szCs w:val="24"/>
          <w:highlight w:val="none"/>
          <w:lang w:val="zh-CN"/>
        </w:rPr>
      </w:pPr>
      <w:bookmarkStart w:id="133" w:name="_Toc14943"/>
      <w:bookmarkStart w:id="134" w:name="_Toc7348"/>
      <w:bookmarkStart w:id="135" w:name="_Toc31286"/>
      <w:bookmarkStart w:id="136" w:name="_Toc486167673"/>
      <w:bookmarkStart w:id="137" w:name="_Toc450662859"/>
      <w:bookmarkStart w:id="138" w:name="_Toc142508323"/>
      <w:bookmarkStart w:id="139" w:name="_Toc24916_WPSOffice_Level3"/>
      <w:r>
        <w:rPr>
          <w:rFonts w:hint="eastAsia" w:ascii="宋体" w:hAnsi="宋体" w:eastAsia="宋体" w:cs="宋体"/>
          <w:color w:val="auto"/>
          <w:szCs w:val="21"/>
          <w:highlight w:val="none"/>
          <w:lang w:val="zh-CN"/>
        </w:rPr>
        <w:t>9</w:t>
      </w:r>
      <w:r>
        <w:rPr>
          <w:rFonts w:hint="eastAsia" w:ascii="宋体" w:hAnsi="宋体" w:eastAsia="宋体" w:cs="宋体"/>
          <w:color w:val="auto"/>
          <w:sz w:val="24"/>
          <w:szCs w:val="24"/>
          <w:highlight w:val="none"/>
          <w:lang w:val="zh-CN"/>
        </w:rPr>
        <w:t xml:space="preserve"> </w:t>
      </w:r>
      <w:r>
        <w:rPr>
          <w:rFonts w:hint="eastAsia" w:ascii="宋体" w:hAnsi="宋体" w:eastAsia="宋体" w:cs="宋体"/>
          <w:color w:val="auto"/>
          <w:szCs w:val="21"/>
          <w:highlight w:val="none"/>
          <w:lang w:val="zh-CN"/>
        </w:rPr>
        <w:t>投标文件的组成</w:t>
      </w:r>
      <w:bookmarkEnd w:id="133"/>
      <w:bookmarkEnd w:id="134"/>
      <w:bookmarkEnd w:id="135"/>
      <w:bookmarkEnd w:id="136"/>
      <w:bookmarkEnd w:id="137"/>
      <w:bookmarkEnd w:id="138"/>
      <w:bookmarkEnd w:id="139"/>
    </w:p>
    <w:p w14:paraId="67DDFE57">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 xml:space="preserve">9.1  </w:t>
      </w:r>
      <w:r>
        <w:rPr>
          <w:rFonts w:hint="eastAsia" w:ascii="宋体" w:hAnsi="宋体" w:eastAsia="宋体" w:cs="宋体"/>
          <w:color w:val="auto"/>
          <w:kern w:val="0"/>
          <w:szCs w:val="24"/>
          <w:highlight w:val="none"/>
        </w:rPr>
        <w:t>投标文件的组成：</w:t>
      </w:r>
      <w:r>
        <w:rPr>
          <w:rFonts w:hint="eastAsia" w:ascii="宋体" w:hAnsi="宋体" w:eastAsia="宋体" w:cs="宋体"/>
          <w:b/>
          <w:color w:val="auto"/>
          <w:kern w:val="0"/>
          <w:szCs w:val="21"/>
          <w:highlight w:val="none"/>
          <w:u w:val="single"/>
        </w:rPr>
        <w:t>商务标、技术标、报价信封三部分组成</w:t>
      </w:r>
      <w:r>
        <w:rPr>
          <w:rFonts w:hint="eastAsia" w:ascii="宋体" w:hAnsi="宋体" w:eastAsia="宋体" w:cs="宋体"/>
          <w:b/>
          <w:color w:val="auto"/>
          <w:kern w:val="0"/>
          <w:szCs w:val="21"/>
          <w:highlight w:val="none"/>
        </w:rPr>
        <w:t>。</w:t>
      </w:r>
    </w:p>
    <w:p w14:paraId="09CA55E0">
      <w:pPr>
        <w:autoSpaceDE w:val="0"/>
        <w:autoSpaceDN w:val="0"/>
        <w:adjustRightInd w:val="0"/>
        <w:spacing w:line="360" w:lineRule="auto"/>
        <w:ind w:left="422" w:leftChars="-100" w:hanging="632" w:hangingChars="300"/>
        <w:rPr>
          <w:rFonts w:hint="eastAsia" w:ascii="宋体" w:hAnsi="宋体" w:eastAsia="宋体" w:cs="宋体"/>
          <w:b/>
          <w:color w:val="auto"/>
          <w:kern w:val="0"/>
          <w:szCs w:val="21"/>
          <w:highlight w:val="none"/>
        </w:rPr>
      </w:pPr>
      <w:r>
        <w:rPr>
          <w:rFonts w:hint="eastAsia" w:ascii="宋体" w:hAnsi="宋体" w:eastAsia="宋体" w:cs="宋体"/>
          <w:b/>
          <w:color w:val="auto"/>
          <w:kern w:val="0"/>
          <w:szCs w:val="24"/>
          <w:highlight w:val="none"/>
        </w:rPr>
        <w:t>9.1.1 商务</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34630ABB">
      <w:pPr>
        <w:autoSpaceDE w:val="0"/>
        <w:autoSpaceDN w:val="0"/>
        <w:adjustRightInd w:val="0"/>
        <w:spacing w:line="360" w:lineRule="auto"/>
        <w:jc w:val="left"/>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 w:val="24"/>
          <w:szCs w:val="24"/>
          <w:highlight w:val="none"/>
          <w:lang w:val="zh-CN"/>
        </w:rPr>
        <w:t xml:space="preserve">   </w:t>
      </w:r>
      <w:r>
        <w:rPr>
          <w:rFonts w:hint="eastAsia" w:ascii="宋体" w:hAnsi="宋体" w:eastAsia="宋体" w:cs="宋体"/>
          <w:b/>
          <w:color w:val="auto"/>
          <w:kern w:val="0"/>
          <w:szCs w:val="21"/>
          <w:highlight w:val="none"/>
          <w:lang w:val="zh-CN"/>
        </w:rPr>
        <w:t>目录：</w:t>
      </w:r>
    </w:p>
    <w:p w14:paraId="391D1165">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（1）投标函；</w:t>
      </w:r>
    </w:p>
    <w:p w14:paraId="19481A89">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（2）投标承诺书；</w:t>
      </w:r>
    </w:p>
    <w:p w14:paraId="786C2F1F">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（3）供货及/或提供服务过程承诺函；</w:t>
      </w:r>
    </w:p>
    <w:p w14:paraId="70A17814">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）投标人资格证明文件：</w:t>
      </w:r>
    </w:p>
    <w:p w14:paraId="5BF28CD7">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1）多证合一营业执照</w:t>
      </w:r>
      <w:r>
        <w:rPr>
          <w:rFonts w:hint="eastAsia" w:ascii="宋体" w:hAnsi="宋体" w:eastAsia="宋体" w:cs="宋体"/>
          <w:color w:val="auto"/>
          <w:kern w:val="0"/>
          <w:szCs w:val="21"/>
          <w:highlight w:val="none"/>
        </w:rPr>
        <w:t>（或事业单位法人证书）</w:t>
      </w:r>
      <w:r>
        <w:rPr>
          <w:rFonts w:hint="eastAsia" w:ascii="宋体" w:hAnsi="宋体" w:eastAsia="宋体" w:cs="宋体"/>
          <w:color w:val="auto"/>
          <w:kern w:val="0"/>
          <w:szCs w:val="21"/>
          <w:highlight w:val="none"/>
          <w:lang w:val="en-US" w:eastAsia="zh-CN"/>
        </w:rPr>
        <w:t>原件扫</w:t>
      </w:r>
      <w:r>
        <w:rPr>
          <w:rFonts w:hint="eastAsia" w:ascii="宋体" w:hAnsi="宋体" w:eastAsia="宋体" w:cs="宋体"/>
          <w:color w:val="auto"/>
          <w:szCs w:val="21"/>
          <w:highlight w:val="none"/>
          <w:lang w:val="zh-CN"/>
        </w:rPr>
        <w:t>描件；</w:t>
      </w:r>
    </w:p>
    <w:p w14:paraId="6B271975">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AC76044">
      <w:pPr>
        <w:autoSpaceDE w:val="0"/>
        <w:autoSpaceDN w:val="0"/>
        <w:adjustRightInd w:val="0"/>
        <w:spacing w:line="360" w:lineRule="auto"/>
        <w:ind w:left="283" w:hanging="283" w:hangingChars="1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）法定代表人身份证明书和法定代表人授权书（法定代表人投标时只提供法定代表人身份证明书，委托</w:t>
      </w:r>
      <w:r>
        <w:rPr>
          <w:rFonts w:hint="eastAsia" w:ascii="宋体" w:hAnsi="宋体" w:eastAsia="宋体" w:cs="宋体"/>
          <w:color w:val="auto"/>
          <w:szCs w:val="21"/>
          <w:highlight w:val="none"/>
        </w:rPr>
        <w:t>他人</w:t>
      </w:r>
      <w:r>
        <w:rPr>
          <w:rFonts w:hint="eastAsia" w:ascii="宋体" w:hAnsi="宋体" w:eastAsia="宋体" w:cs="宋体"/>
          <w:color w:val="auto"/>
          <w:szCs w:val="21"/>
          <w:highlight w:val="none"/>
          <w:lang w:val="zh-CN"/>
        </w:rPr>
        <w:t>为投标代表时同时提供法定代表人授权书）；</w:t>
      </w:r>
    </w:p>
    <w:p w14:paraId="68899E8E">
      <w:pPr>
        <w:tabs>
          <w:tab w:val="left" w:pos="1276"/>
        </w:tabs>
        <w:spacing w:line="360" w:lineRule="auto"/>
        <w:ind w:left="283" w:hanging="283" w:hangingChars="135"/>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4）</w:t>
      </w:r>
      <w:r>
        <w:rPr>
          <w:rFonts w:hint="eastAsia" w:ascii="宋体" w:hAnsi="宋体" w:eastAsia="宋体" w:cs="宋体"/>
          <w:b/>
          <w:bCs/>
          <w:color w:val="auto"/>
          <w:szCs w:val="21"/>
          <w:highlight w:val="none"/>
        </w:rPr>
        <w:t>资格业绩</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val="zh-CN"/>
        </w:rPr>
        <w:t>投标人202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年1月1日以来具有一份清洁保洁服务项目或绿化养护服务项目业绩（合同签订日期为202</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年1月1日或以后）</w:t>
      </w:r>
      <w:r>
        <w:rPr>
          <w:rFonts w:hint="eastAsia" w:ascii="宋体" w:hAnsi="宋体" w:eastAsia="宋体" w:cs="宋体"/>
          <w:color w:val="auto"/>
          <w:szCs w:val="21"/>
          <w:highlight w:val="none"/>
        </w:rPr>
        <w:t>，资格业绩证明材料提交要求详见招标文件第六篇投标文件格式</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u w:val="single"/>
        </w:rPr>
        <w:t>.</w:t>
      </w:r>
      <w:r>
        <w:rPr>
          <w:rFonts w:hint="eastAsia" w:ascii="宋体" w:hAnsi="宋体" w:eastAsia="宋体" w:cs="宋体"/>
          <w:color w:val="auto"/>
          <w:szCs w:val="21"/>
          <w:highlight w:val="none"/>
          <w:u w:val="single"/>
          <w:lang w:val="en-US" w:eastAsia="zh-CN"/>
        </w:rPr>
        <w:t>4</w:t>
      </w:r>
      <w:r>
        <w:rPr>
          <w:rFonts w:hint="eastAsia" w:ascii="宋体" w:hAnsi="宋体" w:eastAsia="宋体" w:cs="宋体"/>
          <w:color w:val="auto"/>
          <w:szCs w:val="21"/>
          <w:highlight w:val="none"/>
        </w:rPr>
        <w:t>】</w:t>
      </w:r>
      <w:r>
        <w:rPr>
          <w:rFonts w:hint="eastAsia" w:ascii="宋体" w:hAnsi="宋体" w:eastAsia="宋体" w:cs="宋体"/>
          <w:color w:val="auto"/>
          <w:szCs w:val="21"/>
          <w:highlight w:val="none"/>
          <w:lang w:eastAsia="zh-CN"/>
        </w:rPr>
        <w:t>；</w:t>
      </w:r>
    </w:p>
    <w:p w14:paraId="3584EE25">
      <w:pPr>
        <w:autoSpaceDE w:val="0"/>
        <w:autoSpaceDN w:val="0"/>
        <w:adjustRightInd w:val="0"/>
        <w:spacing w:line="360" w:lineRule="auto"/>
        <w:ind w:left="913" w:hanging="913" w:hangingChars="43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）最近3年投标人牵涉的其他（失信和违法）</w:t>
      </w:r>
      <w:r>
        <w:rPr>
          <w:rFonts w:hint="eastAsia" w:ascii="宋体" w:hAnsi="宋体" w:eastAsia="宋体" w:cs="宋体"/>
          <w:color w:val="auto"/>
          <w:kern w:val="0"/>
          <w:szCs w:val="21"/>
          <w:highlight w:val="none"/>
        </w:rPr>
        <w:t>处罚说明</w:t>
      </w:r>
      <w:r>
        <w:rPr>
          <w:rFonts w:hint="eastAsia" w:ascii="宋体" w:hAnsi="宋体" w:eastAsia="宋体" w:cs="宋体"/>
          <w:color w:val="auto"/>
          <w:szCs w:val="21"/>
          <w:highlight w:val="none"/>
          <w:lang w:val="zh-CN"/>
        </w:rPr>
        <w:t>；</w:t>
      </w:r>
    </w:p>
    <w:p w14:paraId="6ABEED96">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）投标人基本情况一览表；</w:t>
      </w:r>
    </w:p>
    <w:p w14:paraId="6DA69352">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）投标人财务状况表；</w:t>
      </w:r>
    </w:p>
    <w:p w14:paraId="0B347EBB">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7</w:t>
      </w:r>
      <w:r>
        <w:rPr>
          <w:rFonts w:hint="eastAsia" w:ascii="宋体" w:hAnsi="宋体" w:eastAsia="宋体" w:cs="宋体"/>
          <w:color w:val="auto"/>
          <w:kern w:val="0"/>
          <w:szCs w:val="21"/>
          <w:highlight w:val="none"/>
        </w:rPr>
        <w:t>）合同条款响应程度（合同条款偏离表）；</w:t>
      </w:r>
    </w:p>
    <w:p w14:paraId="7E0D2E81">
      <w:pPr>
        <w:tabs>
          <w:tab w:val="left" w:pos="567"/>
        </w:tabs>
        <w:autoSpaceDE w:val="0"/>
        <w:autoSpaceDN w:val="0"/>
        <w:adjustRightInd w:val="0"/>
        <w:spacing w:line="360" w:lineRule="auto"/>
        <w:ind w:left="105" w:leftChars="-100" w:hanging="315" w:hanging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）业绩表；</w:t>
      </w:r>
    </w:p>
    <w:p w14:paraId="799010EF">
      <w:pPr>
        <w:tabs>
          <w:tab w:val="left" w:pos="567"/>
        </w:tabs>
        <w:autoSpaceDE w:val="0"/>
        <w:autoSpaceDN w:val="0"/>
        <w:adjustRightInd w:val="0"/>
        <w:spacing w:line="360" w:lineRule="auto"/>
        <w:ind w:left="413" w:leftChars="-100" w:hanging="623" w:hangingChars="29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）中标服务费承诺书；</w:t>
      </w:r>
    </w:p>
    <w:p w14:paraId="2FEC1C7E">
      <w:pPr>
        <w:tabs>
          <w:tab w:val="left" w:pos="567"/>
        </w:tabs>
        <w:autoSpaceDE w:val="0"/>
        <w:autoSpaceDN w:val="0"/>
        <w:adjustRightInd w:val="0"/>
        <w:spacing w:line="360" w:lineRule="auto"/>
        <w:ind w:left="413" w:leftChars="-100" w:hanging="623" w:hangingChars="29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1213E6AC">
      <w:pPr>
        <w:autoSpaceDE w:val="0"/>
        <w:autoSpaceDN w:val="0"/>
        <w:adjustRightInd w:val="0"/>
        <w:spacing w:line="360" w:lineRule="auto"/>
        <w:ind w:left="422" w:leftChars="-100" w:hanging="632" w:hangingChars="300"/>
        <w:rPr>
          <w:rFonts w:hint="eastAsia" w:ascii="宋体" w:hAnsi="宋体" w:eastAsia="宋体" w:cs="宋体"/>
          <w:b/>
          <w:color w:val="auto"/>
          <w:kern w:val="0"/>
          <w:szCs w:val="24"/>
          <w:highlight w:val="none"/>
        </w:rPr>
      </w:pPr>
      <w:r>
        <w:rPr>
          <w:rFonts w:hint="eastAsia" w:ascii="宋体" w:hAnsi="宋体" w:eastAsia="宋体" w:cs="宋体"/>
          <w:b/>
          <w:color w:val="auto"/>
          <w:kern w:val="0"/>
          <w:szCs w:val="24"/>
          <w:highlight w:val="none"/>
        </w:rPr>
        <w:t>9.1.2 技术</w:t>
      </w:r>
      <w:r>
        <w:rPr>
          <w:rFonts w:hint="eastAsia" w:ascii="宋体" w:hAnsi="宋体" w:eastAsia="宋体" w:cs="宋体"/>
          <w:b/>
          <w:color w:val="auto"/>
          <w:kern w:val="0"/>
          <w:szCs w:val="24"/>
          <w:highlight w:val="none"/>
          <w:lang w:val="en-US" w:eastAsia="zh-CN"/>
        </w:rPr>
        <w:t>标</w:t>
      </w:r>
      <w:r>
        <w:rPr>
          <w:rFonts w:hint="eastAsia" w:ascii="宋体" w:hAnsi="宋体" w:eastAsia="宋体" w:cs="宋体"/>
          <w:b/>
          <w:color w:val="auto"/>
          <w:kern w:val="0"/>
          <w:szCs w:val="24"/>
          <w:highlight w:val="none"/>
        </w:rPr>
        <w:t>：</w:t>
      </w:r>
    </w:p>
    <w:p w14:paraId="16C21315">
      <w:pPr>
        <w:autoSpaceDE w:val="0"/>
        <w:autoSpaceDN w:val="0"/>
        <w:adjustRightInd w:val="0"/>
        <w:spacing w:line="360" w:lineRule="auto"/>
        <w:ind w:right="-23" w:rightChars="-11"/>
        <w:jc w:val="left"/>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1"/>
          <w:highlight w:val="none"/>
          <w:lang w:val="zh-CN"/>
        </w:rPr>
        <w:t xml:space="preserve">    目录：</w:t>
      </w:r>
    </w:p>
    <w:p w14:paraId="2E00B095">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（1）用户需求响应程度（即用户需求偏离表）；</w:t>
      </w:r>
    </w:p>
    <w:p w14:paraId="7E8624BA">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（2）拟投入的设备情况；</w:t>
      </w:r>
    </w:p>
    <w:p w14:paraId="69FDB961">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（3）投标人服务团队实力；</w:t>
      </w:r>
    </w:p>
    <w:p w14:paraId="6D344816">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（4）清洁管理方案；</w:t>
      </w:r>
    </w:p>
    <w:p w14:paraId="2F2B95BC">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（5）绿化管理方案；</w:t>
      </w:r>
    </w:p>
    <w:p w14:paraId="7D973A63">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（6）除四害及白蚁防治管理方案；</w:t>
      </w:r>
    </w:p>
    <w:p w14:paraId="47CCE08C">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（7）增值服务方案；</w:t>
      </w:r>
    </w:p>
    <w:p w14:paraId="64DFE679">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（8）安全作业及应急预案；</w:t>
      </w:r>
    </w:p>
    <w:p w14:paraId="611A0ECA">
      <w:pPr>
        <w:spacing w:line="360" w:lineRule="auto"/>
        <w:ind w:left="105" w:leftChars="-100" w:hanging="315" w:hangingChars="150"/>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（9）服务承诺书；</w:t>
      </w:r>
    </w:p>
    <w:p w14:paraId="0EF2BF71">
      <w:pPr>
        <w:spacing w:line="360" w:lineRule="auto"/>
        <w:ind w:left="105" w:leftChars="-100" w:hanging="315" w:hangingChars="15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（10）投标人认为有必要提供的其它材料（不做强制要求）</w:t>
      </w:r>
      <w:r>
        <w:rPr>
          <w:rFonts w:hint="eastAsia" w:ascii="宋体" w:hAnsi="宋体" w:eastAsia="宋体" w:cs="宋体"/>
          <w:color w:val="auto"/>
          <w:kern w:val="0"/>
          <w:szCs w:val="21"/>
          <w:highlight w:val="none"/>
        </w:rPr>
        <w:t>。</w:t>
      </w:r>
    </w:p>
    <w:p w14:paraId="189A4E6E">
      <w:pPr>
        <w:autoSpaceDE w:val="0"/>
        <w:autoSpaceDN w:val="0"/>
        <w:adjustRightInd w:val="0"/>
        <w:spacing w:line="360" w:lineRule="auto"/>
        <w:ind w:left="422" w:leftChars="-100" w:hanging="632" w:hangingChars="300"/>
        <w:outlineLvl w:val="9"/>
        <w:rPr>
          <w:rFonts w:hint="eastAsia" w:ascii="宋体" w:hAnsi="宋体" w:eastAsia="宋体" w:cs="宋体"/>
          <w:b/>
          <w:bCs/>
          <w:color w:val="auto"/>
          <w:szCs w:val="21"/>
          <w:highlight w:val="none"/>
          <w:lang w:val="zh-CN"/>
        </w:rPr>
      </w:pPr>
      <w:bookmarkStart w:id="140" w:name="_Toc27336"/>
      <w:bookmarkStart w:id="141" w:name="_Toc25590"/>
      <w:r>
        <w:rPr>
          <w:rFonts w:hint="eastAsia" w:ascii="宋体" w:hAnsi="宋体" w:eastAsia="宋体" w:cs="宋体"/>
          <w:b/>
          <w:bCs/>
          <w:color w:val="auto"/>
          <w:szCs w:val="21"/>
          <w:highlight w:val="none"/>
          <w:lang w:val="zh-CN"/>
        </w:rPr>
        <w:t>9.1.</w:t>
      </w:r>
      <w:r>
        <w:rPr>
          <w:rFonts w:hint="eastAsia" w:ascii="宋体" w:hAnsi="宋体" w:eastAsia="宋体" w:cs="宋体"/>
          <w:b/>
          <w:bCs/>
          <w:color w:val="auto"/>
          <w:szCs w:val="21"/>
          <w:highlight w:val="none"/>
        </w:rPr>
        <w:t>3</w:t>
      </w:r>
      <w:r>
        <w:rPr>
          <w:rFonts w:hint="eastAsia" w:ascii="宋体" w:hAnsi="宋体" w:eastAsia="宋体" w:cs="宋体"/>
          <w:b/>
          <w:bCs/>
          <w:color w:val="auto"/>
          <w:szCs w:val="21"/>
          <w:highlight w:val="none"/>
          <w:lang w:val="zh-CN"/>
        </w:rPr>
        <w:t xml:space="preserve"> 报价信封</w:t>
      </w:r>
      <w:bookmarkEnd w:id="140"/>
      <w:bookmarkEnd w:id="141"/>
    </w:p>
    <w:p w14:paraId="6F1E9F52">
      <w:pPr>
        <w:autoSpaceDE w:val="0"/>
        <w:autoSpaceDN w:val="0"/>
        <w:adjustRightInd w:val="0"/>
        <w:spacing w:line="360" w:lineRule="auto"/>
        <w:ind w:left="420" w:leftChars="200"/>
        <w:rPr>
          <w:rFonts w:hint="eastAsia" w:ascii="宋体" w:hAnsi="宋体" w:eastAsia="宋体" w:cs="宋体"/>
          <w:color w:val="auto"/>
          <w:szCs w:val="21"/>
          <w:highlight w:val="none"/>
        </w:rPr>
      </w:pPr>
      <w:r>
        <w:rPr>
          <w:rFonts w:hint="eastAsia" w:ascii="宋体" w:hAnsi="宋体" w:eastAsia="宋体" w:cs="宋体"/>
          <w:color w:val="auto"/>
          <w:szCs w:val="21"/>
          <w:highlight w:val="none"/>
        </w:rPr>
        <w:t>按照投标文件格式中的要求进行编制。</w:t>
      </w:r>
    </w:p>
    <w:p w14:paraId="29F549E1">
      <w:pPr>
        <w:autoSpaceDE w:val="0"/>
        <w:autoSpaceDN w:val="0"/>
        <w:adjustRightInd w:val="0"/>
        <w:spacing w:line="360" w:lineRule="auto"/>
        <w:ind w:left="317" w:leftChars="-100" w:hanging="527" w:hangingChars="250"/>
        <w:outlineLvl w:val="9"/>
        <w:rPr>
          <w:rFonts w:hint="eastAsia" w:ascii="宋体" w:hAnsi="宋体" w:eastAsia="宋体" w:cs="宋体"/>
          <w:b/>
          <w:bCs/>
          <w:color w:val="auto"/>
          <w:szCs w:val="21"/>
          <w:highlight w:val="none"/>
        </w:rPr>
      </w:pPr>
      <w:bookmarkStart w:id="142" w:name="_Toc4502"/>
      <w:bookmarkStart w:id="143" w:name="_Toc10574"/>
      <w:r>
        <w:rPr>
          <w:rFonts w:hint="eastAsia" w:ascii="宋体" w:hAnsi="宋体" w:eastAsia="宋体" w:cs="宋体"/>
          <w:b/>
          <w:bCs/>
          <w:color w:val="auto"/>
          <w:szCs w:val="21"/>
          <w:highlight w:val="none"/>
        </w:rPr>
        <w:t>9.2  投标文件格式</w:t>
      </w:r>
      <w:bookmarkEnd w:id="142"/>
      <w:bookmarkEnd w:id="143"/>
      <w:r>
        <w:rPr>
          <w:rFonts w:hint="eastAsia" w:ascii="宋体" w:hAnsi="宋体" w:eastAsia="宋体" w:cs="宋体"/>
          <w:b/>
          <w:bCs/>
          <w:color w:val="auto"/>
          <w:szCs w:val="21"/>
          <w:highlight w:val="none"/>
        </w:rPr>
        <w:t xml:space="preserve"> </w:t>
      </w:r>
    </w:p>
    <w:p w14:paraId="6E507CD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）商务标必须按招标文件所附的商务标格式编制（参见第六篇）。</w:t>
      </w:r>
    </w:p>
    <w:p w14:paraId="6F763E4C">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）技术标必须按招标文件所附的技术标格式编制（参见第六篇）。</w:t>
      </w:r>
    </w:p>
    <w:p w14:paraId="1236974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）报价信封由投标人使用电子标书制作软件编制（参见第六篇）。</w:t>
      </w:r>
    </w:p>
    <w:p w14:paraId="428BD84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 xml:space="preserve">  投标人按照投标文件的组成目录编制投标文件应包括上述内容，但不限于上述内容。招标文件提供了相关格式的，严格按照招标文件的要求编制，投标文件未含格式的，投标人自行编制。投标文件编制中要求的</w:t>
      </w:r>
      <w:r>
        <w:rPr>
          <w:rFonts w:hint="eastAsia" w:ascii="宋体" w:hAnsi="宋体" w:eastAsia="宋体" w:cs="宋体"/>
          <w:color w:val="auto"/>
          <w:szCs w:val="21"/>
          <w:highlight w:val="none"/>
          <w:lang w:val="en-US" w:eastAsia="zh-CN"/>
        </w:rPr>
        <w:t>原件</w:t>
      </w:r>
      <w:r>
        <w:rPr>
          <w:rFonts w:hint="eastAsia" w:ascii="宋体" w:hAnsi="宋体" w:eastAsia="宋体" w:cs="宋体"/>
          <w:color w:val="auto"/>
          <w:szCs w:val="21"/>
          <w:highlight w:val="none"/>
          <w:lang w:val="zh-CN"/>
        </w:rPr>
        <w:t>、照片可为该资料扫描件。</w:t>
      </w:r>
    </w:p>
    <w:p w14:paraId="2298B3A8">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9.</w:t>
      </w:r>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zh-CN"/>
        </w:rPr>
        <w:t xml:space="preserve">  </w:t>
      </w:r>
      <w:r>
        <w:rPr>
          <w:rFonts w:hint="eastAsia" w:ascii="宋体" w:hAnsi="宋体" w:eastAsia="宋体" w:cs="宋体"/>
          <w:b/>
          <w:color w:val="auto"/>
          <w:szCs w:val="21"/>
          <w:highlight w:val="none"/>
          <w:u w:val="single"/>
          <w:lang w:val="zh-CN"/>
        </w:rPr>
        <w:t>投标文件中相关证件、证书、合同、发票、照片等证明材料中的原始印章、签名、关键内容必须清晰、可辨认，否则视为无效证明材料；投标文件中存在外文资料的，投标人必须同时提供中文译本，且必须保证中文译本的准确，否则招标人不予认可，视为无效材料；投标人须承担因此对应造成投标无效，或评标时因无效证明材料不得分，或拒绝接受投标的风险</w:t>
      </w:r>
      <w:r>
        <w:rPr>
          <w:rFonts w:hint="eastAsia" w:ascii="宋体" w:hAnsi="宋体" w:eastAsia="宋体" w:cs="宋体"/>
          <w:color w:val="auto"/>
          <w:szCs w:val="21"/>
          <w:highlight w:val="none"/>
          <w:lang w:val="zh-CN"/>
        </w:rPr>
        <w:t>。</w:t>
      </w:r>
    </w:p>
    <w:p w14:paraId="544F2A97">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p>
    <w:p w14:paraId="72BDBDFA">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44" w:name="_Toc8675_WPSOffice_Level3"/>
      <w:bookmarkStart w:id="145" w:name="_Toc142508324"/>
      <w:bookmarkStart w:id="146" w:name="_Toc450662860"/>
      <w:bookmarkStart w:id="147" w:name="_Toc17386"/>
      <w:bookmarkStart w:id="148" w:name="_Toc11170"/>
      <w:bookmarkStart w:id="149" w:name="_Toc486167674"/>
      <w:bookmarkStart w:id="150" w:name="_Toc13214"/>
      <w:r>
        <w:rPr>
          <w:rFonts w:hint="eastAsia" w:ascii="宋体" w:hAnsi="宋体" w:eastAsia="宋体" w:cs="宋体"/>
          <w:color w:val="auto"/>
          <w:szCs w:val="21"/>
          <w:highlight w:val="none"/>
          <w:lang w:val="zh-CN"/>
        </w:rPr>
        <w:t>10 投标函</w:t>
      </w:r>
      <w:bookmarkEnd w:id="144"/>
      <w:bookmarkEnd w:id="145"/>
      <w:bookmarkEnd w:id="146"/>
      <w:bookmarkEnd w:id="147"/>
      <w:bookmarkEnd w:id="148"/>
      <w:bookmarkEnd w:id="149"/>
      <w:bookmarkEnd w:id="150"/>
    </w:p>
    <w:p w14:paraId="1E1F5885">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投标人应完整填写投标文件格式中规定的投标函。</w:t>
      </w:r>
    </w:p>
    <w:p w14:paraId="0422B40D">
      <w:pPr>
        <w:autoSpaceDE w:val="0"/>
        <w:autoSpaceDN w:val="0"/>
        <w:adjustRightInd w:val="0"/>
        <w:spacing w:line="360" w:lineRule="auto"/>
        <w:ind w:left="265" w:leftChars="119" w:hanging="15"/>
        <w:rPr>
          <w:rFonts w:hint="eastAsia" w:ascii="宋体" w:hAnsi="宋体" w:eastAsia="宋体" w:cs="宋体"/>
          <w:color w:val="auto"/>
          <w:szCs w:val="21"/>
          <w:highlight w:val="none"/>
          <w:lang w:val="zh-CN"/>
        </w:rPr>
      </w:pPr>
    </w:p>
    <w:p w14:paraId="42CD079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51" w:name="_Toc24311"/>
      <w:bookmarkStart w:id="152" w:name="_Toc4385_WPSOffice_Level3"/>
      <w:bookmarkStart w:id="153" w:name="_Toc486167675"/>
      <w:bookmarkStart w:id="154" w:name="_Toc450662861"/>
      <w:bookmarkStart w:id="155" w:name="_Toc142508325"/>
      <w:bookmarkStart w:id="156" w:name="_Toc7391"/>
      <w:bookmarkStart w:id="157" w:name="_Toc15427"/>
      <w:r>
        <w:rPr>
          <w:rFonts w:hint="eastAsia" w:ascii="宋体" w:hAnsi="宋体" w:eastAsia="宋体" w:cs="宋体"/>
          <w:color w:val="auto"/>
          <w:szCs w:val="21"/>
          <w:highlight w:val="none"/>
          <w:lang w:val="zh-CN"/>
        </w:rPr>
        <w:t>11 投标报价</w:t>
      </w:r>
      <w:bookmarkEnd w:id="151"/>
      <w:bookmarkEnd w:id="152"/>
      <w:bookmarkEnd w:id="153"/>
      <w:bookmarkEnd w:id="154"/>
      <w:bookmarkEnd w:id="155"/>
      <w:bookmarkEnd w:id="156"/>
      <w:bookmarkEnd w:id="157"/>
    </w:p>
    <w:p w14:paraId="7A8D7673">
      <w:pPr>
        <w:tabs>
          <w:tab w:val="left" w:pos="567"/>
        </w:tabs>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 xml:space="preserve">11.1 </w:t>
      </w:r>
      <w:r>
        <w:rPr>
          <w:rFonts w:hint="eastAsia" w:ascii="宋体" w:hAnsi="宋体" w:eastAsia="宋体" w:cs="宋体"/>
          <w:b/>
          <w:szCs w:val="21"/>
          <w:highlight w:val="none"/>
          <w:lang w:val="zh-CN"/>
        </w:rPr>
        <w:t>本项目的投标报价采用填报投标折扣系数的方式</w:t>
      </w:r>
      <w:r>
        <w:rPr>
          <w:rFonts w:hint="eastAsia" w:ascii="宋体" w:hAnsi="宋体" w:eastAsia="宋体" w:cs="宋体"/>
          <w:b/>
          <w:color w:val="auto"/>
          <w:szCs w:val="21"/>
          <w:highlight w:val="none"/>
          <w:lang w:val="zh-CN"/>
        </w:rPr>
        <w:t>，任何有选择的或</w:t>
      </w:r>
      <w:r>
        <w:rPr>
          <w:rFonts w:hint="eastAsia" w:ascii="宋体" w:hAnsi="宋体" w:eastAsia="宋体" w:cs="宋体"/>
          <w:b/>
          <w:color w:val="auto"/>
          <w:kern w:val="0"/>
          <w:szCs w:val="21"/>
          <w:highlight w:val="none"/>
          <w:lang w:val="zh-CN"/>
        </w:rPr>
        <w:t>不是固定价的</w:t>
      </w:r>
      <w:r>
        <w:rPr>
          <w:rFonts w:hint="eastAsia" w:ascii="宋体" w:hAnsi="宋体" w:eastAsia="宋体" w:cs="宋体"/>
          <w:b/>
          <w:color w:val="auto"/>
          <w:szCs w:val="21"/>
          <w:highlight w:val="none"/>
          <w:lang w:val="zh-CN"/>
        </w:rPr>
        <w:t>投标报价将不予接受，</w:t>
      </w:r>
      <w:r>
        <w:rPr>
          <w:rFonts w:hint="eastAsia" w:ascii="宋体" w:hAnsi="宋体" w:eastAsia="宋体" w:cs="宋体"/>
          <w:b/>
          <w:color w:val="auto"/>
          <w:kern w:val="0"/>
          <w:szCs w:val="21"/>
          <w:highlight w:val="none"/>
          <w:lang w:val="zh-CN"/>
        </w:rPr>
        <w:t>作为非实质性响应投标而予以拒绝。</w:t>
      </w:r>
      <w:r>
        <w:rPr>
          <w:rFonts w:hint="eastAsia" w:ascii="宋体" w:hAnsi="宋体" w:eastAsia="宋体" w:cs="宋体"/>
          <w:b/>
          <w:color w:val="auto"/>
          <w:kern w:val="0"/>
          <w:szCs w:val="21"/>
          <w:highlight w:val="none"/>
        </w:rPr>
        <w:t>投标人不得以低于企业自身成本的价格竞投</w:t>
      </w:r>
      <w:r>
        <w:rPr>
          <w:rFonts w:hint="eastAsia" w:ascii="宋体" w:hAnsi="宋体" w:eastAsia="宋体" w:cs="宋体"/>
          <w:b/>
          <w:color w:val="auto"/>
          <w:szCs w:val="21"/>
          <w:highlight w:val="none"/>
          <w:lang w:val="zh-CN"/>
        </w:rPr>
        <w:t>。</w:t>
      </w:r>
    </w:p>
    <w:p w14:paraId="58780D0C">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若投标人出现超低报价，有可能影响服务质量和不能诚信履约的，评标委员会将要求该投标人作出书面说明并提供相关证明材料，以确定投标人是否以低于企业成本价报价。若投标人不能合理说明或不能提供相关证明材料的，评标委员会将认定其投标报价低于成本，同时否决其投标。</w:t>
      </w:r>
    </w:p>
    <w:p w14:paraId="102AD754">
      <w:pPr>
        <w:tabs>
          <w:tab w:val="left" w:pos="567"/>
        </w:tabs>
        <w:autoSpaceDE w:val="0"/>
        <w:autoSpaceDN w:val="0"/>
        <w:adjustRightInd w:val="0"/>
        <w:spacing w:line="360" w:lineRule="auto"/>
        <w:ind w:left="420" w:leftChars="200" w:firstLine="42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对是否低于企业成本价报价的事宜有争议的投标文件，评标委员会成员将以记名方式表决，</w:t>
      </w:r>
      <w:r>
        <w:rPr>
          <w:rFonts w:hint="eastAsia" w:ascii="宋体" w:hAnsi="宋体" w:eastAsia="宋体" w:cs="宋体"/>
          <w:b/>
          <w:color w:val="auto"/>
          <w:szCs w:val="21"/>
          <w:highlight w:val="none"/>
          <w:lang w:val="en-US" w:eastAsia="zh-CN"/>
        </w:rPr>
        <w:t>根据少数服从多数的原则，获多数表决通过</w:t>
      </w:r>
      <w:r>
        <w:rPr>
          <w:rFonts w:hint="eastAsia" w:ascii="宋体" w:hAnsi="宋体" w:eastAsia="宋体" w:cs="宋体"/>
          <w:b/>
          <w:color w:val="auto"/>
          <w:szCs w:val="21"/>
          <w:highlight w:val="none"/>
          <w:lang w:val="zh-CN"/>
        </w:rPr>
        <w:t>的投标人才有资格进入下一阶段的评审，否则将按无效投标处理。</w:t>
      </w:r>
    </w:p>
    <w:p w14:paraId="2B31D675">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lang w:val="zh-CN"/>
        </w:rPr>
        <w:t>11.2</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lang w:val="zh-CN"/>
        </w:rPr>
        <w:t>本项目投标报价采用统一折扣系数报价。合同履约过程中，在合同服务期内</w:t>
      </w:r>
      <w:r>
        <w:rPr>
          <w:rFonts w:hint="eastAsia" w:ascii="宋体" w:hAnsi="宋体" w:eastAsia="宋体" w:cs="宋体"/>
          <w:b/>
          <w:bCs/>
          <w:color w:val="auto"/>
          <w:szCs w:val="21"/>
          <w:highlight w:val="none"/>
          <w:lang w:val="en-US" w:eastAsia="zh-CN"/>
        </w:rPr>
        <w:t>的</w:t>
      </w:r>
      <w:r>
        <w:rPr>
          <w:rFonts w:hint="eastAsia" w:ascii="宋体" w:hAnsi="宋体" w:eastAsia="宋体" w:cs="宋体"/>
          <w:b/>
          <w:bCs/>
          <w:color w:val="auto"/>
          <w:szCs w:val="21"/>
          <w:highlight w:val="none"/>
          <w:lang w:val="zh-CN"/>
        </w:rPr>
        <w:t>不含税中标综合单价=不含税预算综合单价×中标折扣系数，按实结算。不含税中标综合单价出现小数点</w:t>
      </w:r>
      <w:r>
        <w:rPr>
          <w:rFonts w:hint="eastAsia" w:ascii="宋体" w:hAnsi="宋体" w:eastAsia="宋体" w:cs="宋体"/>
          <w:b/>
          <w:bCs/>
          <w:color w:val="auto"/>
          <w:szCs w:val="21"/>
          <w:highlight w:val="none"/>
          <w:lang w:val="en-US" w:eastAsia="zh-CN"/>
        </w:rPr>
        <w:t>的</w:t>
      </w:r>
      <w:r>
        <w:rPr>
          <w:rFonts w:hint="eastAsia" w:ascii="宋体" w:hAnsi="宋体" w:eastAsia="宋体" w:cs="宋体"/>
          <w:b/>
          <w:bCs/>
          <w:color w:val="auto"/>
          <w:szCs w:val="21"/>
          <w:highlight w:val="none"/>
          <w:lang w:val="zh-CN"/>
        </w:rPr>
        <w:t>，保留小数点后两位，从小数点后第3位四舍五入。</w:t>
      </w:r>
      <w:r>
        <w:rPr>
          <w:rFonts w:hint="eastAsia" w:ascii="宋体" w:hAnsi="宋体" w:eastAsia="宋体" w:cs="宋体"/>
          <w:b/>
          <w:color w:val="auto"/>
          <w:szCs w:val="21"/>
          <w:highlight w:val="none"/>
          <w:u w:val="single"/>
          <w:lang w:val="zh-CN"/>
        </w:rPr>
        <w:t>本项目投标报价为不含税价，即为《中华人民共和国增值税暂行条例》（国务院令第691号修订版）规定的销售额</w:t>
      </w:r>
      <w:r>
        <w:rPr>
          <w:rFonts w:hint="eastAsia" w:ascii="宋体" w:hAnsi="宋体" w:eastAsia="宋体" w:cs="宋体"/>
          <w:color w:val="auto"/>
          <w:szCs w:val="21"/>
          <w:highlight w:val="none"/>
          <w:lang w:val="zh-CN"/>
        </w:rPr>
        <w:t>。本招标文件所称的不含税价和不含税合同价是指不含本采购项目投标人的销项税额，包含了投标人完成合同义务（含投标人代缴代扣、分包及委外服务、安装、采购货物等所产生的价税）的其他全部费用。本采购项目的销项税额由招标人</w:t>
      </w:r>
      <w:r>
        <w:rPr>
          <w:rFonts w:hint="eastAsia" w:ascii="宋体" w:hAnsi="宋体" w:eastAsia="宋体" w:cs="宋体"/>
          <w:color w:val="auto"/>
          <w:szCs w:val="21"/>
          <w:highlight w:val="none"/>
          <w:lang w:val="en-US" w:eastAsia="zh-CN"/>
        </w:rPr>
        <w:t>或招标人权属分公司</w:t>
      </w:r>
      <w:r>
        <w:rPr>
          <w:rFonts w:hint="eastAsia" w:ascii="宋体" w:hAnsi="宋体" w:eastAsia="宋体" w:cs="宋体"/>
          <w:color w:val="auto"/>
          <w:szCs w:val="21"/>
          <w:highlight w:val="none"/>
          <w:lang w:val="zh-CN"/>
        </w:rPr>
        <w:t>承担，不计入投标报价。</w:t>
      </w:r>
      <w:r>
        <w:rPr>
          <w:rFonts w:hint="eastAsia" w:ascii="宋体" w:hAnsi="宋体" w:eastAsia="宋体" w:cs="宋体"/>
          <w:color w:val="auto"/>
          <w:kern w:val="0"/>
          <w:szCs w:val="21"/>
          <w:highlight w:val="none"/>
        </w:rPr>
        <w:t>本采购项目</w:t>
      </w:r>
      <w:r>
        <w:rPr>
          <w:rFonts w:hint="eastAsia" w:ascii="宋体" w:hAnsi="宋体" w:eastAsia="宋体" w:cs="宋体"/>
          <w:color w:val="auto"/>
          <w:kern w:val="0"/>
          <w:szCs w:val="21"/>
          <w:highlight w:val="none"/>
          <w:lang w:val="en-US" w:eastAsia="zh-CN"/>
        </w:rPr>
        <w:t>服务费</w:t>
      </w:r>
      <w:r>
        <w:rPr>
          <w:rFonts w:hint="eastAsia" w:ascii="宋体" w:hAnsi="宋体" w:eastAsia="宋体" w:cs="宋体"/>
          <w:color w:val="auto"/>
          <w:kern w:val="0"/>
          <w:szCs w:val="21"/>
          <w:highlight w:val="none"/>
        </w:rPr>
        <w:t>已含投标人履行本招标内容全部义务的一切费用，包括但不限于：</w:t>
      </w:r>
    </w:p>
    <w:p w14:paraId="63BBFFA7">
      <w:pPr>
        <w:autoSpaceDE w:val="0"/>
        <w:autoSpaceDN w:val="0"/>
        <w:adjustRightInd w:val="0"/>
        <w:spacing w:line="360" w:lineRule="auto"/>
        <w:ind w:left="315" w:leftChars="-100" w:hanging="525"/>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（1）完成</w:t>
      </w:r>
      <w:r>
        <w:rPr>
          <w:rFonts w:hint="eastAsia" w:ascii="宋体" w:hAnsi="宋体" w:eastAsia="宋体" w:cs="宋体"/>
          <w:color w:val="auto"/>
          <w:szCs w:val="21"/>
          <w:highlight w:val="none"/>
          <w:lang w:val="en-US" w:eastAsia="zh-CN"/>
        </w:rPr>
        <w:t>本项目</w:t>
      </w:r>
      <w:r>
        <w:rPr>
          <w:rFonts w:hint="eastAsia" w:ascii="宋体" w:hAnsi="宋体" w:eastAsia="宋体" w:cs="宋体"/>
          <w:color w:val="auto"/>
          <w:szCs w:val="21"/>
          <w:highlight w:val="none"/>
          <w:lang w:val="zh-CN"/>
        </w:rPr>
        <w:t>合同项下清洁保洁、绿化养护、除“四害”及灭蚁防治服务全过程的人工、加班费、住宿、餐饮、人员社会保险、人身意外保险、第三方责任险，清洁保洁、绿化养护及除“四害”作业所需的物料、设备及车辆折旧、台班、安全防护措施费用，垃圾（含服务范围内的泥沙、清淤的淤泥）清运、垃圾处理费，绿化的病虫害防治、清理死苗、植物老化的复壮，服务过程中导致的人身、财产安全损失、赔偿、罚款；</w:t>
      </w:r>
    </w:p>
    <w:p w14:paraId="2A5152DF">
      <w:pPr>
        <w:autoSpaceDE w:val="0"/>
        <w:autoSpaceDN w:val="0"/>
        <w:adjustRightInd w:val="0"/>
        <w:spacing w:line="360" w:lineRule="auto"/>
        <w:ind w:left="315" w:leftChars="-100" w:hanging="525"/>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（2）包工、包料（清洁工具，清洁剂，肥料，农药等）、包机械设备（工具）、包管理期、包质量、包安全文明措施、包设施维护、包垃圾处理等服务过程中所需的全部费用；</w:t>
      </w:r>
    </w:p>
    <w:p w14:paraId="0E48395E">
      <w:pPr>
        <w:autoSpaceDE w:val="0"/>
        <w:autoSpaceDN w:val="0"/>
        <w:adjustRightInd w:val="0"/>
        <w:spacing w:line="360" w:lineRule="auto"/>
        <w:ind w:left="315" w:leftChars="-100" w:hanging="525"/>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（3）合理利润、投标人销项税额以外的税费、</w:t>
      </w:r>
      <w:r>
        <w:rPr>
          <w:rFonts w:hint="eastAsia" w:ascii="宋体" w:hAnsi="宋体" w:eastAsia="宋体" w:cs="宋体"/>
          <w:color w:val="auto"/>
          <w:szCs w:val="21"/>
          <w:highlight w:val="none"/>
          <w:lang w:val="en-US" w:eastAsia="zh-CN"/>
        </w:rPr>
        <w:t>中标服务费</w:t>
      </w:r>
      <w:r>
        <w:rPr>
          <w:rFonts w:hint="eastAsia" w:ascii="宋体" w:hAnsi="宋体" w:eastAsia="宋体" w:cs="宋体"/>
          <w:color w:val="auto"/>
          <w:szCs w:val="21"/>
          <w:highlight w:val="none"/>
          <w:lang w:val="zh-CN"/>
        </w:rPr>
        <w:t>等；</w:t>
      </w:r>
    </w:p>
    <w:p w14:paraId="6F759A38">
      <w:pPr>
        <w:autoSpaceDE w:val="0"/>
        <w:autoSpaceDN w:val="0"/>
        <w:adjustRightInd w:val="0"/>
        <w:spacing w:line="360" w:lineRule="auto"/>
        <w:ind w:left="315" w:leftChars="-100" w:hanging="525"/>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（4）法律法规、商业公认、招标文件规定由投标人承担的其他直接及间接费用。</w:t>
      </w:r>
    </w:p>
    <w:p w14:paraId="540584F1">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11.3 </w:t>
      </w:r>
      <w:r>
        <w:rPr>
          <w:rFonts w:hint="eastAsia" w:ascii="宋体" w:hAnsi="宋体" w:eastAsia="宋体" w:cs="宋体"/>
          <w:color w:val="auto"/>
          <w:szCs w:val="21"/>
          <w:highlight w:val="none"/>
          <w:lang w:val="zh-CN"/>
        </w:rPr>
        <w:t>投标人根据</w:t>
      </w:r>
      <w:r>
        <w:rPr>
          <w:rFonts w:hint="eastAsia" w:ascii="宋体" w:hAnsi="宋体" w:eastAsia="宋体" w:cs="宋体"/>
          <w:color w:val="auto"/>
          <w:highlight w:val="none"/>
        </w:rPr>
        <w:fldChar w:fldCharType="begin"/>
      </w:r>
      <w:r>
        <w:rPr>
          <w:rFonts w:hint="eastAsia" w:ascii="宋体" w:hAnsi="宋体" w:eastAsia="宋体" w:cs="宋体"/>
          <w:color w:val="auto"/>
          <w:highlight w:val="none"/>
        </w:rPr>
        <w:instrText xml:space="preserve"> HYPERLINK "file:///E:\\招标文件\\用户目录\\Documents\\WeChat%20Files\\wxid_d71qzxy6fjr811\\FileStorage\\File\\2021-09\\1、挂网资料、呈批表-抽取专家模板\\挂网资料（东莞市水务集团净水有限公司保安服务定点采购项目）\\挂网资料（东莞市长安锦厦三洲水质净化厂提标工程新增格栅机、闸门等设备采购项目）\\石鼓工作（201807）\\01%20%20项目资料\\Administrator\\AppData\\Roaming\\Microsoft\\Word\\AppData\\审核工作\\审核的文件\\l" </w:instrText>
      </w:r>
      <w:r>
        <w:rPr>
          <w:rFonts w:hint="eastAsia" w:ascii="宋体" w:hAnsi="宋体" w:eastAsia="宋体" w:cs="宋体"/>
          <w:color w:val="auto"/>
          <w:highlight w:val="none"/>
        </w:rPr>
        <w:fldChar w:fldCharType="separate"/>
      </w:r>
      <w:r>
        <w:rPr>
          <w:rFonts w:hint="eastAsia" w:ascii="宋体" w:hAnsi="宋体" w:eastAsia="宋体" w:cs="宋体"/>
          <w:color w:val="auto"/>
          <w:szCs w:val="21"/>
          <w:highlight w:val="none"/>
          <w:lang w:val="zh-CN"/>
        </w:rPr>
        <w:t>第11.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款</w:t>
      </w:r>
      <w:r>
        <w:rPr>
          <w:rFonts w:hint="eastAsia" w:ascii="宋体" w:hAnsi="宋体" w:eastAsia="宋体" w:cs="宋体"/>
          <w:color w:val="auto"/>
          <w:szCs w:val="21"/>
          <w:highlight w:val="none"/>
          <w:lang w:val="zh-CN"/>
        </w:rPr>
        <w:fldChar w:fldCharType="end"/>
      </w:r>
      <w:r>
        <w:rPr>
          <w:rFonts w:hint="eastAsia" w:ascii="宋体" w:hAnsi="宋体" w:eastAsia="宋体" w:cs="宋体"/>
          <w:color w:val="auto"/>
          <w:szCs w:val="21"/>
          <w:highlight w:val="none"/>
          <w:lang w:val="zh-CN"/>
        </w:rPr>
        <w:t>所报的价格分项仅供评标委员会评审时使用；在任何情况下不限制投标人以不同的条件中标的权利。</w:t>
      </w:r>
    </w:p>
    <w:p w14:paraId="57EFAF00">
      <w:pPr>
        <w:autoSpaceDE w:val="0"/>
        <w:autoSpaceDN w:val="0"/>
        <w:adjustRightInd w:val="0"/>
        <w:spacing w:line="360" w:lineRule="auto"/>
        <w:ind w:left="268" w:leftChars="-100" w:hanging="478" w:hangingChars="228"/>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11.4 在合同期间，投标报价不随国家政策或法规、标准、市场因素及采购数量的变化而进行调整</w:t>
      </w:r>
      <w:r>
        <w:rPr>
          <w:rFonts w:hint="eastAsia" w:ascii="宋体" w:hAnsi="宋体" w:eastAsia="宋体" w:cs="宋体"/>
          <w:color w:val="auto"/>
          <w:kern w:val="0"/>
          <w:szCs w:val="21"/>
          <w:highlight w:val="none"/>
          <w:lang w:val="zh-CN"/>
        </w:rPr>
        <w:t>。</w:t>
      </w:r>
      <w:r>
        <w:rPr>
          <w:rFonts w:hint="eastAsia" w:ascii="宋体" w:hAnsi="宋体" w:eastAsia="宋体" w:cs="宋体"/>
          <w:color w:val="auto"/>
          <w:kern w:val="0"/>
          <w:szCs w:val="21"/>
          <w:highlight w:val="none"/>
        </w:rPr>
        <w:t xml:space="preserve"> </w:t>
      </w:r>
    </w:p>
    <w:p w14:paraId="1BF8C53D">
      <w:pPr>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 xml:space="preserve">11.5 </w:t>
      </w:r>
      <w:r>
        <w:rPr>
          <w:rFonts w:hint="eastAsia" w:ascii="宋体" w:hAnsi="宋体" w:eastAsia="宋体" w:cs="宋体"/>
          <w:b/>
          <w:bCs/>
          <w:color w:val="auto"/>
          <w:szCs w:val="21"/>
          <w:highlight w:val="none"/>
          <w:lang w:val="zh-CN"/>
        </w:rPr>
        <w:t>合同项下，招标人需要的</w:t>
      </w:r>
      <w:r>
        <w:rPr>
          <w:rFonts w:hint="eastAsia" w:ascii="宋体" w:hAnsi="宋体" w:eastAsia="宋体" w:cs="宋体"/>
          <w:b/>
          <w:bCs/>
          <w:color w:val="auto"/>
          <w:szCs w:val="21"/>
          <w:highlight w:val="none"/>
          <w:lang w:val="en-US" w:eastAsia="zh-CN"/>
        </w:rPr>
        <w:t>相关</w:t>
      </w:r>
      <w:r>
        <w:rPr>
          <w:rFonts w:hint="eastAsia" w:ascii="宋体" w:hAnsi="宋体" w:eastAsia="宋体" w:cs="宋体"/>
          <w:b/>
          <w:bCs/>
          <w:color w:val="auto"/>
          <w:szCs w:val="21"/>
          <w:highlight w:val="none"/>
          <w:lang w:val="zh-CN"/>
        </w:rPr>
        <w:t>服务所需的费用，投标人都应计入投标报价总价。</w:t>
      </w:r>
    </w:p>
    <w:p w14:paraId="2C439FA4">
      <w:pPr>
        <w:autoSpaceDE w:val="0"/>
        <w:autoSpaceDN w:val="0"/>
        <w:adjustRightInd w:val="0"/>
        <w:spacing w:line="360" w:lineRule="auto"/>
        <w:ind w:left="357" w:leftChars="-100" w:hanging="567"/>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11.6</w:t>
      </w:r>
      <w:r>
        <w:rPr>
          <w:rFonts w:hint="eastAsia" w:ascii="宋体" w:hAnsi="宋体" w:eastAsia="宋体" w:cs="宋体"/>
          <w:b/>
          <w:bCs/>
          <w:color w:val="auto"/>
          <w:szCs w:val="21"/>
          <w:highlight w:val="none"/>
          <w:u w:val="none"/>
        </w:rPr>
        <w:t xml:space="preserve"> 投标人的折扣系数报价不得超过1.00，且不能为0.00或负数，折扣系数报价最多保留小数点后两位。投标人未按招标文件要求进行折扣系数报价的，该投标人的投标文件将被视为无效投标。本项目的不含税采购金额为</w:t>
      </w:r>
      <w:r>
        <w:rPr>
          <w:rFonts w:hint="eastAsia" w:ascii="宋体" w:hAnsi="宋体" w:eastAsia="宋体" w:cs="宋体"/>
          <w:b/>
          <w:bCs/>
          <w:color w:val="auto"/>
          <w:szCs w:val="21"/>
          <w:highlight w:val="none"/>
          <w:u w:val="none"/>
          <w:lang w:val="en-US" w:eastAsia="zh-CN"/>
        </w:rPr>
        <w:t>15,937,080.80</w:t>
      </w:r>
      <w:r>
        <w:rPr>
          <w:rFonts w:hint="eastAsia" w:ascii="宋体" w:hAnsi="宋体" w:eastAsia="宋体" w:cs="宋体"/>
          <w:b/>
          <w:bCs/>
          <w:color w:val="auto"/>
          <w:szCs w:val="21"/>
          <w:highlight w:val="none"/>
          <w:u w:val="none"/>
        </w:rPr>
        <w:t>元（大写：人民币</w:t>
      </w:r>
      <w:r>
        <w:rPr>
          <w:rFonts w:hint="eastAsia" w:ascii="宋体" w:hAnsi="宋体" w:eastAsia="宋体" w:cs="宋体"/>
          <w:b/>
          <w:bCs/>
          <w:color w:val="auto"/>
          <w:szCs w:val="21"/>
          <w:highlight w:val="none"/>
          <w:u w:val="none"/>
          <w:lang w:val="en-US" w:eastAsia="zh-CN"/>
        </w:rPr>
        <w:t>壹仟伍佰玖拾叁万柒仟零捌拾元捌角</w:t>
      </w:r>
      <w:r>
        <w:rPr>
          <w:rFonts w:hint="eastAsia" w:ascii="宋体" w:hAnsi="宋体" w:eastAsia="宋体" w:cs="宋体"/>
          <w:b/>
          <w:bCs/>
          <w:color w:val="auto"/>
          <w:szCs w:val="21"/>
          <w:highlight w:val="none"/>
          <w:u w:val="none"/>
        </w:rPr>
        <w:t>）。</w:t>
      </w:r>
    </w:p>
    <w:p w14:paraId="742A6146">
      <w:pPr>
        <w:autoSpaceDE w:val="0"/>
        <w:autoSpaceDN w:val="0"/>
        <w:adjustRightInd w:val="0"/>
        <w:spacing w:line="360" w:lineRule="auto"/>
        <w:ind w:left="357" w:leftChars="-100" w:hanging="567"/>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 xml:space="preserve">     </w:t>
      </w:r>
    </w:p>
    <w:p w14:paraId="512881E5">
      <w:pPr>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158" w:name="_Toc142508326"/>
      <w:bookmarkStart w:id="159" w:name="_Toc450662862"/>
      <w:bookmarkStart w:id="160" w:name="_Toc3469"/>
      <w:bookmarkStart w:id="161" w:name="_Toc7573"/>
      <w:bookmarkStart w:id="162" w:name="_Toc30042_WPSOffice_Level3"/>
      <w:bookmarkStart w:id="163" w:name="_Toc486167676"/>
      <w:bookmarkStart w:id="164" w:name="_Toc20312"/>
      <w:r>
        <w:rPr>
          <w:rFonts w:hint="eastAsia" w:ascii="宋体" w:hAnsi="宋体" w:eastAsia="宋体" w:cs="宋体"/>
          <w:b/>
          <w:color w:val="auto"/>
          <w:szCs w:val="21"/>
          <w:highlight w:val="none"/>
          <w:lang w:val="zh-CN"/>
        </w:rPr>
        <w:t>12 投标报价货币</w:t>
      </w:r>
      <w:bookmarkEnd w:id="158"/>
      <w:bookmarkEnd w:id="159"/>
      <w:bookmarkEnd w:id="160"/>
      <w:bookmarkEnd w:id="161"/>
      <w:bookmarkEnd w:id="162"/>
      <w:bookmarkEnd w:id="163"/>
      <w:bookmarkEnd w:id="164"/>
    </w:p>
    <w:p w14:paraId="436ECA22">
      <w:pPr>
        <w:autoSpaceDE w:val="0"/>
        <w:autoSpaceDN w:val="0"/>
        <w:adjustRightInd w:val="0"/>
        <w:spacing w:line="360" w:lineRule="auto"/>
        <w:ind w:left="265" w:leftChars="119" w:hanging="15"/>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投标报价表上的价格须以人民币报价，以其</w:t>
      </w:r>
      <w:r>
        <w:rPr>
          <w:rFonts w:hint="eastAsia" w:ascii="宋体" w:hAnsi="宋体" w:eastAsia="宋体" w:cs="宋体"/>
          <w:b/>
          <w:color w:val="auto"/>
          <w:szCs w:val="21"/>
          <w:highlight w:val="none"/>
          <w:lang w:val="en-US" w:eastAsia="zh-CN"/>
        </w:rPr>
        <w:t>他</w:t>
      </w:r>
      <w:r>
        <w:rPr>
          <w:rFonts w:hint="eastAsia" w:ascii="宋体" w:hAnsi="宋体" w:eastAsia="宋体" w:cs="宋体"/>
          <w:b/>
          <w:color w:val="auto"/>
          <w:szCs w:val="21"/>
          <w:highlight w:val="none"/>
          <w:lang w:val="zh-CN"/>
        </w:rPr>
        <w:t>货币标价的投标将予以拒绝。</w:t>
      </w:r>
    </w:p>
    <w:p w14:paraId="39D87C9F">
      <w:pPr>
        <w:autoSpaceDE w:val="0"/>
        <w:autoSpaceDN w:val="0"/>
        <w:adjustRightInd w:val="0"/>
        <w:spacing w:line="360" w:lineRule="auto"/>
        <w:ind w:left="265" w:leftChars="119" w:hanging="15"/>
        <w:rPr>
          <w:rFonts w:hint="eastAsia" w:ascii="宋体" w:hAnsi="宋体" w:eastAsia="宋体" w:cs="宋体"/>
          <w:color w:val="auto"/>
          <w:szCs w:val="21"/>
          <w:highlight w:val="none"/>
        </w:rPr>
      </w:pPr>
    </w:p>
    <w:p w14:paraId="7ED30E20">
      <w:pPr>
        <w:tabs>
          <w:tab w:val="left" w:pos="57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65" w:name="_Toc486167677"/>
      <w:bookmarkStart w:id="166" w:name="_Toc9955"/>
      <w:bookmarkStart w:id="167" w:name="_Toc9411_WPSOffice_Level3"/>
      <w:bookmarkStart w:id="168" w:name="_Toc3961"/>
      <w:bookmarkStart w:id="169" w:name="_Toc142508327"/>
      <w:bookmarkStart w:id="170" w:name="_Toc20031"/>
      <w:bookmarkStart w:id="171" w:name="_Toc450662863"/>
      <w:r>
        <w:rPr>
          <w:rFonts w:hint="eastAsia" w:ascii="宋体" w:hAnsi="宋体" w:eastAsia="宋体" w:cs="宋体"/>
          <w:color w:val="auto"/>
          <w:szCs w:val="21"/>
          <w:highlight w:val="none"/>
          <w:lang w:val="zh-CN"/>
        </w:rPr>
        <w:t>13 证明投标人的合格性和资格的声明文件</w:t>
      </w:r>
      <w:bookmarkEnd w:id="165"/>
      <w:bookmarkEnd w:id="166"/>
      <w:bookmarkEnd w:id="167"/>
      <w:bookmarkEnd w:id="168"/>
      <w:bookmarkEnd w:id="169"/>
      <w:bookmarkEnd w:id="170"/>
      <w:bookmarkEnd w:id="171"/>
    </w:p>
    <w:p w14:paraId="2B4BD8E4">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根据第2条、第13.2款规定，投标人须提交证明其有资格进行投标和有能力履行合同的文件，作为投标文件的一部分。</w:t>
      </w:r>
    </w:p>
    <w:p w14:paraId="6DC09117">
      <w:pPr>
        <w:autoSpaceDE w:val="0"/>
        <w:autoSpaceDN w:val="0"/>
        <w:adjustRightInd w:val="0"/>
        <w:spacing w:line="360" w:lineRule="auto"/>
        <w:ind w:left="357" w:leftChars="-100" w:hanging="567"/>
        <w:rPr>
          <w:rFonts w:hint="eastAsia" w:ascii="宋体" w:hAnsi="宋体" w:eastAsia="宋体" w:cs="宋体"/>
          <w:color w:val="auto"/>
          <w:szCs w:val="21"/>
          <w:highlight w:val="none"/>
          <w:vertAlign w:val="superscript"/>
          <w:lang w:val="zh-CN"/>
        </w:rPr>
      </w:pPr>
      <w:r>
        <w:rPr>
          <w:rFonts w:hint="eastAsia" w:ascii="宋体" w:hAnsi="宋体" w:eastAsia="宋体" w:cs="宋体"/>
          <w:color w:val="auto"/>
          <w:szCs w:val="21"/>
          <w:highlight w:val="none"/>
          <w:lang w:val="zh-CN"/>
        </w:rPr>
        <w:t>13.2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投标人提供的履行合同的资格声明文件应符合：</w:t>
      </w:r>
    </w:p>
    <w:p w14:paraId="195186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（1）符合《中华人民共和国招标投标法》《中华人民共和国招标投标法实施条例》投标人应当具备的条件；</w:t>
      </w:r>
    </w:p>
    <w:p w14:paraId="6432B2EB">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（2）投标人具有履行本项目所必须的证明文件；</w:t>
      </w:r>
    </w:p>
    <w:p w14:paraId="3CC35E5A">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（3）投标人证明其相应资格符合或优于招标文件要求的其它文件。</w:t>
      </w:r>
    </w:p>
    <w:p w14:paraId="220227AD">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13.3 投标人根据招标文件载明的相关服务要求的实际情况，拟在中标后将中标项目的非主体、非关键性专业工作交由他人完成的，应当在投标文件中载明，并提供他人的资质、能力证明材料。</w:t>
      </w:r>
    </w:p>
    <w:p w14:paraId="05A3519A">
      <w:pPr>
        <w:autoSpaceDE w:val="0"/>
        <w:autoSpaceDN w:val="0"/>
        <w:adjustRightInd w:val="0"/>
        <w:spacing w:line="360" w:lineRule="auto"/>
        <w:ind w:left="560" w:leftChars="128" w:hanging="291" w:hangingChars="139"/>
        <w:rPr>
          <w:rFonts w:hint="eastAsia" w:ascii="宋体" w:hAnsi="宋体" w:eastAsia="宋体" w:cs="宋体"/>
          <w:color w:val="auto"/>
          <w:szCs w:val="21"/>
          <w:highlight w:val="none"/>
        </w:rPr>
      </w:pPr>
    </w:p>
    <w:p w14:paraId="4804138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2" w:name="_Toc29754"/>
      <w:bookmarkStart w:id="173" w:name="_Toc7708"/>
      <w:bookmarkStart w:id="174" w:name="_Toc450662864"/>
      <w:bookmarkStart w:id="175" w:name="_Toc27771_WPSOffice_Level3"/>
      <w:bookmarkStart w:id="176" w:name="_Toc8615"/>
      <w:bookmarkStart w:id="177" w:name="_Toc142508328"/>
      <w:bookmarkStart w:id="178" w:name="_Toc486167678"/>
      <w:r>
        <w:rPr>
          <w:rFonts w:hint="eastAsia" w:ascii="宋体" w:hAnsi="宋体" w:eastAsia="宋体" w:cs="宋体"/>
          <w:color w:val="auto"/>
          <w:szCs w:val="21"/>
          <w:highlight w:val="none"/>
          <w:lang w:val="zh-CN"/>
        </w:rPr>
        <w:t>14 证明服务的合格性并符合招标文件规定的声明文件</w:t>
      </w:r>
      <w:bookmarkEnd w:id="172"/>
      <w:bookmarkEnd w:id="173"/>
      <w:bookmarkEnd w:id="174"/>
      <w:bookmarkEnd w:id="175"/>
      <w:bookmarkEnd w:id="176"/>
      <w:bookmarkEnd w:id="177"/>
      <w:bookmarkEnd w:id="178"/>
    </w:p>
    <w:p w14:paraId="6BABF206">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w:t>
      </w:r>
      <w:r>
        <w:rPr>
          <w:rFonts w:hint="eastAsia" w:ascii="宋体" w:hAnsi="宋体" w:eastAsia="宋体" w:cs="宋体"/>
          <w:color w:val="auto"/>
          <w:kern w:val="0"/>
          <w:szCs w:val="21"/>
          <w:highlight w:val="none"/>
        </w:rPr>
        <w:t>第9</w:t>
      </w:r>
      <w:r>
        <w:rPr>
          <w:rFonts w:hint="eastAsia" w:ascii="宋体" w:hAnsi="宋体" w:eastAsia="宋体" w:cs="宋体"/>
          <w:color w:val="auto"/>
          <w:szCs w:val="21"/>
          <w:highlight w:val="none"/>
          <w:lang w:val="zh-CN"/>
        </w:rPr>
        <w:t>条规定，投标人须提交证明其拟供</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lang w:val="zh-CN"/>
        </w:rPr>
        <w:t>的合格性并符合招标文件规定的声明文件，作为投标文件的一部分。</w:t>
      </w:r>
    </w:p>
    <w:p w14:paraId="553956B5">
      <w:pPr>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14.2 证明</w:t>
      </w:r>
      <w:r>
        <w:rPr>
          <w:rFonts w:hint="eastAsia" w:ascii="宋体" w:hAnsi="宋体" w:eastAsia="宋体" w:cs="宋体"/>
          <w:color w:val="auto"/>
          <w:kern w:val="0"/>
          <w:szCs w:val="21"/>
          <w:highlight w:val="none"/>
          <w:lang w:eastAsia="zh-CN"/>
        </w:rPr>
        <w:t>相关</w:t>
      </w:r>
      <w:r>
        <w:rPr>
          <w:rFonts w:hint="eastAsia" w:ascii="宋体" w:hAnsi="宋体" w:eastAsia="宋体" w:cs="宋体"/>
          <w:color w:val="auto"/>
          <w:kern w:val="0"/>
          <w:szCs w:val="21"/>
          <w:highlight w:val="none"/>
        </w:rPr>
        <w:t>服务</w:t>
      </w:r>
      <w:r>
        <w:rPr>
          <w:rFonts w:hint="eastAsia" w:ascii="宋体" w:hAnsi="宋体" w:eastAsia="宋体" w:cs="宋体"/>
          <w:color w:val="auto"/>
          <w:szCs w:val="21"/>
          <w:highlight w:val="none"/>
          <w:lang w:val="zh-CN"/>
        </w:rPr>
        <w:t>与招标文件的要求相一致的文件可以是文字资料、图纸和数据资料。</w:t>
      </w:r>
    </w:p>
    <w:p w14:paraId="2183FB04">
      <w:pPr>
        <w:autoSpaceDE w:val="0"/>
        <w:autoSpaceDN w:val="0"/>
        <w:adjustRightInd w:val="0"/>
        <w:spacing w:line="360" w:lineRule="auto"/>
        <w:ind w:left="317" w:leftChars="-100" w:hanging="527" w:hangingChars="251"/>
        <w:rPr>
          <w:rFonts w:hint="eastAsia" w:ascii="宋体" w:hAnsi="宋体" w:eastAsia="宋体" w:cs="宋体"/>
          <w:b/>
          <w:color w:val="auto"/>
          <w:szCs w:val="21"/>
          <w:highlight w:val="none"/>
          <w:lang w:val="zh-CN"/>
        </w:rPr>
      </w:pPr>
      <w:r>
        <w:rPr>
          <w:rFonts w:hint="eastAsia" w:ascii="宋体" w:hAnsi="宋体" w:eastAsia="宋体" w:cs="宋体"/>
          <w:color w:val="auto"/>
          <w:szCs w:val="21"/>
          <w:highlight w:val="none"/>
          <w:lang w:val="zh-CN"/>
        </w:rPr>
        <w:t xml:space="preserve">14.3 </w:t>
      </w:r>
      <w:r>
        <w:rPr>
          <w:rFonts w:hint="eastAsia" w:ascii="宋体" w:hAnsi="宋体" w:eastAsia="宋体" w:cs="宋体"/>
          <w:b/>
          <w:color w:val="auto"/>
          <w:szCs w:val="21"/>
          <w:highlight w:val="none"/>
          <w:lang w:val="zh-CN"/>
        </w:rPr>
        <w:t>为说明第14.2款的规定，投标人应注意本招标文件在《用户需求书》中对服务要求</w:t>
      </w:r>
      <w:r>
        <w:rPr>
          <w:rFonts w:hint="eastAsia" w:ascii="宋体" w:hAnsi="宋体" w:eastAsia="宋体" w:cs="宋体"/>
          <w:b/>
          <w:color w:val="auto"/>
          <w:szCs w:val="21"/>
          <w:highlight w:val="none"/>
          <w:lang w:val="en-US" w:eastAsia="zh-CN"/>
        </w:rPr>
        <w:t>的</w:t>
      </w:r>
      <w:r>
        <w:rPr>
          <w:rFonts w:hint="eastAsia" w:ascii="宋体" w:hAnsi="宋体" w:eastAsia="宋体" w:cs="宋体"/>
          <w:b/>
          <w:color w:val="auto"/>
          <w:szCs w:val="21"/>
          <w:highlight w:val="none"/>
          <w:lang w:val="zh-CN"/>
        </w:rPr>
        <w:t>说明只是概括性的，不能理解为所需要的全部服务的要求，投标人应按国家、行业相关技术标准、规范和以往的服务经验，合格优质的完成采购内容和包含的全部服务。但凡标有“★”的地方均被视为重要的技术指标要求或性能要求。投标人要特别加以注意，必须对此回答并完全满足这些要求，否则若有一项带“★”的指标未响应或不满足，将按无效投标处理。</w:t>
      </w:r>
    </w:p>
    <w:p w14:paraId="19C0DE64">
      <w:pPr>
        <w:autoSpaceDE w:val="0"/>
        <w:autoSpaceDN w:val="0"/>
        <w:adjustRightInd w:val="0"/>
        <w:spacing w:line="360" w:lineRule="auto"/>
        <w:rPr>
          <w:rFonts w:hint="eastAsia" w:ascii="宋体" w:hAnsi="宋体" w:eastAsia="宋体" w:cs="宋体"/>
          <w:color w:val="auto"/>
          <w:kern w:val="0"/>
          <w:sz w:val="24"/>
          <w:szCs w:val="24"/>
          <w:highlight w:val="none"/>
        </w:rPr>
      </w:pPr>
    </w:p>
    <w:p w14:paraId="6A63D6FC">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79" w:name="_Toc8644"/>
      <w:bookmarkStart w:id="180" w:name="_Toc195714233"/>
      <w:bookmarkStart w:id="181" w:name="_Toc30555"/>
      <w:bookmarkStart w:id="182" w:name="_Toc486167679"/>
      <w:bookmarkStart w:id="183" w:name="_Toc7860"/>
      <w:bookmarkStart w:id="184" w:name="_Toc5356_WPSOffice_Level3"/>
      <w:bookmarkStart w:id="185" w:name="_Toc3206"/>
      <w:bookmarkStart w:id="186" w:name="_Toc142508329"/>
      <w:r>
        <w:rPr>
          <w:rFonts w:hint="eastAsia" w:ascii="宋体" w:hAnsi="宋体" w:eastAsia="宋体" w:cs="宋体"/>
          <w:color w:val="auto"/>
          <w:szCs w:val="21"/>
          <w:highlight w:val="none"/>
          <w:lang w:val="zh-CN"/>
        </w:rPr>
        <w:t>15 投标保证金</w:t>
      </w:r>
      <w:bookmarkEnd w:id="179"/>
      <w:bookmarkEnd w:id="180"/>
      <w:bookmarkEnd w:id="181"/>
      <w:bookmarkEnd w:id="182"/>
      <w:bookmarkEnd w:id="183"/>
      <w:bookmarkEnd w:id="184"/>
      <w:bookmarkEnd w:id="185"/>
      <w:bookmarkEnd w:id="186"/>
    </w:p>
    <w:p w14:paraId="2CB59CE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 投标人在投标截止时间前，应按第一篇《招标公告》中规定的形式和金额提交投标保证金。投标保证金到账时间应为投标保证金的关联时间。投标保证金数据超过投标截止时间后到达交易系统的，无法关联。投标人应提前办理投标保证金手续，自行承担数据延误风险。投标人如发现到账异常情况，须在投标截止时间前向东莞市公共资源交易中心（以下简称交易中心）工作人员提出投标保证金到账异常处理申请。投标人必须在招标人接受的方式中任选一种提交投标保证金。对应于各种方式的投标保证金的提交要求如下：</w:t>
      </w:r>
    </w:p>
    <w:p w14:paraId="1E647962">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（1）若采用单项投标保证金，投标人必须按全国公共资源交易平台（广东省·东莞市）办事指南的规定及时向交易中心缴存单项投标保证金，并确保上述款项在投标文件提交截止时间前匹配到本</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，否则，其投标保证金视为无效。</w:t>
      </w:r>
    </w:p>
    <w:p w14:paraId="03365D92">
      <w:pPr>
        <w:autoSpaceDE w:val="0"/>
        <w:autoSpaceDN w:val="0"/>
        <w:adjustRightInd w:val="0"/>
        <w:spacing w:line="360" w:lineRule="auto"/>
        <w:ind w:left="225" w:leftChars="107" w:firstLine="489" w:firstLineChars="233"/>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投标截止时间前，已在公共资源交易企业库建档的投标人应将保证金关联至本</w:t>
      </w:r>
      <w:r>
        <w:rPr>
          <w:rFonts w:hint="eastAsia" w:ascii="宋体" w:hAnsi="宋体" w:eastAsia="宋体" w:cs="宋体"/>
          <w:bCs w:val="0"/>
          <w:color w:val="auto"/>
          <w:kern w:val="0"/>
          <w:szCs w:val="21"/>
          <w:highlight w:val="none"/>
          <w:lang w:val="en-US" w:eastAsia="zh-CN"/>
        </w:rPr>
        <w:t>项目</w:t>
      </w:r>
      <w:r>
        <w:rPr>
          <w:rFonts w:hint="eastAsia" w:ascii="宋体" w:hAnsi="宋体" w:eastAsia="宋体" w:cs="宋体"/>
          <w:bCs w:val="0"/>
          <w:color w:val="auto"/>
          <w:kern w:val="0"/>
          <w:szCs w:val="21"/>
          <w:highlight w:val="none"/>
          <w:lang w:val="zh-CN"/>
        </w:rPr>
        <w:t>。具体要求详见全国公共资源交易平台（广东省·东莞市）（网址：https://ygp.gdzwfw.gov.cn/#/441900/index）办事指南中的相关规定。</w:t>
      </w:r>
    </w:p>
    <w:p w14:paraId="0C23CBC6">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按《关于实行投标保证金企业基本账户备案制度的通知》(东建市〔2014〕18号)要求，缴纳的投标保证金须由投标人基本账户转出。投标人开具银行电子保函或保险电子保单存入的保证金（如有）及相关费用须从基本账户转出。投标保证金或相关费用不由其基本账户转入的，交易中心一律不予认定，无法参与投标的相关责任由投标人自行承担。</w:t>
      </w:r>
    </w:p>
    <w:p w14:paraId="66B30BEC">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若采用银行电子保函或保险电子保单，投标人必须按《东莞市住房和城乡建设局关于我市房屋建筑和市政基础设施工程建设项目投标保证金使用银行电子保函及保险电子保单的通知》(东建市〔2022〕6号)规定办理，保证出具的保函或保单有效。保函或保单在投标人签到时关联。</w:t>
      </w:r>
    </w:p>
    <w:p w14:paraId="19C67547">
      <w:pPr>
        <w:autoSpaceDE w:val="0"/>
        <w:autoSpaceDN w:val="0"/>
        <w:adjustRightInd w:val="0"/>
        <w:spacing w:line="360" w:lineRule="auto"/>
        <w:ind w:left="401" w:leftChars="191" w:firstLine="436" w:firstLineChars="208"/>
        <w:jc w:val="left"/>
        <w:rPr>
          <w:rFonts w:hint="eastAsia" w:ascii="宋体" w:hAnsi="宋体" w:eastAsia="宋体" w:cs="宋体"/>
          <w:bCs w:val="0"/>
          <w:color w:val="auto"/>
          <w:kern w:val="0"/>
          <w:szCs w:val="21"/>
          <w:highlight w:val="none"/>
          <w:lang w:val="zh-CN"/>
        </w:rPr>
      </w:pPr>
      <w:r>
        <w:rPr>
          <w:rFonts w:hint="eastAsia" w:ascii="宋体" w:hAnsi="宋体" w:eastAsia="宋体" w:cs="宋体"/>
          <w:bCs w:val="0"/>
          <w:color w:val="auto"/>
          <w:kern w:val="0"/>
          <w:szCs w:val="21"/>
          <w:highlight w:val="none"/>
          <w:lang w:val="zh-CN"/>
        </w:rPr>
        <w:t>银行电子保函参考样式按照《住房和城乡建设部关于印发工程保函示范文本的通知》（建市〔2021〕11号）执行。保险公司所提供的建设工程保证保险条款应当经国家金融监督管理总局批准、备案或注册，并在本公司门户网站主动公开单位信息、投保单（范本）以及保险合同含条款（范本）。</w:t>
      </w:r>
    </w:p>
    <w:p w14:paraId="6118A335">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.2 投标人签到时应按本投标人须知第</w:t>
      </w: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.1</w:t>
      </w:r>
      <w:r>
        <w:rPr>
          <w:rFonts w:hint="eastAsia" w:ascii="宋体" w:hAnsi="宋体" w:eastAsia="宋体" w:cs="宋体"/>
          <w:bCs/>
          <w:color w:val="auto"/>
          <w:kern w:val="0"/>
          <w:szCs w:val="21"/>
          <w:highlight w:val="none"/>
          <w:lang w:val="en-US" w:eastAsia="zh-CN"/>
        </w:rPr>
        <w:t>款</w:t>
      </w:r>
      <w:r>
        <w:rPr>
          <w:rFonts w:hint="eastAsia" w:ascii="宋体" w:hAnsi="宋体" w:eastAsia="宋体" w:cs="宋体"/>
          <w:bCs/>
          <w:color w:val="auto"/>
          <w:kern w:val="0"/>
          <w:szCs w:val="21"/>
          <w:highlight w:val="none"/>
          <w:lang w:val="zh-CN"/>
        </w:rPr>
        <w:t>要求提交投标保证金。投标截止时间前，投标人如果撤销签到，已关联的投标保证金同步取消关联；撤销签到的投标人可以重新签到并关联保证金。投标截止后，已关联的投标保证金不能取消关联。</w:t>
      </w:r>
    </w:p>
    <w:p w14:paraId="1FD9273A">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zh-CN"/>
        </w:rPr>
      </w:pPr>
      <w:bookmarkStart w:id="187" w:name="_Toc19219"/>
      <w:bookmarkStart w:id="188" w:name="_Toc3875"/>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.3 投标保证金退还程序。</w:t>
      </w:r>
      <w:bookmarkEnd w:id="187"/>
      <w:bookmarkEnd w:id="188"/>
    </w:p>
    <w:p w14:paraId="7C994BD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（1）对未通过资格</w:t>
      </w:r>
      <w:r>
        <w:rPr>
          <w:rFonts w:hint="eastAsia" w:ascii="宋体" w:hAnsi="宋体" w:eastAsia="宋体" w:cs="宋体"/>
          <w:bCs/>
          <w:color w:val="auto"/>
          <w:kern w:val="0"/>
          <w:szCs w:val="21"/>
          <w:highlight w:val="none"/>
          <w:lang w:val="en-US" w:eastAsia="zh-CN"/>
        </w:rPr>
        <w:t>性</w:t>
      </w:r>
      <w:r>
        <w:rPr>
          <w:rFonts w:hint="eastAsia" w:ascii="宋体" w:hAnsi="宋体" w:eastAsia="宋体" w:cs="宋体"/>
          <w:bCs/>
          <w:color w:val="auto"/>
          <w:kern w:val="0"/>
          <w:szCs w:val="21"/>
          <w:highlight w:val="none"/>
          <w:lang w:val="zh-CN"/>
        </w:rPr>
        <w:t>审查或未通过</w:t>
      </w:r>
      <w:r>
        <w:rPr>
          <w:rFonts w:hint="eastAsia" w:ascii="宋体" w:hAnsi="宋体" w:eastAsia="宋体" w:cs="宋体"/>
          <w:bCs/>
          <w:color w:val="auto"/>
          <w:kern w:val="0"/>
          <w:szCs w:val="21"/>
          <w:highlight w:val="none"/>
          <w:lang w:val="en-US" w:eastAsia="zh-CN"/>
        </w:rPr>
        <w:t>符合性检查</w:t>
      </w:r>
      <w:r>
        <w:rPr>
          <w:rFonts w:hint="eastAsia" w:ascii="宋体" w:hAnsi="宋体" w:eastAsia="宋体" w:cs="宋体"/>
          <w:bCs/>
          <w:color w:val="auto"/>
          <w:kern w:val="0"/>
          <w:szCs w:val="21"/>
          <w:highlight w:val="none"/>
          <w:lang w:val="zh-CN"/>
        </w:rPr>
        <w:t>的投标人，招标人在</w:t>
      </w:r>
      <w:r>
        <w:rPr>
          <w:rFonts w:hint="eastAsia" w:ascii="宋体" w:hAnsi="宋体" w:eastAsia="宋体" w:cs="宋体"/>
          <w:bCs/>
          <w:color w:val="auto"/>
          <w:kern w:val="0"/>
          <w:szCs w:val="21"/>
          <w:highlight w:val="none"/>
          <w:lang w:val="en-US" w:eastAsia="zh-CN"/>
        </w:rPr>
        <w:t>评标会</w:t>
      </w:r>
      <w:r>
        <w:rPr>
          <w:rFonts w:hint="eastAsia" w:ascii="宋体" w:hAnsi="宋体" w:eastAsia="宋体" w:cs="宋体"/>
          <w:bCs/>
          <w:color w:val="auto"/>
          <w:kern w:val="0"/>
          <w:szCs w:val="21"/>
          <w:highlight w:val="none"/>
          <w:lang w:val="zh-CN"/>
        </w:rPr>
        <w:t>结束后第一个工作日向交易中心发送退还指令；</w:t>
      </w:r>
    </w:p>
    <w:p w14:paraId="626F1060">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（2）对除中标候选人外的投标人，招标人在发布评标结果公示后3个工作日内向交易中心发送退还指令；</w:t>
      </w:r>
    </w:p>
    <w:p w14:paraId="2C6F913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（3）招标人与中标人在签订书面合同后3个工作日内向交易中心对中标人及其余中标候选人投标保证金发送退还指令。</w:t>
      </w:r>
    </w:p>
    <w:p w14:paraId="3708DC74">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（4）若</w:t>
      </w:r>
      <w:r>
        <w:rPr>
          <w:rFonts w:hint="eastAsia" w:ascii="宋体" w:hAnsi="宋体" w:eastAsia="宋体" w:cs="宋体"/>
          <w:bCs/>
          <w:color w:val="auto"/>
          <w:kern w:val="0"/>
          <w:szCs w:val="21"/>
          <w:highlight w:val="none"/>
          <w:lang w:val="en-US" w:eastAsia="zh-CN"/>
        </w:rPr>
        <w:t>项目</w:t>
      </w:r>
      <w:r>
        <w:rPr>
          <w:rFonts w:hint="eastAsia" w:ascii="宋体" w:hAnsi="宋体" w:eastAsia="宋体" w:cs="宋体"/>
          <w:bCs/>
          <w:color w:val="auto"/>
          <w:kern w:val="0"/>
          <w:szCs w:val="21"/>
          <w:highlight w:val="none"/>
          <w:lang w:val="zh-CN"/>
        </w:rPr>
        <w:t>受到监督部门调查时，招标人根据实际情况处理投标保证金退回有关工作。招标人将按调查结果处理涉事投标保证金。</w:t>
      </w:r>
    </w:p>
    <w:p w14:paraId="4E0B54F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（5）如因投诉等异常情况不能正常签发中标通知书，招标人可以退回未中标的且不涉及异常情况处理投标人的投标保证金发送退还指令。</w:t>
      </w:r>
    </w:p>
    <w:p w14:paraId="60D3385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.4 投标保证金有效期应当与投标有效期一致。招标人如果按本</w:t>
      </w:r>
      <w:r>
        <w:rPr>
          <w:rFonts w:hint="eastAsia" w:ascii="宋体" w:hAnsi="宋体" w:eastAsia="宋体" w:cs="宋体"/>
          <w:bCs/>
          <w:color w:val="auto"/>
          <w:kern w:val="0"/>
          <w:szCs w:val="21"/>
          <w:highlight w:val="none"/>
          <w:lang w:val="en-US" w:eastAsia="zh-CN"/>
        </w:rPr>
        <w:t>投标人</w:t>
      </w:r>
      <w:r>
        <w:rPr>
          <w:rFonts w:hint="eastAsia" w:ascii="宋体" w:hAnsi="宋体" w:eastAsia="宋体" w:cs="宋体"/>
          <w:bCs/>
          <w:color w:val="auto"/>
          <w:kern w:val="0"/>
          <w:szCs w:val="21"/>
          <w:highlight w:val="none"/>
          <w:lang w:val="zh-CN"/>
        </w:rPr>
        <w:t>须知第</w:t>
      </w:r>
      <w:r>
        <w:rPr>
          <w:rFonts w:hint="eastAsia" w:ascii="宋体" w:hAnsi="宋体" w:eastAsia="宋体" w:cs="宋体"/>
          <w:bCs/>
          <w:color w:val="auto"/>
          <w:kern w:val="0"/>
          <w:szCs w:val="21"/>
          <w:highlight w:val="none"/>
          <w:lang w:val="en-US" w:eastAsia="zh-CN"/>
        </w:rPr>
        <w:t>16.3款</w:t>
      </w:r>
      <w:r>
        <w:rPr>
          <w:rFonts w:hint="eastAsia" w:ascii="宋体" w:hAnsi="宋体" w:eastAsia="宋体" w:cs="宋体"/>
          <w:bCs/>
          <w:color w:val="auto"/>
          <w:kern w:val="0"/>
          <w:szCs w:val="21"/>
          <w:highlight w:val="none"/>
          <w:lang w:val="zh-CN"/>
        </w:rPr>
        <w:t>的规定延长了投标文件有效期，则投标保证金的有效期也相应延长。</w:t>
      </w:r>
    </w:p>
    <w:p w14:paraId="5F8E61C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 xml:space="preserve">.5 若发生下列情况，招标人在书面通知投标人（或中标人）后有权不予退还投标保证金： </w:t>
      </w:r>
    </w:p>
    <w:p w14:paraId="58D2999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（1）投标人在规定的投标截止时间后至投标有效期满之前撤销或修改其投标文件；</w:t>
      </w:r>
    </w:p>
    <w:p w14:paraId="718923D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（2）中标人未能在规定期限内提交履约担保；</w:t>
      </w:r>
    </w:p>
    <w:p w14:paraId="3A1CF21A">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（3）未根据</w:t>
      </w:r>
      <w:r>
        <w:rPr>
          <w:rFonts w:hint="eastAsia" w:ascii="宋体" w:hAnsi="宋体" w:eastAsia="宋体" w:cs="宋体"/>
          <w:bCs/>
          <w:color w:val="auto"/>
          <w:kern w:val="0"/>
          <w:szCs w:val="21"/>
          <w:highlight w:val="none"/>
          <w:lang w:val="en-US" w:eastAsia="zh-CN"/>
        </w:rPr>
        <w:t>本投标人须知</w:t>
      </w:r>
      <w:r>
        <w:rPr>
          <w:rFonts w:hint="eastAsia" w:ascii="宋体" w:hAnsi="宋体" w:eastAsia="宋体" w:cs="宋体"/>
          <w:bCs/>
          <w:color w:val="auto"/>
          <w:kern w:val="0"/>
          <w:szCs w:val="21"/>
          <w:highlight w:val="none"/>
          <w:lang w:val="zh-CN"/>
        </w:rPr>
        <w:t>第3</w:t>
      </w:r>
      <w:r>
        <w:rPr>
          <w:rFonts w:hint="eastAsia" w:ascii="宋体" w:hAnsi="宋体" w:eastAsia="宋体" w:cs="宋体"/>
          <w:bCs/>
          <w:color w:val="auto"/>
          <w:kern w:val="0"/>
          <w:szCs w:val="21"/>
          <w:highlight w:val="none"/>
          <w:lang w:val="en-US" w:eastAsia="zh-CN"/>
        </w:rPr>
        <w:t>6</w:t>
      </w:r>
      <w:r>
        <w:rPr>
          <w:rFonts w:hint="eastAsia" w:ascii="宋体" w:hAnsi="宋体" w:eastAsia="宋体" w:cs="宋体"/>
          <w:bCs/>
          <w:color w:val="auto"/>
          <w:kern w:val="0"/>
          <w:szCs w:val="21"/>
          <w:highlight w:val="none"/>
          <w:lang w:val="zh-CN"/>
        </w:rPr>
        <w:t>条规定签署合同；</w:t>
      </w:r>
    </w:p>
    <w:p w14:paraId="074B53EE">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（4）将中标项目转让给他人，或者在投标文件中未说明，且未经招标人同意，将中标项目的合同的权利义务转让给第三方的；</w:t>
      </w:r>
    </w:p>
    <w:p w14:paraId="51E64698">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zh-CN"/>
        </w:rPr>
        <w:t>（5）提供虚假投标文件或虚假补充文件的，或违反《中华人民共和国招标投标法》等有关法律、法规、规章及招标投标相关规定的行为。</w:t>
      </w:r>
    </w:p>
    <w:p w14:paraId="5482E33F">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Cs/>
          <w:color w:val="auto"/>
          <w:kern w:val="0"/>
          <w:szCs w:val="21"/>
          <w:highlight w:val="none"/>
          <w:lang w:val="en-US"/>
        </w:rPr>
      </w:pPr>
      <w:bookmarkStart w:id="189" w:name="_Toc30462"/>
      <w:bookmarkStart w:id="190" w:name="_Toc22708"/>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en-US"/>
        </w:rPr>
        <w:t>.6</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en-US"/>
        </w:rPr>
        <w:t>对于提交银行电子保函（保险电子保单）的有关注意事项：</w:t>
      </w:r>
      <w:bookmarkEnd w:id="189"/>
      <w:bookmarkEnd w:id="190"/>
    </w:p>
    <w:p w14:paraId="7B9296BD">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6.1投标人所提交的银行电子保函（保险电子保单）经核实出现以下情况的，作自动弃权处理：①担保的有效期或金额不符合要求的；②出现不符合招标文件要求或招标人不能接受的条款。</w:t>
      </w:r>
    </w:p>
    <w:p w14:paraId="42019FF3">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6.2投标人应当选择具备银行电子保函（保险电子保单）相关业务的银行（保险公司）开具投标保函（保单）。具备相关业务的银行（保险公司）应满足能与交易中心端口对接、关联基本账户、退款等条件，以保证电子指令的正常发送与接收。</w:t>
      </w:r>
    </w:p>
    <w:p w14:paraId="78E0AB01">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6.3银行电子保函采用“电子保函+电子指令”模式，保险电子保单采用“电子保单+电子指令”模式，即银行（保险公司）向投标人开具电子保函（保单）的同时向交易中心发送经加密的电子指令，投标人自行登录交易系统进行确认。</w:t>
      </w:r>
    </w:p>
    <w:p w14:paraId="269E7F59">
      <w:pPr>
        <w:tabs>
          <w:tab w:val="left" w:pos="567"/>
        </w:tabs>
        <w:autoSpaceDE w:val="0"/>
        <w:autoSpaceDN w:val="0"/>
        <w:adjustRightInd w:val="0"/>
        <w:spacing w:line="360" w:lineRule="auto"/>
        <w:ind w:left="357" w:leftChars="-100" w:hanging="567"/>
        <w:jc w:val="left"/>
        <w:rPr>
          <w:rFonts w:hint="eastAsia" w:ascii="宋体" w:hAnsi="宋体" w:eastAsia="宋体" w:cs="宋体"/>
          <w:bCs/>
          <w:color w:val="auto"/>
          <w:kern w:val="0"/>
          <w:szCs w:val="21"/>
          <w:highlight w:val="none"/>
          <w:lang w:val="zh-CN"/>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6.4投标人需预留足够的时间，提前办理好银行电子保函或保险电子保单，自行查询确认电子指令是否已经送到交易中心，并核对相关资料和信息的准确性。若投标人未预留足够的时间办理相关手续，因网络或系统等原因导致电子指令超过投标文件递交截止时间未能到达交易系统导致招标人拒绝其投标的，其后果由投标人自行负责。</w:t>
      </w:r>
    </w:p>
    <w:p w14:paraId="6500E168">
      <w:pPr>
        <w:autoSpaceDE w:val="0"/>
        <w:autoSpaceDN w:val="0"/>
        <w:adjustRightInd w:val="0"/>
        <w:spacing w:line="360" w:lineRule="auto"/>
        <w:ind w:left="357" w:leftChars="-100"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1"/>
          <w:highlight w:val="none"/>
          <w:lang w:val="en-US" w:eastAsia="zh-CN"/>
        </w:rPr>
        <w:t>15.</w:t>
      </w:r>
      <w:r>
        <w:rPr>
          <w:rFonts w:hint="eastAsia" w:ascii="宋体" w:hAnsi="宋体" w:eastAsia="宋体" w:cs="宋体"/>
          <w:bCs/>
          <w:color w:val="auto"/>
          <w:kern w:val="0"/>
          <w:szCs w:val="21"/>
          <w:highlight w:val="none"/>
          <w:lang w:val="zh-CN"/>
        </w:rPr>
        <w:t>7</w:t>
      </w:r>
      <w:r>
        <w:rPr>
          <w:rFonts w:hint="eastAsia" w:ascii="宋体" w:hAnsi="宋体" w:eastAsia="宋体" w:cs="宋体"/>
          <w:bCs/>
          <w:color w:val="auto"/>
          <w:kern w:val="0"/>
          <w:szCs w:val="21"/>
          <w:highlight w:val="none"/>
          <w:lang w:val="en-US" w:eastAsia="zh-CN"/>
        </w:rPr>
        <w:t xml:space="preserve"> </w:t>
      </w:r>
      <w:r>
        <w:rPr>
          <w:rFonts w:hint="eastAsia" w:ascii="宋体" w:hAnsi="宋体" w:eastAsia="宋体" w:cs="宋体"/>
          <w:bCs/>
          <w:color w:val="auto"/>
          <w:kern w:val="0"/>
          <w:szCs w:val="21"/>
          <w:highlight w:val="none"/>
          <w:lang w:val="zh-CN"/>
        </w:rPr>
        <w:t>投标保证金缴存银行</w:t>
      </w:r>
      <w:r>
        <w:rPr>
          <w:rFonts w:hint="eastAsia" w:ascii="宋体" w:hAnsi="宋体" w:eastAsia="宋体" w:cs="宋体"/>
          <w:bCs/>
          <w:color w:val="auto"/>
          <w:kern w:val="0"/>
          <w:szCs w:val="21"/>
          <w:highlight w:val="none"/>
          <w:lang w:val="en-US" w:eastAsia="zh-CN"/>
        </w:rPr>
        <w:t>账</w:t>
      </w:r>
      <w:r>
        <w:rPr>
          <w:rFonts w:hint="eastAsia" w:ascii="宋体" w:hAnsi="宋体" w:eastAsia="宋体" w:cs="宋体"/>
          <w:bCs/>
          <w:color w:val="auto"/>
          <w:kern w:val="0"/>
          <w:szCs w:val="21"/>
          <w:highlight w:val="none"/>
          <w:lang w:val="zh-CN"/>
        </w:rPr>
        <w:t>户见全国公共资源交易平台（广东省·东莞市）办事指南。</w:t>
      </w:r>
    </w:p>
    <w:p w14:paraId="4F5035FF">
      <w:pPr>
        <w:tabs>
          <w:tab w:val="left" w:pos="1134"/>
        </w:tabs>
        <w:autoSpaceDE w:val="0"/>
        <w:autoSpaceDN w:val="0"/>
        <w:adjustRightInd w:val="0"/>
        <w:spacing w:line="360" w:lineRule="auto"/>
        <w:ind w:left="840" w:leftChars="150" w:hanging="525" w:hangingChars="250"/>
        <w:jc w:val="left"/>
        <w:rPr>
          <w:rFonts w:hint="eastAsia" w:ascii="宋体" w:hAnsi="宋体" w:eastAsia="宋体" w:cs="宋体"/>
          <w:color w:val="auto"/>
          <w:kern w:val="0"/>
          <w:szCs w:val="21"/>
          <w:highlight w:val="none"/>
        </w:rPr>
      </w:pPr>
    </w:p>
    <w:p w14:paraId="0D5E1944">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1" w:name="_Toc486167680"/>
      <w:bookmarkStart w:id="192" w:name="_Toc22649_WPSOffice_Level3"/>
      <w:bookmarkStart w:id="193" w:name="_Toc450662865"/>
      <w:bookmarkStart w:id="194" w:name="_Toc142508330"/>
      <w:bookmarkStart w:id="195" w:name="_Toc24580"/>
      <w:bookmarkStart w:id="196" w:name="_Toc29607"/>
      <w:bookmarkStart w:id="197" w:name="_Toc1458"/>
      <w:r>
        <w:rPr>
          <w:rFonts w:hint="eastAsia" w:ascii="宋体" w:hAnsi="宋体" w:eastAsia="宋体" w:cs="宋体"/>
          <w:color w:val="auto"/>
          <w:szCs w:val="21"/>
          <w:highlight w:val="none"/>
          <w:lang w:val="zh-CN"/>
        </w:rPr>
        <w:t>16 投标有效期</w:t>
      </w:r>
      <w:bookmarkEnd w:id="191"/>
      <w:bookmarkEnd w:id="192"/>
      <w:bookmarkEnd w:id="193"/>
      <w:bookmarkEnd w:id="194"/>
      <w:bookmarkEnd w:id="195"/>
      <w:bookmarkEnd w:id="196"/>
      <w:bookmarkEnd w:id="197"/>
    </w:p>
    <w:p w14:paraId="694EDB67">
      <w:pPr>
        <w:tabs>
          <w:tab w:val="left" w:pos="567"/>
        </w:tabs>
        <w:autoSpaceDE w:val="0"/>
        <w:autoSpaceDN w:val="0"/>
        <w:adjustRightInd w:val="0"/>
        <w:spacing w:line="360" w:lineRule="auto"/>
        <w:ind w:left="357" w:leftChars="-100" w:hanging="567"/>
        <w:rPr>
          <w:rFonts w:hint="eastAsia" w:ascii="宋体" w:hAnsi="宋体" w:eastAsia="宋体" w:cs="宋体"/>
          <w:b/>
          <w:bCs/>
          <w:color w:val="auto"/>
          <w:szCs w:val="21"/>
          <w:highlight w:val="none"/>
          <w:lang w:val="zh-CN"/>
        </w:rPr>
      </w:pPr>
      <w:r>
        <w:rPr>
          <w:rFonts w:hint="eastAsia" w:ascii="宋体" w:hAnsi="宋体" w:eastAsia="宋体" w:cs="宋体"/>
          <w:color w:val="auto"/>
          <w:szCs w:val="21"/>
          <w:highlight w:val="none"/>
          <w:lang w:val="zh-CN"/>
        </w:rPr>
        <w:t>16.1</w:t>
      </w:r>
      <w:r>
        <w:rPr>
          <w:rFonts w:hint="eastAsia" w:ascii="宋体" w:hAnsi="宋体" w:eastAsia="宋体" w:cs="宋体"/>
          <w:color w:val="auto"/>
          <w:szCs w:val="21"/>
          <w:highlight w:val="none"/>
          <w:lang w:val="zh-CN"/>
        </w:rPr>
        <w:tab/>
      </w:r>
      <w:r>
        <w:rPr>
          <w:rFonts w:hint="eastAsia" w:ascii="宋体" w:hAnsi="宋体" w:eastAsia="宋体" w:cs="宋体"/>
          <w:b/>
          <w:bCs/>
          <w:color w:val="auto"/>
          <w:szCs w:val="21"/>
          <w:highlight w:val="none"/>
          <w:u w:val="single"/>
          <w:lang w:val="zh-CN"/>
        </w:rPr>
        <w:t>投标文件将在递交投标文件截止时间届满后90日内有效。投标有效期比规定时间短的按无效投标文件处理</w:t>
      </w:r>
      <w:r>
        <w:rPr>
          <w:rFonts w:hint="eastAsia" w:ascii="宋体" w:hAnsi="宋体" w:eastAsia="宋体" w:cs="宋体"/>
          <w:b/>
          <w:bCs/>
          <w:color w:val="auto"/>
          <w:szCs w:val="21"/>
          <w:highlight w:val="none"/>
          <w:lang w:val="zh-CN"/>
        </w:rPr>
        <w:t>。</w:t>
      </w:r>
    </w:p>
    <w:p w14:paraId="0A4FD62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中标人的投标文件作为合同附件，合同失效时同时失效。</w:t>
      </w:r>
    </w:p>
    <w:p w14:paraId="257F23B0">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16.3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在特殊情况下，招标代理机构可于投标有效期满之前要求投标人同意延长投标有效期。要求与答复均应为书面形式往来。投标人可以拒绝上述要求，招标</w:t>
      </w:r>
      <w:r>
        <w:rPr>
          <w:rFonts w:hint="eastAsia" w:ascii="宋体" w:hAnsi="宋体" w:eastAsia="宋体" w:cs="宋体"/>
          <w:color w:val="auto"/>
          <w:szCs w:val="21"/>
          <w:highlight w:val="none"/>
          <w:lang w:val="en-US" w:eastAsia="zh-CN"/>
        </w:rPr>
        <w:t>人</w:t>
      </w:r>
      <w:r>
        <w:rPr>
          <w:rFonts w:hint="eastAsia" w:ascii="宋体" w:hAnsi="宋体" w:eastAsia="宋体" w:cs="宋体"/>
          <w:color w:val="auto"/>
          <w:szCs w:val="21"/>
          <w:highlight w:val="none"/>
          <w:lang w:val="zh-CN"/>
        </w:rPr>
        <w:t>将退还其投标保证金。对于同意该要求的投标人，既不要求也不允许其修改投标文件，但将要求其相应延长投标保证金的有效期。第15条投标保证金的有关规定在投标保证金延长期内仍适用。</w:t>
      </w:r>
    </w:p>
    <w:p w14:paraId="17FEA35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1E469096">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198" w:name="_Toc450662866"/>
      <w:bookmarkStart w:id="199" w:name="_Toc25637_WPSOffice_Level3"/>
      <w:bookmarkStart w:id="200" w:name="_Toc16430"/>
      <w:bookmarkStart w:id="201" w:name="_Toc486167681"/>
      <w:bookmarkStart w:id="202" w:name="_Toc932"/>
      <w:bookmarkStart w:id="203" w:name="_Toc15065"/>
      <w:bookmarkStart w:id="204" w:name="_Toc195714235"/>
      <w:bookmarkStart w:id="205" w:name="_Toc20422"/>
      <w:bookmarkStart w:id="206" w:name="_Toc142508331"/>
      <w:r>
        <w:rPr>
          <w:rFonts w:hint="eastAsia" w:ascii="宋体" w:hAnsi="宋体" w:eastAsia="宋体" w:cs="宋体"/>
          <w:color w:val="auto"/>
          <w:szCs w:val="21"/>
          <w:highlight w:val="none"/>
          <w:lang w:val="zh-CN"/>
        </w:rPr>
        <w:t>17 投标文件的编制和签署</w:t>
      </w:r>
      <w:bookmarkEnd w:id="198"/>
      <w:bookmarkEnd w:id="199"/>
      <w:bookmarkEnd w:id="200"/>
      <w:bookmarkEnd w:id="201"/>
      <w:bookmarkEnd w:id="202"/>
      <w:bookmarkEnd w:id="203"/>
      <w:bookmarkEnd w:id="204"/>
      <w:bookmarkEnd w:id="205"/>
      <w:bookmarkEnd w:id="206"/>
    </w:p>
    <w:p w14:paraId="55F28CE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投标文件采用电子标书形式编制。投标人使用网络上传投标文件。</w:t>
      </w:r>
    </w:p>
    <w:p w14:paraId="6201BE1A">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投标人应使用全国公共资源交易平台（广东省·东莞市发布的投标文件电子标书制作软件（以下简称“电子标书制作软件”）进行投标文件的合成、电子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工作。</w:t>
      </w:r>
    </w:p>
    <w:p w14:paraId="4CD66C6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投标人应使用依法设立的电子认证服务提供者签发的电子签名认证证书对电子投标文件进行电子签名。该电子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zh-CN"/>
        </w:rPr>
        <w:t>与手写签名或者盖章具有同等的法律效力。</w:t>
      </w:r>
    </w:p>
    <w:p w14:paraId="2DB362DE">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投标人使用电子标书制作软件编制电子投标文件时必须按招标文件相关条款及投标文件格式中的要求进行编制。</w:t>
      </w:r>
    </w:p>
    <w:p w14:paraId="1893A6DF">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投标文件应按上述编制的要求编制电子标书。如投标文件未按上述编制要求编制的，所引起交易系统无法检索、读取相关信息时，其结果将由投标人自行承担。</w:t>
      </w:r>
    </w:p>
    <w:p w14:paraId="7BE7FD9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07" w:name="_Toc9587"/>
      <w:bookmarkStart w:id="208" w:name="_Toc26960"/>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投标文件必须按下列要求编制、使用数字证书电子</w:t>
      </w:r>
      <w:r>
        <w:rPr>
          <w:rFonts w:hint="eastAsia" w:ascii="宋体" w:hAnsi="宋体" w:eastAsia="宋体" w:cs="宋体"/>
          <w:color w:val="auto"/>
          <w:szCs w:val="21"/>
          <w:highlight w:val="none"/>
          <w:lang w:val="en-US"/>
        </w:rPr>
        <w:t>签名</w:t>
      </w:r>
      <w:r>
        <w:rPr>
          <w:rFonts w:hint="eastAsia" w:ascii="宋体" w:hAnsi="宋体" w:eastAsia="宋体" w:cs="宋体"/>
          <w:color w:val="auto"/>
          <w:szCs w:val="21"/>
          <w:highlight w:val="none"/>
          <w:lang w:val="en-US" w:eastAsia="zh-CN"/>
        </w:rPr>
        <w:t>：</w:t>
      </w:r>
      <w:bookmarkEnd w:id="207"/>
      <w:bookmarkEnd w:id="208"/>
    </w:p>
    <w:p w14:paraId="07012649">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.6.1按本投标人须知第</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eastAsia="zh-CN"/>
        </w:rPr>
        <w:t>、</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条的规定编制，按本投标人须知第1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条的规定填报投标报价，“投标文件的组成”中列明的内容在投标文件中不能有漏缺。</w:t>
      </w:r>
    </w:p>
    <w:p w14:paraId="125A7A4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09" w:name="_Toc19767"/>
      <w:bookmarkStart w:id="210" w:name="_Toc3092"/>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.6.2投标文件商务标、技术标编制要求：</w:t>
      </w:r>
      <w:bookmarkEnd w:id="209"/>
      <w:bookmarkEnd w:id="210"/>
    </w:p>
    <w:p w14:paraId="4B7C766B">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（1）投标文件必须按招标文件中规定的投标文件格式编制，并转换成PDF格式合成到电子投标文件中；</w:t>
      </w:r>
    </w:p>
    <w:p w14:paraId="7D38BFED">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（2）投标文件商务标、技术标必须按招标文件的规定填写； </w:t>
      </w:r>
    </w:p>
    <w:p w14:paraId="63E448AE">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3</w:t>
      </w:r>
      <w:r>
        <w:rPr>
          <w:rFonts w:hint="eastAsia" w:ascii="宋体" w:hAnsi="宋体" w:eastAsia="宋体" w:cs="宋体"/>
          <w:color w:val="auto"/>
          <w:szCs w:val="21"/>
          <w:highlight w:val="none"/>
          <w:lang w:val="zh-CN"/>
        </w:rPr>
        <w:t>）投标文件商务标、技术标应按其格式要求由投标人的法定代表人或其授权代表电子签名、企业数字证书电子签名；</w:t>
      </w:r>
    </w:p>
    <w:p w14:paraId="01169A20">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）严格按照第六篇投标文件格式内的要求完整、真实的填写《合同条款偏离表》《用户需求偏离表》；</w:t>
      </w:r>
    </w:p>
    <w:p w14:paraId="4406C2FA">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）投标人要特别加以注意，必须严格按照第六篇商务标格式的要求完整、真实的填写《资格业绩》及提供对应证明资料；</w:t>
      </w:r>
    </w:p>
    <w:p w14:paraId="6018695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）投标文件技术标部分必须按招标文件第六篇“技术标格式”编制。</w:t>
      </w:r>
    </w:p>
    <w:p w14:paraId="6588F512">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11" w:name="_Toc26313"/>
      <w:bookmarkStart w:id="212" w:name="_Toc3854"/>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.6.3投标文件报价信封编制要求：</w:t>
      </w:r>
      <w:bookmarkEnd w:id="211"/>
      <w:bookmarkEnd w:id="212"/>
    </w:p>
    <w:p w14:paraId="484E94FC">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（1）投标人应使用电子标书制作软件编制并生成报价信封，内容根据招标文件设置的报价信封内容按实填报。</w:t>
      </w:r>
    </w:p>
    <w:p w14:paraId="392D64E6">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（2）投标人应把其“折扣系数报价”填入报价信封的“投标值”中。</w:t>
      </w:r>
    </w:p>
    <w:p w14:paraId="20715FCF">
      <w:pPr>
        <w:tabs>
          <w:tab w:val="left" w:pos="567"/>
        </w:tabs>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（3）投标文件价格部分应按其格式要求使用依法设立的电子认证服务提供者签发的电子签名认证证书对电子投标文件进行电子签名。该电子签名与手写签名或者盖章具有同等的法律效力。</w:t>
      </w:r>
    </w:p>
    <w:p w14:paraId="1AA3169A">
      <w:pPr>
        <w:autoSpaceDE w:val="0"/>
        <w:autoSpaceDN w:val="0"/>
        <w:adjustRightInd w:val="0"/>
        <w:jc w:val="left"/>
        <w:rPr>
          <w:rFonts w:hint="eastAsia" w:ascii="宋体" w:hAnsi="宋体" w:eastAsia="宋体" w:cs="宋体"/>
          <w:color w:val="auto"/>
          <w:kern w:val="0"/>
          <w:sz w:val="24"/>
          <w:szCs w:val="24"/>
          <w:highlight w:val="none"/>
        </w:rPr>
      </w:pPr>
      <w:bookmarkStart w:id="213" w:name="_Toc450662867"/>
    </w:p>
    <w:bookmarkEnd w:id="213"/>
    <w:p w14:paraId="0D774974">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14" w:name="_Toc11307"/>
      <w:bookmarkStart w:id="215" w:name="_Toc195714236"/>
      <w:bookmarkStart w:id="216" w:name="_Toc17199"/>
      <w:bookmarkStart w:id="217" w:name="_Toc486167682"/>
      <w:bookmarkStart w:id="218" w:name="_Toc26605"/>
      <w:bookmarkStart w:id="219" w:name="_Toc7829"/>
      <w:bookmarkStart w:id="220" w:name="_Toc22356_WPSOffice_Level2"/>
      <w:bookmarkStart w:id="221" w:name="_Toc140596891"/>
      <w:bookmarkStart w:id="222" w:name="_Toc142508332"/>
      <w:r>
        <w:rPr>
          <w:rFonts w:hint="eastAsia" w:ascii="宋体" w:hAnsi="宋体" w:eastAsia="宋体" w:cs="宋体"/>
          <w:b/>
          <w:bCs/>
          <w:color w:val="auto"/>
          <w:kern w:val="44"/>
          <w:szCs w:val="21"/>
          <w:highlight w:val="none"/>
          <w:lang w:val="zh-CN"/>
        </w:rPr>
        <w:t>四、投标</w:t>
      </w:r>
      <w:bookmarkEnd w:id="214"/>
      <w:bookmarkEnd w:id="215"/>
      <w:bookmarkEnd w:id="216"/>
      <w:bookmarkEnd w:id="217"/>
      <w:bookmarkEnd w:id="218"/>
      <w:bookmarkEnd w:id="219"/>
      <w:bookmarkEnd w:id="220"/>
      <w:bookmarkEnd w:id="221"/>
      <w:bookmarkEnd w:id="222"/>
    </w:p>
    <w:p w14:paraId="23F3658D">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23" w:name="_Toc12192_WPSOffice_Level3"/>
      <w:bookmarkStart w:id="224" w:name="_Toc29885"/>
      <w:bookmarkStart w:id="225" w:name="_Toc486167683"/>
      <w:bookmarkStart w:id="226" w:name="_Toc195714237"/>
      <w:bookmarkStart w:id="227" w:name="_Toc142508333"/>
      <w:bookmarkStart w:id="228" w:name="_Toc450662868"/>
      <w:bookmarkStart w:id="229" w:name="_Toc31551"/>
      <w:bookmarkStart w:id="230" w:name="_Toc22475"/>
      <w:bookmarkStart w:id="231" w:name="_Toc3466"/>
      <w:r>
        <w:rPr>
          <w:rFonts w:hint="eastAsia" w:ascii="宋体" w:hAnsi="宋体" w:eastAsia="宋体" w:cs="宋体"/>
          <w:color w:val="auto"/>
          <w:szCs w:val="21"/>
          <w:highlight w:val="none"/>
          <w:lang w:val="zh-CN"/>
        </w:rPr>
        <w:t xml:space="preserve">18 </w:t>
      </w:r>
      <w:bookmarkEnd w:id="223"/>
      <w:bookmarkEnd w:id="224"/>
      <w:bookmarkEnd w:id="225"/>
      <w:bookmarkEnd w:id="226"/>
      <w:bookmarkEnd w:id="227"/>
      <w:bookmarkEnd w:id="228"/>
      <w:bookmarkEnd w:id="229"/>
      <w:r>
        <w:rPr>
          <w:rFonts w:hint="eastAsia" w:ascii="宋体" w:hAnsi="宋体" w:eastAsia="宋体" w:cs="宋体"/>
          <w:color w:val="auto"/>
          <w:szCs w:val="21"/>
          <w:highlight w:val="none"/>
          <w:lang w:val="zh-CN"/>
        </w:rPr>
        <w:t>投标文件的加密</w:t>
      </w:r>
      <w:bookmarkEnd w:id="230"/>
      <w:bookmarkEnd w:id="231"/>
    </w:p>
    <w:p w14:paraId="064FC39E">
      <w:pPr>
        <w:tabs>
          <w:tab w:val="left" w:pos="567"/>
        </w:tabs>
        <w:adjustRightInd w:val="0"/>
        <w:spacing w:line="360" w:lineRule="auto"/>
        <w:ind w:firstLine="144" w:firstLineChars="6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投标人应使用依法设立的电子认证服务提供者签发的电子签章认证证书对电子投标文件进行电子签章并加密。</w:t>
      </w:r>
    </w:p>
    <w:p w14:paraId="67243BC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rPr>
      </w:pPr>
    </w:p>
    <w:p w14:paraId="6F89E4D2">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32" w:name="_Toc3867"/>
      <w:bookmarkStart w:id="233" w:name="_Toc32766"/>
      <w:bookmarkStart w:id="234" w:name="_Toc195714238"/>
      <w:r>
        <w:rPr>
          <w:rFonts w:hint="eastAsia" w:ascii="宋体" w:hAnsi="宋体" w:eastAsia="宋体" w:cs="宋体"/>
          <w:color w:val="auto"/>
          <w:szCs w:val="21"/>
          <w:highlight w:val="none"/>
          <w:lang w:val="zh-CN"/>
        </w:rPr>
        <w:t>19 投标文件的提交</w:t>
      </w:r>
      <w:bookmarkEnd w:id="232"/>
      <w:bookmarkEnd w:id="233"/>
      <w:bookmarkEnd w:id="234"/>
    </w:p>
    <w:p w14:paraId="5A59C4BC">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投标人应在本招标公告规定的投标截止时间前通过交易系统在线上传投标文件。上述方式外提交的投标文件，招标人将不予受理。</w:t>
      </w:r>
    </w:p>
    <w:p w14:paraId="6CC1BFD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在通过交易系统在线上传投标文件时，需设置投标文件查询密码（用于查询投标文件递交情况、撤销投标文件及签到时匹配对应的招标文件）。上传成功后，投标人应打印“电子标书网站上传回执”作为成功上传的凭证。</w:t>
      </w:r>
    </w:p>
    <w:p w14:paraId="6E736BD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投标文件成功上传后，交易系统将生成投标文件识别码。本识别码是投标人提交投标文件的唯一凭证，投标人须妥善保管。识别码丢失后，投标人将无法找回投标文件，需重新上传提交。</w:t>
      </w:r>
    </w:p>
    <w:p w14:paraId="22C99281">
      <w:pPr>
        <w:tabs>
          <w:tab w:val="left" w:pos="567"/>
        </w:tabs>
        <w:autoSpaceDE w:val="0"/>
        <w:autoSpaceDN w:val="0"/>
        <w:adjustRightInd w:val="0"/>
        <w:spacing w:line="360" w:lineRule="auto"/>
        <w:ind w:left="357" w:leftChars="-100" w:right="15" w:rightChars="7" w:hanging="567"/>
        <w:outlineLvl w:val="9"/>
        <w:rPr>
          <w:rFonts w:hint="eastAsia" w:ascii="宋体" w:hAnsi="宋体" w:eastAsia="宋体" w:cs="宋体"/>
          <w:color w:val="auto"/>
          <w:szCs w:val="21"/>
          <w:highlight w:val="none"/>
          <w:lang w:val="zh-CN"/>
        </w:rPr>
      </w:pPr>
      <w:bookmarkStart w:id="235" w:name="_Toc8570"/>
      <w:bookmarkStart w:id="236" w:name="_Toc10837"/>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投标会议</w:t>
      </w:r>
      <w:r>
        <w:rPr>
          <w:rFonts w:hint="eastAsia" w:ascii="宋体" w:hAnsi="宋体" w:eastAsia="宋体" w:cs="宋体"/>
          <w:color w:val="auto"/>
          <w:szCs w:val="21"/>
          <w:highlight w:val="none"/>
          <w:lang w:val="en-US" w:eastAsia="zh-CN"/>
        </w:rPr>
        <w:t>时间及</w:t>
      </w:r>
      <w:r>
        <w:rPr>
          <w:rFonts w:hint="eastAsia" w:ascii="宋体" w:hAnsi="宋体" w:eastAsia="宋体" w:cs="宋体"/>
          <w:color w:val="auto"/>
          <w:szCs w:val="21"/>
          <w:highlight w:val="none"/>
          <w:lang w:val="zh-CN"/>
        </w:rPr>
        <w:t>地点：见招标公告。</w:t>
      </w:r>
      <w:bookmarkEnd w:id="235"/>
      <w:bookmarkEnd w:id="236"/>
    </w:p>
    <w:p w14:paraId="330D3C5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.5</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逾期送达的或者未按指定方式提交的投标文件，招标人不予受理。</w:t>
      </w:r>
    </w:p>
    <w:p w14:paraId="49E79B5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26531B83">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37" w:name="_Toc195714239"/>
      <w:bookmarkStart w:id="238" w:name="_Toc10027"/>
      <w:bookmarkStart w:id="239" w:name="_Toc2123"/>
      <w:r>
        <w:rPr>
          <w:rFonts w:hint="eastAsia" w:ascii="宋体" w:hAnsi="宋体" w:eastAsia="宋体" w:cs="宋体"/>
          <w:color w:val="auto"/>
          <w:szCs w:val="21"/>
          <w:highlight w:val="none"/>
          <w:lang w:val="zh-CN"/>
        </w:rPr>
        <w:t>20 投标会时间、地点及投标文件提交的截止时间</w:t>
      </w:r>
      <w:bookmarkEnd w:id="237"/>
      <w:bookmarkEnd w:id="238"/>
      <w:bookmarkEnd w:id="239"/>
    </w:p>
    <w:p w14:paraId="6EA1847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投标人应按招标公告的时间、地点，或根据本投标人须知第</w:t>
      </w:r>
      <w:r>
        <w:rPr>
          <w:rFonts w:hint="eastAsia" w:ascii="宋体" w:hAnsi="宋体" w:eastAsia="宋体" w:cs="宋体"/>
          <w:color w:val="auto"/>
          <w:szCs w:val="21"/>
          <w:highlight w:val="none"/>
        </w:rPr>
        <w:t>7.2</w:t>
      </w:r>
      <w:r>
        <w:rPr>
          <w:rFonts w:hint="eastAsia" w:ascii="宋体" w:hAnsi="宋体" w:eastAsia="宋体" w:cs="宋体"/>
          <w:color w:val="auto"/>
          <w:szCs w:val="21"/>
          <w:highlight w:val="none"/>
          <w:lang w:val="zh-CN"/>
        </w:rPr>
        <w:t xml:space="preserve">款规定所延长的日期和时间之前通过交易系统在线上传投标文件。 </w:t>
      </w:r>
    </w:p>
    <w:p w14:paraId="7F2B071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20</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招标人有权按本投标人须知第</w:t>
      </w:r>
      <w:r>
        <w:rPr>
          <w:rFonts w:hint="eastAsia" w:ascii="宋体" w:hAnsi="宋体" w:eastAsia="宋体" w:cs="宋体"/>
          <w:color w:val="auto"/>
          <w:szCs w:val="21"/>
          <w:highlight w:val="none"/>
        </w:rPr>
        <w:t>7</w:t>
      </w:r>
      <w:r>
        <w:rPr>
          <w:rFonts w:hint="eastAsia" w:ascii="宋体" w:hAnsi="宋体" w:eastAsia="宋体" w:cs="宋体"/>
          <w:color w:val="auto"/>
          <w:szCs w:val="21"/>
          <w:highlight w:val="none"/>
          <w:lang w:val="zh-CN"/>
        </w:rPr>
        <w:t>条的规定发出补充通知书，延长投标文件递交的截止时间。这时，原截止时间前，招标人与投标人的权利和义务相应延长至新的投标截止时间。</w:t>
      </w:r>
    </w:p>
    <w:p w14:paraId="210D7BA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05871A5A">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40" w:name="_Toc20231"/>
      <w:bookmarkStart w:id="241" w:name="_Toc195714240"/>
      <w:bookmarkStart w:id="242" w:name="_Toc5699"/>
      <w:r>
        <w:rPr>
          <w:rFonts w:hint="eastAsia" w:ascii="宋体" w:hAnsi="宋体" w:eastAsia="宋体" w:cs="宋体"/>
          <w:color w:val="auto"/>
          <w:szCs w:val="21"/>
          <w:highlight w:val="none"/>
          <w:lang w:val="zh-CN"/>
        </w:rPr>
        <w:t>21 投标文件的拒绝</w:t>
      </w:r>
      <w:bookmarkEnd w:id="240"/>
      <w:bookmarkEnd w:id="241"/>
      <w:bookmarkEnd w:id="242"/>
    </w:p>
    <w:p w14:paraId="26FE11B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投标会上，出现下列情形之一的投标文件，将被招标人拒绝：</w:t>
      </w:r>
    </w:p>
    <w:p w14:paraId="0622877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.1.1招标人在本投标人须知第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.4款规定的投标截止时间以后或指定方式以外收到的投标文件。</w:t>
      </w:r>
    </w:p>
    <w:p w14:paraId="7B47912A">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.1.2投标人未按本投标人须知第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.4款规定提交的投标文件。</w:t>
      </w:r>
    </w:p>
    <w:p w14:paraId="3A087F20">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6CF31B5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43" w:name="_Toc26166"/>
      <w:bookmarkStart w:id="244" w:name="_Toc195714241"/>
      <w:bookmarkStart w:id="245" w:name="_Toc1676"/>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2 </w:t>
      </w:r>
      <w:r>
        <w:rPr>
          <w:rFonts w:hint="eastAsia" w:ascii="宋体" w:hAnsi="宋体" w:eastAsia="宋体" w:cs="宋体"/>
          <w:color w:val="auto"/>
          <w:szCs w:val="21"/>
          <w:highlight w:val="none"/>
          <w:lang w:val="zh-CN"/>
        </w:rPr>
        <w:t>投标文件的补充、修改与撤回</w:t>
      </w:r>
      <w:bookmarkEnd w:id="243"/>
      <w:bookmarkEnd w:id="244"/>
      <w:bookmarkEnd w:id="245"/>
    </w:p>
    <w:p w14:paraId="34604E5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在本投标人须知第</w:t>
      </w:r>
      <w:r>
        <w:rPr>
          <w:rFonts w:hint="eastAsia" w:ascii="宋体" w:hAnsi="宋体" w:eastAsia="宋体" w:cs="宋体"/>
          <w:color w:val="auto"/>
          <w:szCs w:val="21"/>
          <w:highlight w:val="none"/>
        </w:rPr>
        <w:t>19</w:t>
      </w:r>
      <w:r>
        <w:rPr>
          <w:rFonts w:hint="eastAsia" w:ascii="宋体" w:hAnsi="宋体" w:eastAsia="宋体" w:cs="宋体"/>
          <w:color w:val="auto"/>
          <w:szCs w:val="21"/>
          <w:highlight w:val="none"/>
          <w:lang w:val="zh-CN"/>
        </w:rPr>
        <w:t>.1款规定的投标截止时间前，投标人可以修改或撤回已递交的投标文件。在投标截止时间之后，投标人不得补充、修改投标文件。</w:t>
      </w:r>
    </w:p>
    <w:p w14:paraId="2FC9A03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投标人应使用企业数字证书、投标文件识别码及投标文件查询密码通过网络撤回已递交投标文件。</w:t>
      </w:r>
    </w:p>
    <w:p w14:paraId="0BF5E7E0">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在投标截止时间至投标有效期满之前，投标人不得撤销其投标文件。投标截止后投标人撤销投标文件的，招标人没收其投标保证金（逾期未解密投标文件的除外）。</w:t>
      </w:r>
    </w:p>
    <w:p w14:paraId="0A453243">
      <w:pPr>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15078455">
      <w:pPr>
        <w:keepNext/>
        <w:keepLines/>
        <w:tabs>
          <w:tab w:val="left" w:pos="509"/>
        </w:tab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246" w:name="_Toc142508337"/>
      <w:bookmarkStart w:id="247" w:name="_Toc29729"/>
      <w:bookmarkStart w:id="248" w:name="_Toc195714242"/>
      <w:bookmarkStart w:id="249" w:name="_Toc140596896"/>
      <w:bookmarkStart w:id="250" w:name="_Toc1049_WPSOffice_Level2"/>
      <w:bookmarkStart w:id="251" w:name="_Toc30428"/>
      <w:bookmarkStart w:id="252" w:name="_Toc28824"/>
      <w:bookmarkStart w:id="253" w:name="_Toc5498"/>
      <w:bookmarkStart w:id="254" w:name="_Toc486167687"/>
      <w:bookmarkStart w:id="255" w:name="_Toc450662872"/>
      <w:bookmarkStart w:id="256" w:name="_Toc450662880"/>
      <w:r>
        <w:rPr>
          <w:rFonts w:hint="eastAsia" w:ascii="宋体" w:hAnsi="宋体" w:eastAsia="宋体" w:cs="宋体"/>
          <w:b/>
          <w:bCs/>
          <w:color w:val="auto"/>
          <w:kern w:val="44"/>
          <w:szCs w:val="21"/>
          <w:highlight w:val="none"/>
          <w:lang w:val="zh-CN"/>
        </w:rPr>
        <w:t>五、开标与评标</w:t>
      </w:r>
      <w:bookmarkEnd w:id="246"/>
      <w:bookmarkEnd w:id="247"/>
      <w:bookmarkEnd w:id="248"/>
      <w:bookmarkEnd w:id="249"/>
      <w:bookmarkEnd w:id="250"/>
      <w:bookmarkEnd w:id="251"/>
      <w:bookmarkEnd w:id="252"/>
      <w:bookmarkEnd w:id="253"/>
      <w:bookmarkEnd w:id="254"/>
      <w:bookmarkEnd w:id="255"/>
    </w:p>
    <w:p w14:paraId="330D0272">
      <w:pPr>
        <w:tabs>
          <w:tab w:val="left" w:pos="567"/>
        </w:tabs>
        <w:autoSpaceDE w:val="0"/>
        <w:autoSpaceDN w:val="0"/>
        <w:adjustRightInd w:val="0"/>
        <w:spacing w:line="360" w:lineRule="auto"/>
        <w:ind w:left="357" w:leftChars="-100" w:right="15" w:rightChars="7" w:hanging="567"/>
        <w:outlineLvl w:val="2"/>
        <w:rPr>
          <w:rFonts w:hint="eastAsia" w:ascii="宋体" w:hAnsi="宋体" w:eastAsia="宋体" w:cs="宋体"/>
          <w:color w:val="auto"/>
          <w:szCs w:val="21"/>
          <w:highlight w:val="none"/>
          <w:lang w:val="zh-CN"/>
        </w:rPr>
      </w:pPr>
      <w:bookmarkStart w:id="257" w:name="_Toc19111"/>
      <w:bookmarkStart w:id="258" w:name="_Toc195714243"/>
      <w:bookmarkStart w:id="259" w:name="_Toc17477"/>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 xml:space="preserve">3 </w:t>
      </w:r>
      <w:r>
        <w:rPr>
          <w:rFonts w:hint="eastAsia" w:ascii="宋体" w:hAnsi="宋体" w:eastAsia="宋体" w:cs="宋体"/>
          <w:color w:val="auto"/>
          <w:szCs w:val="21"/>
          <w:highlight w:val="none"/>
          <w:lang w:val="zh-CN"/>
        </w:rPr>
        <w:t>开标</w:t>
      </w:r>
      <w:bookmarkEnd w:id="257"/>
      <w:bookmarkEnd w:id="258"/>
      <w:bookmarkEnd w:id="259"/>
    </w:p>
    <w:p w14:paraId="57744CF1">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招标人在19.1款规定的投标截止时间（开标时间）和19.4款规定的地点召开投标会并公开开标，投标人可在规定的时间和地点参加投标会或通过登录交易系统在线查看开标过程相关信息。</w:t>
      </w:r>
    </w:p>
    <w:p w14:paraId="7EC194E3">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23.2 </w:t>
      </w:r>
      <w:r>
        <w:rPr>
          <w:rFonts w:hint="eastAsia" w:ascii="宋体" w:hAnsi="宋体" w:eastAsia="宋体" w:cs="宋体"/>
          <w:b/>
          <w:bCs/>
          <w:color w:val="auto"/>
          <w:szCs w:val="21"/>
          <w:highlight w:val="none"/>
          <w:lang w:val="en-US" w:eastAsia="zh-CN"/>
        </w:rPr>
        <w:t>投标人网上签到时间为开标当天上午6时至投标截止时间</w:t>
      </w:r>
      <w:r>
        <w:rPr>
          <w:rFonts w:hint="eastAsia" w:ascii="宋体" w:hAnsi="宋体" w:eastAsia="宋体" w:cs="宋体"/>
          <w:color w:val="auto"/>
          <w:szCs w:val="21"/>
          <w:highlight w:val="none"/>
          <w:lang w:val="en-US" w:eastAsia="zh-CN"/>
        </w:rPr>
        <w:t>，使用企业数字证书（机构证书或业务证书）登录交易系统在线完成投标保证金关联及电子投标文件关联等的网上签到手续。招标人在投标会现场不受理投标人签到事项，因投标人原因造成投标人签到失败、关联相关投标信息错误及不完整的，视为其投标文件无效，招标人将否决其投标。</w:t>
      </w:r>
    </w:p>
    <w:p w14:paraId="2492F80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23.3 投标人网上签到需要由法定代表人或</w:t>
      </w:r>
      <w:r>
        <w:rPr>
          <w:rFonts w:hint="eastAsia" w:ascii="宋体" w:hAnsi="宋体" w:eastAsia="宋体" w:cs="宋体"/>
          <w:color w:val="auto"/>
          <w:szCs w:val="21"/>
          <w:highlight w:val="none"/>
          <w:lang w:val="zh-CN"/>
        </w:rPr>
        <w:t>其授权代表</w:t>
      </w:r>
      <w:r>
        <w:rPr>
          <w:rFonts w:hint="eastAsia" w:ascii="宋体" w:hAnsi="宋体" w:eastAsia="宋体" w:cs="宋体"/>
          <w:color w:val="auto"/>
          <w:szCs w:val="21"/>
          <w:highlight w:val="none"/>
          <w:lang w:val="en-US" w:eastAsia="zh-CN"/>
        </w:rPr>
        <w:t>进行人脸识别完成签到。（注：投标人在网上签到时须关联的法定代表人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1566BCE6">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投标文件提交截止时间后，招标人按本投标人须知第2</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.1款规定拒绝不符合要求的投标文件。</w:t>
      </w:r>
    </w:p>
    <w:p w14:paraId="7E555027">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rPr>
        <w:t xml:space="preserve"> </w:t>
      </w:r>
      <w:r>
        <w:rPr>
          <w:rFonts w:hint="eastAsia" w:ascii="宋体" w:hAnsi="宋体" w:eastAsia="宋体" w:cs="宋体"/>
          <w:b/>
          <w:bCs/>
          <w:color w:val="auto"/>
          <w:szCs w:val="21"/>
          <w:highlight w:val="none"/>
          <w:lang w:val="zh-CN"/>
        </w:rPr>
        <w:t>解密投标文件的时间：投标文件提交截止时间后60分钟内</w:t>
      </w:r>
      <w:r>
        <w:rPr>
          <w:rFonts w:hint="eastAsia" w:ascii="宋体" w:hAnsi="宋体" w:eastAsia="宋体" w:cs="宋体"/>
          <w:b w:val="0"/>
          <w:bCs w:val="0"/>
          <w:color w:val="auto"/>
          <w:szCs w:val="21"/>
          <w:highlight w:val="none"/>
          <w:lang w:val="zh-CN"/>
        </w:rPr>
        <w:t>。</w:t>
      </w:r>
      <w:r>
        <w:rPr>
          <w:rFonts w:hint="eastAsia" w:ascii="宋体" w:hAnsi="宋体" w:eastAsia="宋体" w:cs="宋体"/>
          <w:color w:val="auto"/>
          <w:szCs w:val="21"/>
          <w:highlight w:val="none"/>
          <w:lang w:val="zh-CN"/>
        </w:rPr>
        <w:t>若全部投标文件均在解密时间内完成解密，经招标人确认，可以提前进入下一环节。投标会现场不受理投标人的投标文件解密等事项。因投标人原因造成投标文件未解密的，视为撤销其投标文件；因投标人</w:t>
      </w:r>
      <w:r>
        <w:rPr>
          <w:rFonts w:hint="eastAsia" w:ascii="宋体" w:hAnsi="宋体" w:eastAsia="宋体" w:cs="宋体"/>
          <w:color w:val="auto"/>
          <w:szCs w:val="21"/>
          <w:highlight w:val="none"/>
          <w:lang w:val="en-US" w:eastAsia="zh-CN"/>
        </w:rPr>
        <w:t>之外的</w:t>
      </w:r>
      <w:r>
        <w:rPr>
          <w:rFonts w:hint="eastAsia" w:ascii="宋体" w:hAnsi="宋体" w:eastAsia="宋体" w:cs="宋体"/>
          <w:color w:val="auto"/>
          <w:szCs w:val="21"/>
          <w:highlight w:val="none"/>
          <w:lang w:val="zh-CN"/>
        </w:rPr>
        <w:t>原因造成投标文件未解密的，视为撤回其投标文件。投标文件解密需要由法定代表人或其授权代表进行人脸识别完成解密。</w:t>
      </w:r>
      <w:r>
        <w:rPr>
          <w:rFonts w:hint="eastAsia" w:ascii="宋体" w:hAnsi="宋体" w:eastAsia="宋体" w:cs="宋体"/>
          <w:color w:val="auto"/>
          <w:szCs w:val="21"/>
          <w:highlight w:val="none"/>
          <w:lang w:val="en-US" w:eastAsia="zh-CN"/>
        </w:rPr>
        <w:t>（注：投标人在网上签到时须关联的法定代表人</w:t>
      </w:r>
      <w:r>
        <w:rPr>
          <w:rFonts w:hint="eastAsia" w:ascii="宋体" w:hAnsi="宋体" w:eastAsia="宋体" w:cs="宋体"/>
          <w:color w:val="auto"/>
          <w:szCs w:val="21"/>
          <w:highlight w:val="none"/>
          <w:lang w:val="zh-CN"/>
        </w:rPr>
        <w:t>授权代表</w:t>
      </w:r>
      <w:r>
        <w:rPr>
          <w:rFonts w:hint="eastAsia" w:ascii="宋体" w:hAnsi="宋体" w:eastAsia="宋体" w:cs="宋体"/>
          <w:color w:val="auto"/>
          <w:szCs w:val="21"/>
          <w:highlight w:val="none"/>
          <w:lang w:val="en-US" w:eastAsia="zh-CN"/>
        </w:rPr>
        <w:t>为本项目法定代表人授权书列明的被授权人。）</w:t>
      </w:r>
    </w:p>
    <w:p w14:paraId="3C6CC488">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23.6 由招标人及其委托的招标代理机构开启投标文件的报价信封进行唱标。</w:t>
      </w:r>
    </w:p>
    <w:p w14:paraId="3E0F996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招标人将所有已解密的电子投标文件，按要求通过开标系统将进入评标环节的投标文件打包并导入评标系统。</w:t>
      </w:r>
    </w:p>
    <w:p w14:paraId="7F9DC72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3</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招标人、招标代理工作人员、监督部门（如有）等有关人员在开标记录上签字确认，开标记录封存。</w:t>
      </w:r>
    </w:p>
    <w:p w14:paraId="4F46F28E">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kern w:val="0"/>
          <w:szCs w:val="21"/>
          <w:highlight w:val="none"/>
        </w:rPr>
      </w:pPr>
    </w:p>
    <w:p w14:paraId="6D57F60B">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0" w:name="_Toc486167689"/>
      <w:bookmarkStart w:id="261" w:name="_Toc23059"/>
      <w:bookmarkStart w:id="262" w:name="_Toc12165_WPSOffice_Level3"/>
      <w:bookmarkStart w:id="263" w:name="_Toc142508339"/>
      <w:bookmarkStart w:id="264" w:name="_Toc5684"/>
      <w:bookmarkStart w:id="265" w:name="_Toc195714244"/>
      <w:bookmarkStart w:id="266" w:name="_Toc32534"/>
      <w:bookmarkStart w:id="267" w:name="_Toc29774"/>
      <w:bookmarkStart w:id="268" w:name="_Toc450662874"/>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 xml:space="preserve"> </w:t>
      </w:r>
      <w:r>
        <w:rPr>
          <w:rFonts w:hint="eastAsia" w:ascii="宋体" w:hAnsi="宋体" w:eastAsia="宋体" w:cs="宋体"/>
          <w:color w:val="auto"/>
          <w:kern w:val="0"/>
          <w:szCs w:val="24"/>
          <w:highlight w:val="none"/>
        </w:rPr>
        <w:t>评标过程的保密性</w:t>
      </w:r>
      <w:bookmarkEnd w:id="260"/>
      <w:bookmarkEnd w:id="261"/>
      <w:bookmarkEnd w:id="262"/>
      <w:bookmarkEnd w:id="263"/>
      <w:bookmarkEnd w:id="264"/>
      <w:bookmarkEnd w:id="265"/>
      <w:bookmarkEnd w:id="266"/>
      <w:bookmarkEnd w:id="267"/>
      <w:bookmarkEnd w:id="268"/>
    </w:p>
    <w:p w14:paraId="55E7DCD9">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递交投标文件后，直至向中标人授予合同期间，凡与审查、澄清、评估和比较投标报价的有关资料以及意见等，均不得向投标人及与评审无关的其他人透露，否则追究有关当事人的法律责任。</w:t>
      </w:r>
    </w:p>
    <w:p w14:paraId="67A450FB">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24</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在评标过程中，如果投标人试图在投标文件审查、澄清、比较及授予合同方面向招标代理机构和招标人施加任何影响，其投标文件将被拒绝。</w:t>
      </w:r>
    </w:p>
    <w:p w14:paraId="661D94B5">
      <w:pPr>
        <w:tabs>
          <w:tab w:val="left" w:pos="567"/>
        </w:tabs>
        <w:autoSpaceDE w:val="0"/>
        <w:autoSpaceDN w:val="0"/>
        <w:adjustRightInd w:val="0"/>
        <w:spacing w:line="360" w:lineRule="auto"/>
        <w:ind w:left="357" w:leftChars="-100" w:right="15" w:rightChars="7" w:hanging="567"/>
        <w:rPr>
          <w:rFonts w:hint="eastAsia" w:ascii="宋体" w:hAnsi="宋体" w:eastAsia="宋体" w:cs="宋体"/>
          <w:color w:val="auto"/>
          <w:szCs w:val="21"/>
          <w:highlight w:val="none"/>
          <w:lang w:val="zh-CN"/>
        </w:rPr>
      </w:pPr>
    </w:p>
    <w:p w14:paraId="437A7A5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69" w:name="_Toc800"/>
      <w:bookmarkStart w:id="270" w:name="_Toc16920"/>
      <w:bookmarkStart w:id="271" w:name="_Toc15565_WPSOffice_Level3"/>
      <w:bookmarkStart w:id="272" w:name="_Toc195714245"/>
      <w:bookmarkStart w:id="273" w:name="_Toc32615"/>
      <w:bookmarkStart w:id="274" w:name="_Toc486167690"/>
      <w:bookmarkStart w:id="275" w:name="_Toc142508340"/>
      <w:bookmarkStart w:id="276" w:name="_Toc450662875"/>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 xml:space="preserve"> 评标委员会</w:t>
      </w:r>
      <w:bookmarkEnd w:id="269"/>
      <w:bookmarkEnd w:id="270"/>
      <w:bookmarkEnd w:id="271"/>
      <w:bookmarkEnd w:id="272"/>
      <w:bookmarkEnd w:id="273"/>
      <w:bookmarkEnd w:id="274"/>
      <w:bookmarkEnd w:id="275"/>
      <w:bookmarkEnd w:id="276"/>
    </w:p>
    <w:p w14:paraId="16A757F6">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依法组建评标委员会。评标委员会的成员在评审过程中必须严格遵守国家及地方招标投标的有关规定。</w:t>
      </w:r>
    </w:p>
    <w:p w14:paraId="236FCEFE">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25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评标委员会依法根据招标文件的规定，进行投标文件的评审、得出评审结果，并向招标人推荐中标候选人。</w:t>
      </w:r>
    </w:p>
    <w:p w14:paraId="6B25BE37">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C3A732C">
      <w:pPr>
        <w:autoSpaceDE w:val="0"/>
        <w:autoSpaceDN w:val="0"/>
        <w:adjustRightInd w:val="0"/>
        <w:spacing w:line="360" w:lineRule="auto"/>
        <w:ind w:left="357" w:leftChars="-100" w:hanging="567"/>
        <w:outlineLvl w:val="2"/>
        <w:rPr>
          <w:rFonts w:hint="eastAsia" w:ascii="宋体" w:hAnsi="宋体" w:eastAsia="宋体" w:cs="宋体"/>
          <w:color w:val="auto"/>
          <w:szCs w:val="21"/>
          <w:highlight w:val="none"/>
          <w:lang w:val="zh-CN"/>
        </w:rPr>
      </w:pPr>
      <w:bookmarkStart w:id="277" w:name="_Toc29870"/>
      <w:bookmarkStart w:id="278" w:name="_Toc195714246"/>
      <w:bookmarkStart w:id="279" w:name="_Toc4946"/>
      <w:r>
        <w:rPr>
          <w:rFonts w:hint="eastAsia" w:ascii="宋体" w:hAnsi="宋体" w:eastAsia="宋体" w:cs="宋体"/>
          <w:color w:val="auto"/>
          <w:szCs w:val="21"/>
          <w:highlight w:val="none"/>
          <w:lang w:val="zh-CN"/>
        </w:rPr>
        <w:t>26</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投标文件的有效性</w:t>
      </w:r>
      <w:bookmarkEnd w:id="277"/>
      <w:bookmarkEnd w:id="278"/>
      <w:bookmarkEnd w:id="279"/>
    </w:p>
    <w:p w14:paraId="66A49E40">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26.1开标（评标）时，投标文件出现下列情形之一的，应当作为无效投标文件：</w:t>
      </w:r>
    </w:p>
    <w:p w14:paraId="0D8C4D7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80" w:name="_Toc1252"/>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1</w:t>
      </w:r>
      <w:r>
        <w:rPr>
          <w:rFonts w:hint="eastAsia" w:ascii="宋体" w:hAnsi="宋体" w:eastAsia="宋体" w:cs="宋体"/>
          <w:color w:val="auto"/>
          <w:szCs w:val="21"/>
          <w:highlight w:val="none"/>
          <w:lang w:val="zh-CN"/>
        </w:rPr>
        <w:t>上传的投标文件损坏或无法读取的；</w:t>
      </w:r>
      <w:bookmarkEnd w:id="280"/>
    </w:p>
    <w:p w14:paraId="360F3C06">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rPr>
        <w:t>2</w:t>
      </w:r>
      <w:r>
        <w:rPr>
          <w:rFonts w:hint="eastAsia" w:ascii="宋体" w:hAnsi="宋体" w:eastAsia="宋体" w:cs="宋体"/>
          <w:color w:val="auto"/>
          <w:szCs w:val="21"/>
          <w:highlight w:val="none"/>
          <w:lang w:val="zh-CN"/>
        </w:rPr>
        <w:t>经招标人确认，投标人在公共资源交易企业库填报的与本项目密切相关的信息与事实不相符的；</w:t>
      </w:r>
    </w:p>
    <w:p w14:paraId="15E0AB4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en-US" w:eastAsia="zh-CN"/>
        </w:rPr>
        <w:t>26.1.3投标文件中使用的本项目招标文件版本，与交易系统上发布的本项目招标文件的最新版本不一致的；</w:t>
      </w:r>
    </w:p>
    <w:p w14:paraId="2B383FFB">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4</w:t>
      </w:r>
      <w:r>
        <w:rPr>
          <w:rFonts w:hint="eastAsia" w:ascii="宋体" w:hAnsi="宋体" w:eastAsia="宋体" w:cs="宋体"/>
          <w:color w:val="auto"/>
          <w:szCs w:val="21"/>
          <w:highlight w:val="none"/>
          <w:lang w:val="zh-CN"/>
        </w:rPr>
        <w:t>投标文件签名使用的数字证书与签到的投标人名称不一致的；</w:t>
      </w:r>
    </w:p>
    <w:p w14:paraId="0774FF97">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投标人的投标编制MAC信息、投标编制CPU序列号、投标编制硬盘序列号均与其他投标人相同的；</w:t>
      </w:r>
    </w:p>
    <w:p w14:paraId="61C7AF1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投标文件附有招标人不能接受的条件的；</w:t>
      </w:r>
    </w:p>
    <w:p w14:paraId="447C32A1">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7</w:t>
      </w:r>
      <w:r>
        <w:rPr>
          <w:rFonts w:hint="eastAsia" w:ascii="宋体" w:hAnsi="宋体" w:eastAsia="宋体" w:cs="宋体"/>
          <w:color w:val="auto"/>
          <w:szCs w:val="21"/>
          <w:highlight w:val="none"/>
          <w:lang w:val="zh-CN"/>
        </w:rPr>
        <w:t>投标人资格不满足本投标人须知第</w:t>
      </w:r>
      <w:r>
        <w:rPr>
          <w:rFonts w:hint="eastAsia" w:ascii="宋体" w:hAnsi="宋体" w:eastAsia="宋体" w:cs="宋体"/>
          <w:color w:val="auto"/>
          <w:szCs w:val="21"/>
          <w:highlight w:val="none"/>
          <w:lang w:val="en-US" w:eastAsia="zh-CN"/>
        </w:rPr>
        <w:t>2条</w:t>
      </w:r>
      <w:r>
        <w:rPr>
          <w:rFonts w:hint="eastAsia" w:ascii="宋体" w:hAnsi="宋体" w:eastAsia="宋体" w:cs="宋体"/>
          <w:color w:val="auto"/>
          <w:szCs w:val="21"/>
          <w:highlight w:val="none"/>
          <w:lang w:val="zh-CN"/>
        </w:rPr>
        <w:t>的要求；</w:t>
      </w:r>
    </w:p>
    <w:p w14:paraId="7354092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8</w:t>
      </w:r>
      <w:r>
        <w:rPr>
          <w:rFonts w:hint="eastAsia" w:ascii="宋体" w:hAnsi="宋体" w:eastAsia="宋体" w:cs="宋体"/>
          <w:color w:val="auto"/>
          <w:szCs w:val="21"/>
          <w:highlight w:val="none"/>
          <w:lang w:val="zh-CN"/>
        </w:rPr>
        <w:t>投标人未按招标文件要求交纳投标保证金的；</w:t>
      </w:r>
    </w:p>
    <w:p w14:paraId="23A71F0F">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9</w:t>
      </w:r>
      <w:r>
        <w:rPr>
          <w:rFonts w:hint="eastAsia" w:ascii="宋体" w:hAnsi="宋体" w:eastAsia="宋体" w:cs="宋体"/>
          <w:color w:val="auto"/>
          <w:szCs w:val="21"/>
          <w:highlight w:val="none"/>
          <w:lang w:val="zh-CN"/>
        </w:rPr>
        <w:t>投标文件报价信封中</w:t>
      </w:r>
      <w:r>
        <w:rPr>
          <w:rFonts w:hint="eastAsia" w:ascii="宋体" w:hAnsi="宋体" w:eastAsia="宋体" w:cs="宋体"/>
          <w:color w:val="auto"/>
          <w:szCs w:val="21"/>
          <w:highlight w:val="none"/>
          <w:lang w:val="en-US" w:eastAsia="zh-CN"/>
        </w:rPr>
        <w:t>未按照招标文件要求</w:t>
      </w:r>
      <w:r>
        <w:rPr>
          <w:rFonts w:hint="eastAsia" w:ascii="宋体" w:hAnsi="宋体" w:eastAsia="宋体" w:cs="宋体"/>
          <w:color w:val="auto"/>
          <w:szCs w:val="21"/>
          <w:highlight w:val="none"/>
          <w:lang w:val="zh-CN"/>
        </w:rPr>
        <w:t>填报</w:t>
      </w:r>
      <w:bookmarkStart w:id="281" w:name="OLE_LINK35"/>
      <w:r>
        <w:rPr>
          <w:rFonts w:hint="eastAsia" w:ascii="宋体" w:hAnsi="宋体" w:eastAsia="宋体" w:cs="宋体"/>
          <w:color w:val="auto"/>
          <w:szCs w:val="21"/>
          <w:highlight w:val="none"/>
          <w:lang w:val="zh-CN"/>
        </w:rPr>
        <w:t>折扣系数报价的</w:t>
      </w:r>
      <w:bookmarkEnd w:id="281"/>
      <w:r>
        <w:rPr>
          <w:rFonts w:hint="eastAsia" w:ascii="宋体" w:hAnsi="宋体" w:eastAsia="宋体" w:cs="宋体"/>
          <w:color w:val="auto"/>
          <w:szCs w:val="21"/>
          <w:highlight w:val="none"/>
          <w:lang w:val="zh-CN"/>
        </w:rPr>
        <w:t>；</w:t>
      </w:r>
    </w:p>
    <w:p w14:paraId="1A72725A">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10</w:t>
      </w:r>
      <w:r>
        <w:rPr>
          <w:rFonts w:hint="eastAsia" w:ascii="宋体" w:hAnsi="宋体" w:eastAsia="宋体" w:cs="宋体"/>
          <w:color w:val="auto"/>
          <w:szCs w:val="21"/>
          <w:highlight w:val="none"/>
          <w:lang w:val="zh-CN"/>
        </w:rPr>
        <w:t>投标人以低于企业成本价报价，且投标人不能合理说明或不能提供相关证明材料；</w:t>
      </w:r>
    </w:p>
    <w:p w14:paraId="11D5C522">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11</w:t>
      </w:r>
      <w:r>
        <w:rPr>
          <w:rFonts w:hint="eastAsia" w:ascii="宋体" w:hAnsi="宋体" w:eastAsia="宋体" w:cs="宋体"/>
          <w:color w:val="auto"/>
          <w:szCs w:val="21"/>
          <w:highlight w:val="none"/>
          <w:lang w:val="zh-CN"/>
        </w:rPr>
        <w:t>投标人递交两份或多份内容不同的投标文件，或在一份投标文件中报有两个或多个报价，且未书面声明哪一个有效；</w:t>
      </w:r>
    </w:p>
    <w:p w14:paraId="0B385764">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12</w:t>
      </w:r>
      <w:r>
        <w:rPr>
          <w:rFonts w:hint="eastAsia" w:ascii="宋体" w:hAnsi="宋体" w:eastAsia="宋体" w:cs="宋体"/>
          <w:color w:val="auto"/>
          <w:szCs w:val="21"/>
          <w:highlight w:val="none"/>
          <w:lang w:val="zh-CN"/>
        </w:rPr>
        <w:t>投标文件未按</w:t>
      </w:r>
      <w:r>
        <w:rPr>
          <w:rFonts w:hint="eastAsia" w:ascii="宋体" w:hAnsi="宋体" w:eastAsia="宋体" w:cs="宋体"/>
          <w:color w:val="auto"/>
          <w:szCs w:val="21"/>
          <w:highlight w:val="none"/>
          <w:lang w:val="en-US" w:eastAsia="zh-CN"/>
        </w:rPr>
        <w:t>本</w:t>
      </w:r>
      <w:r>
        <w:rPr>
          <w:rFonts w:hint="eastAsia" w:ascii="宋体" w:hAnsi="宋体" w:eastAsia="宋体" w:cs="宋体"/>
          <w:color w:val="auto"/>
          <w:szCs w:val="21"/>
          <w:highlight w:val="none"/>
          <w:lang w:val="zh-CN"/>
        </w:rPr>
        <w:t>投标人须知第17</w:t>
      </w:r>
      <w:r>
        <w:rPr>
          <w:rFonts w:hint="eastAsia" w:ascii="宋体" w:hAnsi="宋体" w:eastAsia="宋体" w:cs="宋体"/>
          <w:color w:val="auto"/>
          <w:szCs w:val="21"/>
          <w:highlight w:val="none"/>
          <w:lang w:val="en-US" w:eastAsia="zh-CN"/>
        </w:rPr>
        <w:t>条</w:t>
      </w:r>
      <w:r>
        <w:rPr>
          <w:rFonts w:hint="eastAsia" w:ascii="宋体" w:hAnsi="宋体" w:eastAsia="宋体" w:cs="宋体"/>
          <w:color w:val="auto"/>
          <w:szCs w:val="21"/>
          <w:highlight w:val="none"/>
          <w:lang w:val="zh-CN"/>
        </w:rPr>
        <w:t>的要求编制、使用企业数字证书或个人数字证书电子签名的；</w:t>
      </w:r>
    </w:p>
    <w:p w14:paraId="4596C408">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82" w:name="_Toc30574"/>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13</w:t>
      </w:r>
      <w:r>
        <w:rPr>
          <w:rFonts w:hint="eastAsia" w:ascii="宋体" w:hAnsi="宋体" w:eastAsia="宋体" w:cs="宋体"/>
          <w:color w:val="auto"/>
          <w:szCs w:val="21"/>
          <w:highlight w:val="none"/>
          <w:lang w:val="zh-CN"/>
        </w:rPr>
        <w:t>投标有效期限不符合要求；</w:t>
      </w:r>
      <w:bookmarkEnd w:id="282"/>
    </w:p>
    <w:p w14:paraId="0CAE3BE9">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14</w:t>
      </w:r>
      <w:r>
        <w:rPr>
          <w:rFonts w:hint="eastAsia" w:ascii="宋体" w:hAnsi="宋体" w:eastAsia="宋体" w:cs="宋体"/>
          <w:color w:val="auto"/>
          <w:szCs w:val="21"/>
          <w:highlight w:val="none"/>
          <w:lang w:val="zh-CN"/>
        </w:rPr>
        <w:t>投标文件未对招标范围内的全部内容进行投标报价或投标方案不是唯一；</w:t>
      </w:r>
    </w:p>
    <w:p w14:paraId="4F03A0DE">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15</w:t>
      </w:r>
      <w:r>
        <w:rPr>
          <w:rFonts w:hint="eastAsia" w:ascii="宋体" w:hAnsi="宋体" w:eastAsia="宋体" w:cs="宋体"/>
          <w:color w:val="auto"/>
          <w:szCs w:val="21"/>
          <w:highlight w:val="none"/>
          <w:lang w:val="zh-CN"/>
        </w:rPr>
        <w:t>未提供或虚假填写《合同条款偏离表》，或对《合同条款偏离表》有负偏离的；</w:t>
      </w:r>
    </w:p>
    <w:p w14:paraId="6B733C95">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bookmarkStart w:id="283" w:name="_Toc3291"/>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16</w:t>
      </w:r>
      <w:r>
        <w:rPr>
          <w:rFonts w:hint="eastAsia" w:ascii="宋体" w:hAnsi="宋体" w:eastAsia="宋体" w:cs="宋体"/>
          <w:color w:val="auto"/>
          <w:szCs w:val="21"/>
          <w:highlight w:val="none"/>
          <w:lang w:val="zh-CN"/>
        </w:rPr>
        <w:t>未填写或虚假填写《用户需求偏离表》的；</w:t>
      </w:r>
      <w:bookmarkEnd w:id="283"/>
    </w:p>
    <w:p w14:paraId="058E3EDF">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17</w:t>
      </w:r>
      <w:r>
        <w:rPr>
          <w:rFonts w:hint="eastAsia" w:ascii="宋体" w:hAnsi="宋体" w:eastAsia="宋体" w:cs="宋体"/>
          <w:color w:val="auto"/>
          <w:szCs w:val="21"/>
          <w:highlight w:val="none"/>
          <w:lang w:val="zh-CN"/>
        </w:rPr>
        <w:t>未响应招标文件提出的实质性要求和条件（标注★的条款）；</w:t>
      </w:r>
    </w:p>
    <w:p w14:paraId="102EBA3D">
      <w:pPr>
        <w:autoSpaceDE w:val="0"/>
        <w:autoSpaceDN w:val="0"/>
        <w:adjustRightInd w:val="0"/>
        <w:spacing w:line="360" w:lineRule="auto"/>
        <w:ind w:left="357" w:leftChars="-100" w:hanging="567"/>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26.1.</w:t>
      </w:r>
      <w:r>
        <w:rPr>
          <w:rFonts w:hint="eastAsia" w:ascii="宋体" w:hAnsi="宋体" w:eastAsia="宋体" w:cs="宋体"/>
          <w:color w:val="auto"/>
          <w:szCs w:val="21"/>
          <w:highlight w:val="none"/>
          <w:lang w:val="en-US" w:eastAsia="zh-CN"/>
        </w:rPr>
        <w:t>18</w:t>
      </w:r>
      <w:r>
        <w:rPr>
          <w:rFonts w:hint="eastAsia" w:ascii="宋体" w:hAnsi="宋体" w:eastAsia="宋体" w:cs="宋体"/>
          <w:color w:val="auto"/>
          <w:szCs w:val="21"/>
          <w:highlight w:val="none"/>
          <w:lang w:val="zh-CN"/>
        </w:rPr>
        <w:t>属于招标文件中规定为无效标的；属于法律、法规、规章规定的应作无效投标文件处理的。</w:t>
      </w:r>
    </w:p>
    <w:p w14:paraId="1145EC89">
      <w:pPr>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p>
    <w:p w14:paraId="44E8A21D">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lang w:val="zh-CN"/>
        </w:rPr>
      </w:pPr>
      <w:bookmarkStart w:id="284" w:name="_Toc486167691"/>
      <w:bookmarkStart w:id="285" w:name="_Toc28910_WPSOffice_Level3"/>
      <w:bookmarkStart w:id="286" w:name="_Toc18668"/>
      <w:bookmarkStart w:id="287" w:name="_Toc22266"/>
      <w:bookmarkStart w:id="288" w:name="_Toc142508341"/>
      <w:bookmarkStart w:id="289" w:name="_Toc195714247"/>
      <w:bookmarkStart w:id="290" w:name="_Toc12715"/>
      <w:bookmarkStart w:id="291" w:name="_Toc8692"/>
      <w:bookmarkStart w:id="292" w:name="_Toc450662876"/>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 xml:space="preserve"> 投标文件的初审</w:t>
      </w:r>
      <w:bookmarkEnd w:id="284"/>
      <w:bookmarkEnd w:id="285"/>
      <w:bookmarkEnd w:id="286"/>
      <w:bookmarkEnd w:id="287"/>
      <w:bookmarkEnd w:id="288"/>
      <w:bookmarkEnd w:id="289"/>
      <w:bookmarkEnd w:id="290"/>
      <w:bookmarkEnd w:id="291"/>
      <w:bookmarkEnd w:id="292"/>
    </w:p>
    <w:p w14:paraId="3CFF65CF">
      <w:pPr>
        <w:autoSpaceDE w:val="0"/>
        <w:autoSpaceDN w:val="0"/>
        <w:adjustRightInd w:val="0"/>
        <w:spacing w:line="360" w:lineRule="auto"/>
        <w:ind w:left="357" w:leftChars="-100" w:hanging="567"/>
        <w:rPr>
          <w:rFonts w:hint="eastAsia" w:ascii="宋体" w:hAnsi="宋体" w:eastAsia="宋体" w:cs="宋体"/>
          <w:b/>
          <w:color w:val="auto"/>
          <w:szCs w:val="21"/>
          <w:highlight w:val="none"/>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.1 资格性检查：依据法律法规和招标文件的规定，对投标文件中的资格证明、投标保证金等进行审查，以确定投标人是否具备投标资格。</w:t>
      </w:r>
    </w:p>
    <w:p w14:paraId="4C6A9E4E">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2</w:t>
      </w:r>
      <w:r>
        <w:rPr>
          <w:rFonts w:hint="eastAsia" w:ascii="宋体" w:hAnsi="宋体" w:eastAsia="宋体" w:cs="宋体"/>
          <w:b/>
          <w:color w:val="auto"/>
          <w:szCs w:val="21"/>
          <w:highlight w:val="none"/>
        </w:rPr>
        <w:t>7</w:t>
      </w:r>
      <w:r>
        <w:rPr>
          <w:rFonts w:hint="eastAsia" w:ascii="宋体" w:hAnsi="宋体" w:eastAsia="宋体" w:cs="宋体"/>
          <w:b/>
          <w:color w:val="auto"/>
          <w:szCs w:val="21"/>
          <w:highlight w:val="none"/>
          <w:lang w:val="zh-CN"/>
        </w:rPr>
        <w:t>.2 符合性检查：依据招标文件的规定，从投标文件的有效性、完整性和对招标文件的响应程度进行审查，以确定是否对招标文件的实质性要求作出响应。</w:t>
      </w:r>
    </w:p>
    <w:p w14:paraId="75A1A516">
      <w:pPr>
        <w:autoSpaceDE w:val="0"/>
        <w:autoSpaceDN w:val="0"/>
        <w:adjustRightInd w:val="0"/>
        <w:spacing w:line="360" w:lineRule="auto"/>
        <w:ind w:left="330" w:leftChars="-100" w:hanging="540"/>
        <w:rPr>
          <w:rFonts w:hint="eastAsia" w:ascii="宋体" w:hAnsi="宋体" w:eastAsia="宋体" w:cs="宋体"/>
          <w:b/>
          <w:color w:val="auto"/>
          <w:szCs w:val="21"/>
          <w:highlight w:val="none"/>
          <w:lang w:val="zh-CN"/>
        </w:rPr>
      </w:pPr>
    </w:p>
    <w:p w14:paraId="4BCB70E7">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293" w:name="_Toc4837"/>
      <w:bookmarkStart w:id="294" w:name="_Toc30225"/>
      <w:bookmarkStart w:id="295" w:name="_Toc14701"/>
      <w:bookmarkStart w:id="296" w:name="_Toc6362"/>
      <w:bookmarkStart w:id="297" w:name="_Toc450662877"/>
      <w:bookmarkStart w:id="298" w:name="_Toc486167692"/>
      <w:bookmarkStart w:id="299" w:name="_Toc338_WPSOffice_Level3"/>
      <w:bookmarkStart w:id="300" w:name="_Toc142508342"/>
      <w:bookmarkStart w:id="301" w:name="_Toc195714248"/>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 投标文件的澄清</w:t>
      </w:r>
      <w:bookmarkEnd w:id="293"/>
      <w:bookmarkEnd w:id="294"/>
      <w:bookmarkEnd w:id="295"/>
      <w:bookmarkEnd w:id="296"/>
      <w:bookmarkEnd w:id="297"/>
      <w:bookmarkEnd w:id="298"/>
      <w:bookmarkEnd w:id="299"/>
      <w:bookmarkEnd w:id="300"/>
      <w:bookmarkEnd w:id="301"/>
    </w:p>
    <w:p w14:paraId="3FBB9399">
      <w:pPr>
        <w:autoSpaceDE w:val="0"/>
        <w:autoSpaceDN w:val="0"/>
        <w:adjustRightInd w:val="0"/>
        <w:spacing w:line="360" w:lineRule="auto"/>
        <w:ind w:left="315" w:leftChars="-100" w:hanging="525" w:hangingChars="2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.1 对投标文件中含义不明确、同类问题表述不一致或者有明显文字和计算错误的内容，评标委员会可以书面形式（应当由评标委员会专家签字）要求投标人作出必要的澄清、说明或者纠正。投标人的澄清、说明或者补正应当采用书面形式，由其授权的代表签字，并不得超出投标文件的范围或者改变投标文件的实质性内容。</w:t>
      </w:r>
    </w:p>
    <w:p w14:paraId="4926E71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bookmarkStart w:id="302" w:name="_Toc450662879"/>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8</w:t>
      </w:r>
      <w:r>
        <w:rPr>
          <w:rFonts w:hint="eastAsia" w:ascii="宋体" w:hAnsi="宋体" w:eastAsia="宋体" w:cs="宋体"/>
          <w:color w:val="auto"/>
          <w:szCs w:val="21"/>
          <w:highlight w:val="none"/>
          <w:lang w:val="zh-CN"/>
        </w:rPr>
        <w:t xml:space="preserve">.2 </w:t>
      </w:r>
      <w:r>
        <w:rPr>
          <w:rFonts w:hint="eastAsia" w:ascii="宋体" w:hAnsi="宋体" w:eastAsia="宋体" w:cs="宋体"/>
          <w:color w:val="auto"/>
          <w:szCs w:val="21"/>
          <w:highlight w:val="none"/>
        </w:rPr>
        <w:t>开标当天</w:t>
      </w:r>
      <w:r>
        <w:rPr>
          <w:rFonts w:hint="eastAsia" w:ascii="宋体" w:hAnsi="宋体" w:eastAsia="宋体" w:cs="宋体"/>
          <w:color w:val="auto"/>
          <w:szCs w:val="21"/>
          <w:highlight w:val="none"/>
          <w:lang w:val="zh-CN"/>
        </w:rPr>
        <w:t>，投标人法定代表人或法定代表人授权书列明的被授权人的联系电话应保持开机状态，以便在评标期间，评标委员会要求投标人对投标文件进行澄清时能够收到有关通知，否则视为投标人放弃澄清的权利，对评标委员会就该项内容的评审意见无异议。因此温馨提示各投标人：编制投标文件时，请认真填写本项目递交投标文件时法定代表人或法定代表人授权书列明的被授权人的联系电话，如招标文件</w:t>
      </w:r>
      <w:r>
        <w:rPr>
          <w:rFonts w:hint="eastAsia" w:ascii="宋体" w:hAnsi="宋体" w:eastAsia="宋体" w:cs="宋体"/>
          <w:color w:val="auto"/>
          <w:szCs w:val="21"/>
          <w:highlight w:val="none"/>
          <w:lang w:val="en-US" w:eastAsia="zh-CN"/>
        </w:rPr>
        <w:t>第六篇</w:t>
      </w:r>
      <w:r>
        <w:rPr>
          <w:rFonts w:hint="eastAsia" w:ascii="宋体" w:hAnsi="宋体" w:eastAsia="宋体" w:cs="宋体"/>
          <w:color w:val="auto"/>
          <w:szCs w:val="21"/>
          <w:highlight w:val="none"/>
          <w:lang w:val="zh-CN"/>
        </w:rPr>
        <w:t>投标文件格式“投标函”</w:t>
      </w:r>
      <w:r>
        <w:rPr>
          <w:rFonts w:hint="eastAsia" w:ascii="宋体" w:hAnsi="宋体" w:eastAsia="宋体" w:cs="宋体"/>
          <w:color w:val="auto"/>
          <w:szCs w:val="21"/>
          <w:highlight w:val="none"/>
          <w:lang w:val="en-US" w:eastAsia="zh-CN"/>
        </w:rPr>
        <w:t>和“法定代表人授权书”</w:t>
      </w:r>
      <w:r>
        <w:rPr>
          <w:rFonts w:hint="eastAsia" w:ascii="宋体" w:hAnsi="宋体" w:eastAsia="宋体" w:cs="宋体"/>
          <w:color w:val="auto"/>
          <w:szCs w:val="21"/>
          <w:highlight w:val="none"/>
          <w:lang w:val="zh-CN"/>
        </w:rPr>
        <w:t>中的</w:t>
      </w:r>
      <w:r>
        <w:rPr>
          <w:rFonts w:hint="eastAsia" w:ascii="宋体" w:hAnsi="宋体" w:eastAsia="宋体" w:cs="宋体"/>
          <w:color w:val="auto"/>
          <w:szCs w:val="21"/>
          <w:highlight w:val="none"/>
          <w:lang w:val="en-US" w:eastAsia="zh-CN"/>
        </w:rPr>
        <w:t>联系方式及电子邮箱</w:t>
      </w:r>
      <w:r>
        <w:rPr>
          <w:rFonts w:hint="eastAsia" w:ascii="宋体" w:hAnsi="宋体" w:eastAsia="宋体" w:cs="宋体"/>
          <w:color w:val="auto"/>
          <w:szCs w:val="21"/>
          <w:highlight w:val="none"/>
          <w:lang w:val="zh-CN"/>
        </w:rPr>
        <w:t>，以便能及时收到澄清通知。</w:t>
      </w:r>
    </w:p>
    <w:p w14:paraId="42507DC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p>
    <w:bookmarkEnd w:id="302"/>
    <w:p w14:paraId="337F2709">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03" w:name="_Toc10967"/>
      <w:bookmarkStart w:id="304" w:name="_Toc22065"/>
      <w:bookmarkStart w:id="305" w:name="_Toc6675"/>
      <w:bookmarkStart w:id="306" w:name="_Toc195714249"/>
      <w:bookmarkStart w:id="307" w:name="_Toc142508343"/>
      <w:bookmarkStart w:id="308" w:name="_Toc521918096"/>
      <w:bookmarkStart w:id="309" w:name="_Toc522047355"/>
      <w:bookmarkStart w:id="310" w:name="_Toc10292"/>
      <w:bookmarkStart w:id="311" w:name="_Toc18368_WPSOffice_Level3"/>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 xml:space="preserve"> 对投标文件的比较和评价</w:t>
      </w:r>
      <w:bookmarkEnd w:id="303"/>
      <w:bookmarkEnd w:id="304"/>
      <w:bookmarkEnd w:id="305"/>
      <w:bookmarkEnd w:id="306"/>
      <w:bookmarkEnd w:id="307"/>
      <w:bookmarkEnd w:id="308"/>
      <w:bookmarkEnd w:id="309"/>
      <w:bookmarkEnd w:id="310"/>
      <w:bookmarkEnd w:id="311"/>
    </w:p>
    <w:p w14:paraId="586A2C9F">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评标委员会将对资格性检查和符合性检查合格的投标文件进行比较和评价，包括商务、技术、价格</w:t>
      </w:r>
      <w:r>
        <w:rPr>
          <w:rFonts w:hint="eastAsia" w:ascii="宋体" w:hAnsi="宋体" w:eastAsia="宋体" w:cs="宋体"/>
          <w:color w:val="auto"/>
          <w:szCs w:val="21"/>
          <w:highlight w:val="none"/>
          <w:lang w:val="en-US" w:eastAsia="zh-CN"/>
        </w:rPr>
        <w:t>的</w:t>
      </w:r>
      <w:r>
        <w:rPr>
          <w:rFonts w:hint="eastAsia" w:ascii="宋体" w:hAnsi="宋体" w:eastAsia="宋体" w:cs="宋体"/>
          <w:color w:val="auto"/>
          <w:szCs w:val="21"/>
          <w:highlight w:val="none"/>
          <w:lang w:val="zh-CN"/>
        </w:rPr>
        <w:t>详细评审。</w:t>
      </w:r>
    </w:p>
    <w:p w14:paraId="7E0AEDFF">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对投标文件商务的评审详见评标工作大纲。</w:t>
      </w:r>
    </w:p>
    <w:p w14:paraId="25020DFA">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对投标文件技术的评审详见评标工作大纲。</w:t>
      </w:r>
    </w:p>
    <w:p w14:paraId="0E1F600E">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 xml:space="preserve">29.4 </w:t>
      </w:r>
      <w:r>
        <w:rPr>
          <w:rFonts w:hint="eastAsia" w:ascii="宋体" w:hAnsi="宋体" w:eastAsia="宋体" w:cs="宋体"/>
          <w:color w:val="auto"/>
          <w:szCs w:val="21"/>
          <w:highlight w:val="none"/>
          <w:lang w:val="zh-CN"/>
        </w:rPr>
        <w:t>对投标价格的评审详见评标工作大纲。</w:t>
      </w:r>
    </w:p>
    <w:p w14:paraId="3002A342">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5</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本次评标的评分权重详见评标工作大纲。</w:t>
      </w:r>
    </w:p>
    <w:p w14:paraId="7FBA8B54">
      <w:pPr>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rPr>
        <w:t>9</w:t>
      </w:r>
      <w:r>
        <w:rPr>
          <w:rFonts w:hint="eastAsia" w:ascii="宋体" w:hAnsi="宋体" w:eastAsia="宋体" w:cs="宋体"/>
          <w:color w:val="auto"/>
          <w:szCs w:val="21"/>
          <w:highlight w:val="none"/>
          <w:lang w:val="zh-CN"/>
        </w:rPr>
        <w:t>.</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根据上述商务、技术及价格综合评价的权重分配计算出各投标人的综合得分。</w:t>
      </w:r>
    </w:p>
    <w:p w14:paraId="74EE89F5">
      <w:pPr>
        <w:tabs>
          <w:tab w:val="left" w:pos="567"/>
        </w:tabs>
        <w:autoSpaceDE w:val="0"/>
        <w:autoSpaceDN w:val="0"/>
        <w:adjustRightInd w:val="0"/>
        <w:spacing w:line="360" w:lineRule="auto"/>
        <w:ind w:left="357" w:leftChars="-100" w:hanging="567"/>
        <w:jc w:val="left"/>
        <w:rPr>
          <w:rFonts w:hint="eastAsia" w:ascii="宋体" w:hAnsi="宋体" w:eastAsia="宋体" w:cs="宋体"/>
          <w:color w:val="auto"/>
          <w:szCs w:val="21"/>
          <w:highlight w:val="none"/>
          <w:lang w:val="zh-CN"/>
        </w:rPr>
      </w:pPr>
      <w:bookmarkStart w:id="312" w:name="_Toc522047356"/>
      <w:bookmarkStart w:id="313" w:name="_Toc521918097"/>
    </w:p>
    <w:p w14:paraId="7F543669">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14" w:name="_Toc142508344"/>
      <w:bookmarkStart w:id="315" w:name="_Toc195714250"/>
      <w:bookmarkStart w:id="316" w:name="_Toc21460_WPSOffice_Level3"/>
      <w:bookmarkStart w:id="317" w:name="_Toc14804"/>
      <w:bookmarkStart w:id="318" w:name="_Toc18614"/>
      <w:bookmarkStart w:id="319" w:name="_Toc16591"/>
      <w:bookmarkStart w:id="320" w:name="_Toc27026"/>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 xml:space="preserve"> 评标原则及方法</w:t>
      </w:r>
      <w:bookmarkEnd w:id="312"/>
      <w:bookmarkEnd w:id="313"/>
      <w:bookmarkEnd w:id="314"/>
      <w:bookmarkEnd w:id="315"/>
      <w:bookmarkEnd w:id="316"/>
      <w:bookmarkEnd w:id="317"/>
      <w:bookmarkEnd w:id="318"/>
      <w:bookmarkEnd w:id="319"/>
      <w:bookmarkEnd w:id="320"/>
    </w:p>
    <w:p w14:paraId="486322B1">
      <w:pPr>
        <w:tabs>
          <w:tab w:val="left" w:pos="567"/>
        </w:tabs>
        <w:autoSpaceDE w:val="0"/>
        <w:autoSpaceDN w:val="0"/>
        <w:adjustRightInd w:val="0"/>
        <w:spacing w:line="360" w:lineRule="auto"/>
        <w:ind w:left="357" w:leftChars="-100" w:hanging="567"/>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对所有投标文件的评审，都采用相同的程序和标准。按步骤先进行初步评审，再进行商务、技术、价格评审。</w:t>
      </w:r>
    </w:p>
    <w:p w14:paraId="031BB836">
      <w:pPr>
        <w:tabs>
          <w:tab w:val="left" w:pos="360"/>
        </w:tabs>
        <w:autoSpaceDE w:val="0"/>
        <w:autoSpaceDN w:val="0"/>
        <w:adjustRightInd w:val="0"/>
        <w:spacing w:line="360" w:lineRule="auto"/>
        <w:ind w:left="330" w:leftChars="-100" w:right="44" w:rightChars="21" w:hanging="540"/>
        <w:outlineLvl w:val="9"/>
        <w:rPr>
          <w:rFonts w:hint="eastAsia" w:ascii="宋体" w:hAnsi="宋体" w:eastAsia="宋体" w:cs="宋体"/>
          <w:color w:val="auto"/>
          <w:szCs w:val="21"/>
          <w:highlight w:val="none"/>
          <w:lang w:val="zh-CN"/>
        </w:rPr>
      </w:pPr>
      <w:bookmarkStart w:id="321" w:name="_Toc4225"/>
      <w:r>
        <w:rPr>
          <w:rFonts w:hint="eastAsia" w:ascii="宋体" w:hAnsi="宋体" w:eastAsia="宋体" w:cs="宋体"/>
          <w:color w:val="auto"/>
          <w:szCs w:val="21"/>
          <w:highlight w:val="none"/>
        </w:rPr>
        <w:t>30</w:t>
      </w:r>
      <w:r>
        <w:rPr>
          <w:rFonts w:hint="eastAsia" w:ascii="宋体" w:hAnsi="宋体" w:eastAsia="宋体" w:cs="宋体"/>
          <w:color w:val="auto"/>
          <w:szCs w:val="21"/>
          <w:highlight w:val="none"/>
          <w:lang w:val="zh-CN"/>
        </w:rPr>
        <w:t>.2 评标严格按照招标文件的要求和条件进行。</w:t>
      </w:r>
      <w:bookmarkEnd w:id="321"/>
    </w:p>
    <w:p w14:paraId="49685EC3">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在评标时将根据第</w:t>
      </w:r>
      <w:r>
        <w:rPr>
          <w:rFonts w:hint="eastAsia" w:ascii="宋体" w:hAnsi="宋体" w:eastAsia="宋体" w:cs="宋体"/>
          <w:color w:val="auto"/>
          <w:szCs w:val="21"/>
          <w:highlight w:val="none"/>
        </w:rPr>
        <w:t>29</w:t>
      </w:r>
      <w:r>
        <w:rPr>
          <w:rFonts w:hint="eastAsia" w:ascii="宋体" w:hAnsi="宋体" w:eastAsia="宋体" w:cs="宋体"/>
          <w:color w:val="auto"/>
          <w:szCs w:val="21"/>
          <w:highlight w:val="none"/>
          <w:lang w:val="zh-CN"/>
        </w:rPr>
        <w:t>条，采用综合评分法的评审方法，对所有实质响应性投标文件进行综合打分。</w:t>
      </w:r>
    </w:p>
    <w:p w14:paraId="76A52AAA">
      <w:pPr>
        <w:tabs>
          <w:tab w:val="left" w:pos="360"/>
        </w:tabs>
        <w:autoSpaceDE w:val="0"/>
        <w:autoSpaceDN w:val="0"/>
        <w:adjustRightInd w:val="0"/>
        <w:spacing w:line="360" w:lineRule="auto"/>
        <w:ind w:left="330" w:leftChars="-100" w:right="44" w:rightChars="21" w:hanging="540"/>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rPr>
        <w:t>30</w:t>
      </w:r>
      <w:r>
        <w:rPr>
          <w:rFonts w:hint="eastAsia" w:ascii="宋体" w:hAnsi="宋体" w:eastAsia="宋体" w:cs="宋体"/>
          <w:b/>
          <w:bCs/>
          <w:color w:val="auto"/>
          <w:szCs w:val="21"/>
          <w:highlight w:val="none"/>
          <w:lang w:val="zh-CN"/>
        </w:rPr>
        <w:t>.3 若本次招标过程中有效投标人不足三个时，公开招标失败</w:t>
      </w:r>
      <w:r>
        <w:rPr>
          <w:rFonts w:hint="eastAsia" w:ascii="宋体" w:hAnsi="宋体" w:eastAsia="宋体" w:cs="宋体"/>
          <w:b/>
          <w:bCs/>
          <w:color w:val="auto"/>
          <w:szCs w:val="21"/>
          <w:highlight w:val="none"/>
        </w:rPr>
        <w:t>。</w:t>
      </w:r>
    </w:p>
    <w:p w14:paraId="50CA18F1">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p>
    <w:p w14:paraId="323B66A1">
      <w:pPr>
        <w:tabs>
          <w:tab w:val="left" w:pos="52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22" w:name="_Toc195714251"/>
      <w:bookmarkStart w:id="323" w:name="_Toc32498_WPSOffice_Level3"/>
      <w:bookmarkStart w:id="324" w:name="_Toc142508345"/>
      <w:bookmarkStart w:id="325" w:name="_Toc466882017"/>
      <w:bookmarkStart w:id="326" w:name="_Toc11615"/>
      <w:bookmarkStart w:id="327" w:name="_Toc465358969"/>
      <w:bookmarkStart w:id="328" w:name="_Toc15343"/>
      <w:bookmarkStart w:id="329" w:name="_Toc15217"/>
      <w:bookmarkStart w:id="330" w:name="_Toc4819"/>
      <w:bookmarkStart w:id="331" w:name="_Toc486167694"/>
      <w:r>
        <w:rPr>
          <w:rFonts w:hint="eastAsia" w:ascii="宋体" w:hAnsi="宋体" w:eastAsia="宋体" w:cs="宋体"/>
          <w:color w:val="auto"/>
          <w:szCs w:val="21"/>
          <w:highlight w:val="none"/>
        </w:rPr>
        <w:t xml:space="preserve">31 </w:t>
      </w:r>
      <w:r>
        <w:rPr>
          <w:rFonts w:hint="eastAsia" w:ascii="宋体" w:hAnsi="宋体" w:eastAsia="宋体" w:cs="宋体"/>
          <w:color w:val="auto"/>
          <w:szCs w:val="21"/>
          <w:highlight w:val="none"/>
          <w:lang w:val="zh-CN"/>
        </w:rPr>
        <w:t>评标结果公示及异议、投诉</w:t>
      </w:r>
      <w:bookmarkEnd w:id="322"/>
      <w:bookmarkEnd w:id="323"/>
      <w:bookmarkEnd w:id="324"/>
      <w:bookmarkEnd w:id="325"/>
      <w:bookmarkEnd w:id="326"/>
      <w:bookmarkEnd w:id="327"/>
      <w:bookmarkEnd w:id="328"/>
      <w:bookmarkEnd w:id="329"/>
      <w:bookmarkEnd w:id="330"/>
      <w:bookmarkEnd w:id="331"/>
    </w:p>
    <w:p w14:paraId="2EFBEA27">
      <w:pPr>
        <w:tabs>
          <w:tab w:val="left" w:pos="36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.1 招标代理机构在招标公告发布媒介公示中标候选人，公示期不得少于3日（最后一日是节假日或公休日的，应顺延到节假日或公休日后第一个工作日）。投标人或者其他利害关系人对评标结果有异议的，应当在</w:t>
      </w:r>
      <w:r>
        <w:rPr>
          <w:rFonts w:hint="eastAsia" w:ascii="宋体" w:hAnsi="宋体" w:eastAsia="宋体" w:cs="宋体"/>
          <w:color w:val="auto"/>
          <w:szCs w:val="21"/>
          <w:highlight w:val="none"/>
        </w:rPr>
        <w:t>评标结果</w:t>
      </w:r>
      <w:r>
        <w:rPr>
          <w:rFonts w:hint="eastAsia" w:ascii="宋体" w:hAnsi="宋体" w:eastAsia="宋体" w:cs="宋体"/>
          <w:color w:val="auto"/>
          <w:szCs w:val="21"/>
          <w:highlight w:val="none"/>
          <w:lang w:val="zh-CN"/>
        </w:rPr>
        <w:t>公示期间向招标代理机构以书面的形式提出，并将完整的异议书面材料原件送达招标代理机构，逾期则视为对评标结果无异议。超出提交异议截止时间而提出的任何疑问，招标代理机构可不予答复。</w:t>
      </w:r>
    </w:p>
    <w:p w14:paraId="4E6936DA">
      <w:pPr>
        <w:autoSpaceDE w:val="0"/>
        <w:autoSpaceDN w:val="0"/>
        <w:adjustRightInd w:val="0"/>
        <w:snapToGrid w:val="0"/>
        <w:spacing w:line="360" w:lineRule="auto"/>
        <w:ind w:left="210" w:leftChars="100" w:firstLine="525" w:firstLineChars="250"/>
        <w:jc w:val="left"/>
        <w:rPr>
          <w:rFonts w:hint="eastAsia" w:ascii="宋体" w:hAnsi="宋体" w:eastAsia="宋体" w:cs="宋体"/>
          <w:color w:val="auto"/>
          <w:kern w:val="0"/>
          <w:szCs w:val="21"/>
          <w:highlight w:val="none"/>
          <w:lang w:val="zh-CN"/>
        </w:rPr>
      </w:pPr>
      <w:r>
        <w:rPr>
          <w:rFonts w:hint="eastAsia" w:ascii="宋体" w:hAnsi="宋体" w:eastAsia="宋体" w:cs="宋体"/>
          <w:color w:val="auto"/>
          <w:szCs w:val="21"/>
          <w:highlight w:val="none"/>
          <w:lang w:val="zh-CN"/>
        </w:rPr>
        <w:t>招标代理机构将拒收未能提供完整异议书面材料的异议，完整的异议书面材料必须同时包含：异议书（加盖法人公章，并注明联系人、联系电话、联系地址）、授权提交异议的法定代表人授权书原件、反映异议人主体资格的营业执照</w:t>
      </w:r>
      <w:r>
        <w:rPr>
          <w:rFonts w:hint="eastAsia" w:ascii="宋体" w:hAnsi="宋体" w:eastAsia="宋体" w:cs="宋体"/>
          <w:color w:val="auto"/>
          <w:szCs w:val="21"/>
          <w:highlight w:val="none"/>
          <w:lang w:val="en-US" w:eastAsia="zh-CN"/>
        </w:rPr>
        <w:t>复印件</w:t>
      </w:r>
      <w:r>
        <w:rPr>
          <w:rFonts w:hint="eastAsia" w:ascii="宋体" w:hAnsi="宋体" w:eastAsia="宋体" w:cs="宋体"/>
          <w:color w:val="auto"/>
          <w:szCs w:val="21"/>
          <w:highlight w:val="none"/>
          <w:lang w:val="zh-CN"/>
        </w:rPr>
        <w:t>（加盖法人公章）、以及合法来源的证据证明材料</w:t>
      </w:r>
      <w:r>
        <w:rPr>
          <w:rFonts w:hint="eastAsia" w:ascii="宋体" w:hAnsi="宋体" w:eastAsia="宋体" w:cs="宋体"/>
          <w:color w:val="auto"/>
          <w:kern w:val="0"/>
          <w:szCs w:val="21"/>
          <w:highlight w:val="none"/>
          <w:lang w:val="zh-CN"/>
        </w:rPr>
        <w:t>。</w:t>
      </w:r>
    </w:p>
    <w:p w14:paraId="21EBC3C6">
      <w:pPr>
        <w:autoSpaceDE w:val="0"/>
        <w:autoSpaceDN w:val="0"/>
        <w:adjustRightInd w:val="0"/>
        <w:spacing w:line="360" w:lineRule="auto"/>
        <w:ind w:left="284" w:hanging="568"/>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 xml:space="preserve">31.2 </w:t>
      </w:r>
      <w:r>
        <w:rPr>
          <w:rFonts w:hint="eastAsia" w:ascii="宋体" w:hAnsi="宋体" w:eastAsia="宋体" w:cs="宋体"/>
          <w:b/>
          <w:color w:val="auto"/>
          <w:szCs w:val="21"/>
          <w:highlight w:val="none"/>
          <w:lang w:val="zh-CN"/>
        </w:rPr>
        <w:t>结果公示后，招标人有权要求中标候选人在结果公示之日起3日（最后一日是节假日或公休日的，应顺延到节假日或公休日后第一个工作日）内提交投标文件中所提供的资格证明文件、业绩证明文件、对招标文件实质性条款响应文件、履约能力证明文件的原件供招标人核查。招标人如有需要，中标候选人有义务提供投标文件外其他相关证明资料原件（包括但不限于业绩合同对应的发票等）供招标人核查。招标人如发现投标人提供虚假证明文件、虚假响应文件等弄虚作假行为骗取中标的，招标人将取消其中标资格，不予退还其投标保证金。涉嫌违法犯罪的，将移交司法机关处理。</w:t>
      </w:r>
    </w:p>
    <w:p w14:paraId="2BE58199">
      <w:pPr>
        <w:autoSpaceDE w:val="0"/>
        <w:autoSpaceDN w:val="0"/>
        <w:adjustRightInd w:val="0"/>
        <w:snapToGrid w:val="0"/>
        <w:spacing w:line="360" w:lineRule="auto"/>
        <w:ind w:left="246" w:leftChars="117" w:firstLine="422" w:firstLineChars="200"/>
        <w:jc w:val="lef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当招标人（或其委托的招标代理机构）向中标候选人发出提供上述投标文件或投标文件外其他相关（包括但不限于业绩合同对应的发票等）的证明资料原件进行核查的书面通知后，</w:t>
      </w:r>
      <w:r>
        <w:rPr>
          <w:rFonts w:hint="eastAsia" w:ascii="宋体" w:hAnsi="宋体" w:eastAsia="宋体" w:cs="宋体"/>
          <w:b/>
          <w:color w:val="auto"/>
          <w:kern w:val="0"/>
          <w:szCs w:val="21"/>
          <w:highlight w:val="none"/>
        </w:rPr>
        <w:t>第一中标候选人未能在招标人（或其委托的招标代理机构)书面要求的时间(一般不少于三个工作日)内提供完整的材料原件进行核查的</w:t>
      </w:r>
      <w:r>
        <w:rPr>
          <w:rFonts w:hint="eastAsia" w:ascii="宋体" w:hAnsi="宋体" w:eastAsia="宋体" w:cs="宋体"/>
          <w:b/>
          <w:color w:val="auto"/>
          <w:szCs w:val="21"/>
          <w:highlight w:val="none"/>
          <w:lang w:val="zh-CN"/>
        </w:rPr>
        <w:t>，视为其无法提供真实的资料，招标人有权取消其中标候选人资格。</w:t>
      </w:r>
    </w:p>
    <w:p w14:paraId="493C36B0">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.3 投标人或者其他利害关系人认为招标投标活动不符合法律、行政法规规定的，可以自知道或者应当知道之日起10日内，按程序向招标人采购活动的监督部门投诉。投诉应当提供纸质投诉书及必要的证明材料。投诉书应当包括下列内容：</w:t>
      </w:r>
    </w:p>
    <w:p w14:paraId="1B7FF6AA">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（一）投诉人和被投诉人的姓名或者名称、通讯地址、邮编、联系人及联系电话；</w:t>
      </w:r>
    </w:p>
    <w:p w14:paraId="018A8AD5">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（二）异议和异议答复情况说明及相关证明材料；</w:t>
      </w:r>
    </w:p>
    <w:p w14:paraId="09B1A63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（三）具体、明确的投诉事项和与投诉事项相关的投诉请求；</w:t>
      </w:r>
    </w:p>
    <w:p w14:paraId="5F3674E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（四）事实依据；</w:t>
      </w:r>
    </w:p>
    <w:p w14:paraId="1C423B21">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（五）法律依据；</w:t>
      </w:r>
    </w:p>
    <w:p w14:paraId="5F3A0A27">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（六）提起投诉的日期。</w:t>
      </w:r>
    </w:p>
    <w:p w14:paraId="45542D8C">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投诉人为法人或者其他组织的，应当由法定代表人、主要负责人，或者其授权代表签字或者盖章，并加盖公章。</w:t>
      </w:r>
    </w:p>
    <w:p w14:paraId="5E18D8F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投诉人投诉的事项不得超出已异议事项的范围，但基于异议答复内容提出的投诉事项除外。</w:t>
      </w:r>
    </w:p>
    <w:p w14:paraId="4690D108">
      <w:pPr>
        <w:autoSpaceDE w:val="0"/>
        <w:autoSpaceDN w:val="0"/>
        <w:adjustRightInd w:val="0"/>
        <w:snapToGrid w:val="0"/>
        <w:spacing w:line="360" w:lineRule="auto"/>
        <w:ind w:left="319" w:leftChars="-100" w:hanging="529" w:hangingChars="252"/>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 xml:space="preserve">     监督部门：</w:t>
      </w:r>
      <w:r>
        <w:rPr>
          <w:rFonts w:hint="eastAsia" w:ascii="宋体" w:hAnsi="宋体" w:eastAsia="宋体" w:cs="宋体"/>
          <w:bCs/>
          <w:color w:val="auto"/>
          <w:szCs w:val="21"/>
          <w:highlight w:val="none"/>
          <w:lang w:eastAsia="zh-CN"/>
        </w:rPr>
        <w:t>东莞市水务环境投资控股集团有限公司</w:t>
      </w:r>
      <w:r>
        <w:rPr>
          <w:rFonts w:hint="eastAsia" w:ascii="宋体" w:hAnsi="宋体" w:eastAsia="宋体" w:cs="宋体"/>
          <w:color w:val="auto"/>
          <w:szCs w:val="21"/>
          <w:highlight w:val="none"/>
          <w:lang w:val="zh-CN"/>
        </w:rPr>
        <w:t>，联系人：莫先生，联系电话：0769-28823251。</w:t>
      </w:r>
    </w:p>
    <w:p w14:paraId="6678CDA9">
      <w:pPr>
        <w:autoSpaceDE w:val="0"/>
        <w:autoSpaceDN w:val="0"/>
        <w:adjustRightInd w:val="0"/>
        <w:snapToGrid w:val="0"/>
        <w:spacing w:line="360" w:lineRule="auto"/>
        <w:ind w:left="296" w:leftChars="100" w:hanging="86" w:hangingChars="41"/>
        <w:jc w:val="left"/>
        <w:rPr>
          <w:rFonts w:hint="eastAsia" w:ascii="宋体" w:hAnsi="宋体" w:eastAsia="宋体" w:cs="宋体"/>
          <w:color w:val="auto"/>
          <w:szCs w:val="21"/>
          <w:highlight w:val="none"/>
          <w:lang w:val="zh-CN"/>
        </w:rPr>
      </w:pPr>
    </w:p>
    <w:p w14:paraId="0F5F88AC">
      <w:pPr>
        <w:tabs>
          <w:tab w:val="left" w:pos="567"/>
        </w:tabs>
        <w:autoSpaceDE w:val="0"/>
        <w:autoSpaceDN w:val="0"/>
        <w:adjustRightInd w:val="0"/>
        <w:spacing w:line="360" w:lineRule="auto"/>
        <w:ind w:left="288" w:leftChars="-100" w:hanging="498" w:hangingChars="236"/>
        <w:outlineLvl w:val="2"/>
        <w:rPr>
          <w:rFonts w:hint="eastAsia" w:ascii="宋体" w:hAnsi="宋体" w:eastAsia="宋体" w:cs="宋体"/>
          <w:b/>
          <w:color w:val="auto"/>
          <w:szCs w:val="21"/>
          <w:highlight w:val="none"/>
          <w:lang w:val="zh-CN"/>
        </w:rPr>
      </w:pPr>
      <w:bookmarkStart w:id="332" w:name="_Toc26283"/>
      <w:bookmarkStart w:id="333" w:name="_Toc486167695"/>
      <w:bookmarkStart w:id="334" w:name="_Toc1848_WPSOffice_Level3"/>
      <w:bookmarkStart w:id="335" w:name="_Toc142508346"/>
      <w:bookmarkStart w:id="336" w:name="_Toc466882018"/>
      <w:bookmarkStart w:id="337" w:name="_Toc465358970"/>
      <w:bookmarkStart w:id="338" w:name="_Toc195714252"/>
      <w:bookmarkStart w:id="339" w:name="_Toc26354"/>
      <w:bookmarkStart w:id="340" w:name="_Toc3154"/>
      <w:bookmarkStart w:id="341" w:name="_Toc30599"/>
      <w:r>
        <w:rPr>
          <w:rFonts w:hint="eastAsia" w:ascii="宋体" w:hAnsi="宋体" w:eastAsia="宋体" w:cs="宋体"/>
          <w:b/>
          <w:color w:val="auto"/>
          <w:szCs w:val="21"/>
          <w:highlight w:val="none"/>
        </w:rPr>
        <w:t>32</w:t>
      </w:r>
      <w:r>
        <w:rPr>
          <w:rFonts w:hint="eastAsia" w:ascii="宋体" w:hAnsi="宋体" w:eastAsia="宋体" w:cs="宋体"/>
          <w:b/>
          <w:color w:val="auto"/>
          <w:szCs w:val="21"/>
          <w:highlight w:val="none"/>
          <w:lang w:val="zh-CN"/>
        </w:rPr>
        <w:t xml:space="preserve"> 真实性审查</w:t>
      </w:r>
      <w:bookmarkEnd w:id="332"/>
      <w:bookmarkEnd w:id="333"/>
      <w:bookmarkEnd w:id="334"/>
      <w:bookmarkEnd w:id="335"/>
      <w:bookmarkEnd w:id="336"/>
      <w:bookmarkEnd w:id="337"/>
      <w:bookmarkEnd w:id="338"/>
      <w:bookmarkEnd w:id="339"/>
      <w:bookmarkEnd w:id="340"/>
      <w:bookmarkEnd w:id="341"/>
    </w:p>
    <w:p w14:paraId="5933A81B">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32.1 在</w:t>
      </w:r>
      <w:r>
        <w:rPr>
          <w:rFonts w:hint="eastAsia" w:ascii="宋体" w:hAnsi="宋体" w:eastAsia="宋体" w:cs="宋体"/>
          <w:b/>
          <w:color w:val="auto"/>
          <w:kern w:val="0"/>
          <w:szCs w:val="21"/>
          <w:highlight w:val="none"/>
        </w:rPr>
        <w:t>授予合同前，招标人（或其委托的招标代理机构）、或评标委员会有权组织对投标人的真实性审查。包括对投标人的资格证明文件、业绩证明文件、对招标文件实质性条款响应文件、履约能力证明文件的原件真实性进行核查。招标人</w:t>
      </w:r>
      <w:r>
        <w:rPr>
          <w:rFonts w:hint="eastAsia" w:ascii="宋体" w:hAnsi="宋体" w:eastAsia="宋体" w:cs="宋体"/>
          <w:b/>
          <w:color w:val="auto"/>
          <w:szCs w:val="21"/>
          <w:highlight w:val="none"/>
          <w:lang w:val="zh-CN"/>
        </w:rPr>
        <w:t>如有需要，投标人有义务提供投标文件外其他相关证明资料原件（包括但不限于业绩合同对应的发票等）供招标人核查。</w:t>
      </w:r>
      <w:r>
        <w:rPr>
          <w:rFonts w:hint="eastAsia" w:ascii="宋体" w:hAnsi="宋体" w:eastAsia="宋体" w:cs="宋体"/>
          <w:b/>
          <w:color w:val="auto"/>
          <w:kern w:val="0"/>
          <w:szCs w:val="21"/>
          <w:highlight w:val="none"/>
        </w:rPr>
        <w:t>若发现投标人提供虚假证明文件、虚假响应文件等弄虚作假行为的，或经审查确认其经营、财务状况发生较大变化（或者存在违法行为）导致无法按照投标文件的承诺履约的，或其明确表示不按照投标文件承诺履约的，等影响中标结果的行为，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0F0FA149">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32.2 投标人</w:t>
      </w:r>
      <w:r>
        <w:rPr>
          <w:rFonts w:hint="eastAsia" w:ascii="宋体" w:hAnsi="宋体" w:eastAsia="宋体" w:cs="宋体"/>
          <w:b/>
          <w:color w:val="auto"/>
          <w:kern w:val="0"/>
          <w:szCs w:val="21"/>
          <w:highlight w:val="none"/>
        </w:rPr>
        <w:t>在招标人（或其委托的招标代理机构）、或评标委员会通知其提供</w:t>
      </w:r>
      <w:r>
        <w:rPr>
          <w:rFonts w:hint="eastAsia" w:ascii="宋体" w:hAnsi="宋体" w:eastAsia="宋体" w:cs="宋体"/>
          <w:b/>
          <w:color w:val="auto"/>
          <w:szCs w:val="21"/>
          <w:highlight w:val="none"/>
          <w:lang w:val="zh-CN"/>
        </w:rPr>
        <w:t>上述投标文件或投标文件外其他相关（包括但不限于业绩合同对应的发票等）的证明资料原件</w:t>
      </w:r>
      <w:r>
        <w:rPr>
          <w:rFonts w:hint="eastAsia" w:ascii="宋体" w:hAnsi="宋体" w:eastAsia="宋体" w:cs="宋体"/>
          <w:b/>
          <w:color w:val="auto"/>
          <w:kern w:val="0"/>
          <w:szCs w:val="21"/>
          <w:highlight w:val="none"/>
        </w:rPr>
        <w:t>进行核查的要求后，未能在约定的时间内提供原件进行核查的，视为投标人无法提供真实的资料，招标人有权按照评标委员会提出的中标候选人名单排序依次确定其他中标候选人为中标人或重新招标</w:t>
      </w:r>
      <w:r>
        <w:rPr>
          <w:rFonts w:hint="eastAsia" w:ascii="宋体" w:hAnsi="宋体" w:eastAsia="宋体" w:cs="宋体"/>
          <w:b/>
          <w:color w:val="auto"/>
          <w:szCs w:val="21"/>
          <w:highlight w:val="none"/>
        </w:rPr>
        <w:t>。</w:t>
      </w:r>
    </w:p>
    <w:p w14:paraId="5C9CA07F">
      <w:pPr>
        <w:autoSpaceDE w:val="0"/>
        <w:autoSpaceDN w:val="0"/>
        <w:adjustRightInd w:val="0"/>
        <w:snapToGrid w:val="0"/>
        <w:spacing w:line="360" w:lineRule="auto"/>
        <w:ind w:left="321" w:leftChars="-100" w:hanging="531" w:hangingChars="252"/>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32.3 若投标人在投标或履约过程中存在提供虚假材料、虚假响应招标文件要求等弄虚作假行为，或未能根据</w:t>
      </w:r>
      <w:r>
        <w:rPr>
          <w:rFonts w:hint="eastAsia" w:ascii="宋体" w:hAnsi="宋体" w:eastAsia="宋体" w:cs="宋体"/>
          <w:b/>
          <w:color w:val="auto"/>
          <w:szCs w:val="21"/>
          <w:highlight w:val="none"/>
          <w:lang w:eastAsia="zh-CN"/>
        </w:rPr>
        <w:t>本须知</w:t>
      </w:r>
      <w:r>
        <w:rPr>
          <w:rFonts w:hint="eastAsia" w:ascii="宋体" w:hAnsi="宋体" w:eastAsia="宋体" w:cs="宋体"/>
          <w:b/>
          <w:color w:val="auto"/>
          <w:szCs w:val="21"/>
          <w:highlight w:val="none"/>
        </w:rPr>
        <w:t>31.2款约定按时提供原件进行核查的，或不按照投标文件承诺履约或</w:t>
      </w:r>
      <w:r>
        <w:rPr>
          <w:rFonts w:hint="eastAsia" w:ascii="宋体" w:hAnsi="宋体" w:eastAsia="宋体" w:cs="宋体"/>
          <w:b/>
          <w:color w:val="auto"/>
          <w:szCs w:val="21"/>
          <w:highlight w:val="none"/>
          <w:lang w:val="zh-CN"/>
        </w:rPr>
        <w:t>撤销</w:t>
      </w:r>
      <w:r>
        <w:rPr>
          <w:rFonts w:hint="eastAsia" w:ascii="宋体" w:hAnsi="宋体" w:eastAsia="宋体" w:cs="宋体"/>
          <w:b/>
          <w:color w:val="auto"/>
          <w:szCs w:val="21"/>
          <w:highlight w:val="none"/>
        </w:rPr>
        <w:t>投标或放弃中标资格或不按要求与招标人签订合同等影响中标结果的行为，因此导致投标人无法参与</w:t>
      </w:r>
      <w:r>
        <w:rPr>
          <w:rFonts w:hint="eastAsia" w:ascii="宋体" w:hAnsi="宋体" w:eastAsia="宋体" w:cs="宋体"/>
          <w:b/>
          <w:color w:val="auto"/>
          <w:szCs w:val="21"/>
          <w:highlight w:val="none"/>
          <w:lang w:eastAsia="zh-CN"/>
        </w:rPr>
        <w:t>东莞市水务环境投资控股集团有限公司</w:t>
      </w:r>
      <w:r>
        <w:rPr>
          <w:rFonts w:hint="eastAsia" w:ascii="宋体" w:hAnsi="宋体" w:eastAsia="宋体" w:cs="宋体"/>
          <w:b/>
          <w:color w:val="auto"/>
          <w:szCs w:val="21"/>
          <w:highlight w:val="none"/>
        </w:rPr>
        <w:t>相关招标采购等活动的，由投标人自行承担全部后果。</w:t>
      </w:r>
    </w:p>
    <w:p w14:paraId="3EA54554">
      <w:pPr>
        <w:autoSpaceDE w:val="0"/>
        <w:autoSpaceDN w:val="0"/>
        <w:adjustRightInd w:val="0"/>
        <w:snapToGrid w:val="0"/>
        <w:spacing w:line="360" w:lineRule="auto"/>
        <w:jc w:val="left"/>
        <w:rPr>
          <w:rFonts w:hint="eastAsia" w:ascii="宋体" w:hAnsi="宋体" w:eastAsia="宋体" w:cs="宋体"/>
          <w:color w:val="auto"/>
          <w:szCs w:val="21"/>
          <w:highlight w:val="none"/>
        </w:rPr>
      </w:pPr>
      <w:bookmarkStart w:id="342" w:name="_Toc465358971"/>
      <w:bookmarkStart w:id="343" w:name="_Toc466882019"/>
    </w:p>
    <w:p w14:paraId="3601525A">
      <w:pPr>
        <w:tabs>
          <w:tab w:val="left" w:pos="567"/>
        </w:tabs>
        <w:autoSpaceDE w:val="0"/>
        <w:autoSpaceDN w:val="0"/>
        <w:adjustRightInd w:val="0"/>
        <w:spacing w:line="360" w:lineRule="auto"/>
        <w:ind w:left="16" w:leftChars="-59" w:hanging="140" w:hangingChars="67"/>
        <w:outlineLvl w:val="2"/>
        <w:rPr>
          <w:rFonts w:hint="eastAsia" w:ascii="宋体" w:hAnsi="宋体" w:eastAsia="宋体" w:cs="宋体"/>
          <w:color w:val="auto"/>
          <w:szCs w:val="21"/>
          <w:highlight w:val="none"/>
          <w:lang w:val="zh-CN"/>
        </w:rPr>
      </w:pPr>
      <w:bookmarkStart w:id="344" w:name="_Toc6704"/>
      <w:bookmarkStart w:id="345" w:name="_Toc8903"/>
      <w:bookmarkStart w:id="346" w:name="_Toc10867_WPSOffice_Level3"/>
      <w:bookmarkStart w:id="347" w:name="_Toc142508347"/>
      <w:bookmarkStart w:id="348" w:name="_Toc486167696"/>
      <w:bookmarkStart w:id="349" w:name="_Toc8654"/>
      <w:bookmarkStart w:id="350" w:name="_Toc23672"/>
      <w:bookmarkStart w:id="351" w:name="_Toc195714253"/>
      <w:r>
        <w:rPr>
          <w:rFonts w:hint="eastAsia" w:ascii="宋体" w:hAnsi="宋体" w:eastAsia="宋体" w:cs="宋体"/>
          <w:color w:val="auto"/>
          <w:szCs w:val="21"/>
          <w:highlight w:val="none"/>
        </w:rPr>
        <w:t>33</w:t>
      </w:r>
      <w:r>
        <w:rPr>
          <w:rFonts w:hint="eastAsia" w:ascii="宋体" w:hAnsi="宋体" w:eastAsia="宋体" w:cs="宋体"/>
          <w:color w:val="auto"/>
          <w:szCs w:val="21"/>
          <w:highlight w:val="none"/>
          <w:lang w:val="zh-CN"/>
        </w:rPr>
        <w:t xml:space="preserve"> 评标委员会和招标人接受或拒绝任何投标或所有投标的权利</w:t>
      </w:r>
      <w:bookmarkEnd w:id="342"/>
      <w:bookmarkEnd w:id="343"/>
      <w:bookmarkEnd w:id="344"/>
      <w:bookmarkEnd w:id="345"/>
      <w:bookmarkEnd w:id="346"/>
      <w:bookmarkEnd w:id="347"/>
      <w:bookmarkEnd w:id="348"/>
      <w:bookmarkEnd w:id="349"/>
      <w:bookmarkEnd w:id="350"/>
      <w:bookmarkEnd w:id="351"/>
    </w:p>
    <w:p w14:paraId="5A30E0D5">
      <w:pPr>
        <w:autoSpaceDE w:val="0"/>
        <w:autoSpaceDN w:val="0"/>
        <w:adjustRightInd w:val="0"/>
        <w:spacing w:line="360" w:lineRule="auto"/>
        <w:ind w:left="248" w:leftChars="118" w:firstLine="1"/>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在授予合同前的任何时候，招标人仍保留接受或拒绝任何投标，宣布招标程序无效或拒绝所有投标的权利，无需向受影响的投标人承担任何责任。</w:t>
      </w:r>
    </w:p>
    <w:p w14:paraId="6DF269C5">
      <w:pPr>
        <w:autoSpaceDE w:val="0"/>
        <w:autoSpaceDN w:val="0"/>
        <w:adjustRightInd w:val="0"/>
        <w:snapToGrid w:val="0"/>
        <w:spacing w:line="360" w:lineRule="auto"/>
        <w:ind w:left="436" w:leftChars="-158" w:hanging="768" w:hangingChars="320"/>
        <w:jc w:val="left"/>
        <w:rPr>
          <w:rFonts w:hint="eastAsia" w:ascii="宋体" w:hAnsi="宋体" w:eastAsia="宋体" w:cs="宋体"/>
          <w:color w:val="auto"/>
          <w:kern w:val="44"/>
          <w:sz w:val="24"/>
          <w:szCs w:val="24"/>
          <w:highlight w:val="none"/>
          <w:lang w:val="zh-CN"/>
        </w:rPr>
      </w:pPr>
    </w:p>
    <w:bookmarkEnd w:id="256"/>
    <w:p w14:paraId="085EE927">
      <w:pPr>
        <w:keepNext/>
        <w:keepLines/>
        <w:autoSpaceDE w:val="0"/>
        <w:autoSpaceDN w:val="0"/>
        <w:adjustRightInd w:val="0"/>
        <w:spacing w:line="360" w:lineRule="auto"/>
        <w:jc w:val="left"/>
        <w:outlineLvl w:val="1"/>
        <w:rPr>
          <w:rFonts w:hint="eastAsia" w:ascii="宋体" w:hAnsi="宋体" w:eastAsia="宋体" w:cs="宋体"/>
          <w:b/>
          <w:bCs/>
          <w:color w:val="auto"/>
          <w:kern w:val="44"/>
          <w:szCs w:val="21"/>
          <w:highlight w:val="none"/>
          <w:lang w:val="zh-CN"/>
        </w:rPr>
      </w:pPr>
      <w:bookmarkStart w:id="352" w:name="_Toc195714254"/>
      <w:bookmarkStart w:id="353" w:name="_Toc27936"/>
      <w:bookmarkStart w:id="354" w:name="_Toc16789"/>
      <w:bookmarkStart w:id="355" w:name="_Toc486167697"/>
      <w:bookmarkStart w:id="356" w:name="_Toc25011"/>
      <w:bookmarkStart w:id="357" w:name="_Toc16848_WPSOffice_Level2"/>
      <w:bookmarkStart w:id="358" w:name="_Toc142508348"/>
      <w:bookmarkStart w:id="359" w:name="_Toc140596907"/>
      <w:bookmarkStart w:id="360" w:name="_Toc32732"/>
      <w:bookmarkStart w:id="361" w:name="_Toc466882025"/>
      <w:bookmarkStart w:id="362" w:name="_Toc465358977"/>
      <w:r>
        <w:rPr>
          <w:rFonts w:hint="eastAsia" w:ascii="宋体" w:hAnsi="宋体" w:eastAsia="宋体" w:cs="宋体"/>
          <w:b/>
          <w:bCs/>
          <w:color w:val="auto"/>
          <w:kern w:val="44"/>
          <w:szCs w:val="21"/>
          <w:highlight w:val="none"/>
          <w:lang w:val="zh-CN"/>
        </w:rPr>
        <w:t>六、授予合同</w:t>
      </w:r>
      <w:bookmarkEnd w:id="352"/>
      <w:bookmarkEnd w:id="353"/>
      <w:bookmarkEnd w:id="354"/>
      <w:bookmarkEnd w:id="355"/>
      <w:bookmarkEnd w:id="356"/>
      <w:bookmarkEnd w:id="357"/>
      <w:bookmarkEnd w:id="358"/>
      <w:bookmarkEnd w:id="359"/>
      <w:bookmarkEnd w:id="360"/>
    </w:p>
    <w:p w14:paraId="16BC66F2">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63" w:name="_Toc29383"/>
      <w:bookmarkStart w:id="364" w:name="_Toc195714255"/>
      <w:bookmarkStart w:id="365" w:name="_Toc142508349"/>
      <w:bookmarkStart w:id="366" w:name="_Toc31713"/>
      <w:bookmarkStart w:id="367" w:name="_Toc8531"/>
      <w:bookmarkStart w:id="368" w:name="_Toc6401_WPSOffice_Level3"/>
      <w:bookmarkStart w:id="369" w:name="_Toc8164"/>
      <w:bookmarkStart w:id="370" w:name="_Toc450662881"/>
      <w:bookmarkStart w:id="371" w:name="_Toc486167698"/>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 xml:space="preserve"> 授予合同的准则</w:t>
      </w:r>
      <w:bookmarkEnd w:id="363"/>
      <w:bookmarkEnd w:id="364"/>
      <w:bookmarkEnd w:id="365"/>
      <w:bookmarkEnd w:id="366"/>
      <w:bookmarkEnd w:id="367"/>
      <w:bookmarkEnd w:id="368"/>
      <w:bookmarkEnd w:id="369"/>
      <w:bookmarkEnd w:id="370"/>
      <w:bookmarkEnd w:id="371"/>
    </w:p>
    <w:p w14:paraId="3EE13BC3">
      <w:pPr>
        <w:tabs>
          <w:tab w:val="left" w:pos="645"/>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除第</w:t>
      </w:r>
      <w:r>
        <w:rPr>
          <w:rFonts w:hint="eastAsia" w:ascii="宋体" w:hAnsi="宋体" w:eastAsia="宋体" w:cs="宋体"/>
          <w:color w:val="auto"/>
          <w:szCs w:val="21"/>
          <w:highlight w:val="none"/>
        </w:rPr>
        <w:t>31</w:t>
      </w:r>
      <w:r>
        <w:rPr>
          <w:rFonts w:hint="eastAsia" w:ascii="宋体" w:hAnsi="宋体" w:eastAsia="宋体" w:cs="宋体"/>
          <w:color w:val="auto"/>
          <w:szCs w:val="21"/>
          <w:highlight w:val="none"/>
          <w:lang w:val="zh-CN"/>
        </w:rPr>
        <w:t>条、</w:t>
      </w:r>
      <w:r>
        <w:rPr>
          <w:rFonts w:hint="eastAsia" w:ascii="宋体" w:hAnsi="宋体" w:eastAsia="宋体" w:cs="宋体"/>
          <w:color w:val="auto"/>
          <w:szCs w:val="21"/>
          <w:highlight w:val="none"/>
        </w:rPr>
        <w:t>32</w:t>
      </w:r>
      <w:r>
        <w:rPr>
          <w:rFonts w:hint="eastAsia" w:ascii="宋体" w:hAnsi="宋体" w:eastAsia="宋体" w:cs="宋体"/>
          <w:color w:val="auto"/>
          <w:szCs w:val="21"/>
          <w:highlight w:val="none"/>
          <w:lang w:val="zh-CN"/>
        </w:rPr>
        <w:t>条</w:t>
      </w:r>
      <w:r>
        <w:rPr>
          <w:rFonts w:hint="eastAsia" w:ascii="宋体" w:hAnsi="宋体" w:eastAsia="宋体" w:cs="宋体"/>
          <w:color w:val="auto"/>
          <w:kern w:val="0"/>
          <w:sz w:val="24"/>
          <w:szCs w:val="24"/>
          <w:highlight w:val="none"/>
        </w:rPr>
        <w:t>、</w:t>
      </w:r>
      <w:r>
        <w:rPr>
          <w:rFonts w:hint="eastAsia" w:ascii="宋体" w:hAnsi="宋体" w:eastAsia="宋体" w:cs="宋体"/>
          <w:color w:val="auto"/>
          <w:kern w:val="0"/>
          <w:szCs w:val="24"/>
          <w:highlight w:val="none"/>
        </w:rPr>
        <w:t>33</w:t>
      </w:r>
      <w:r>
        <w:rPr>
          <w:rFonts w:hint="eastAsia" w:ascii="宋体" w:hAnsi="宋体" w:eastAsia="宋体" w:cs="宋体"/>
          <w:color w:val="auto"/>
          <w:szCs w:val="21"/>
          <w:highlight w:val="none"/>
          <w:lang w:val="zh-CN"/>
        </w:rPr>
        <w:t>条规定外，招标人将合同授予其投标文件符合招标文件要求，并且能承诺履行合同，对招标人最为有利的投标人。</w:t>
      </w:r>
    </w:p>
    <w:p w14:paraId="15B374CB">
      <w:pPr>
        <w:numPr>
          <w:ilvl w:val="1"/>
          <w:numId w:val="0"/>
        </w:numPr>
        <w:tabs>
          <w:tab w:val="left" w:pos="540"/>
        </w:tabs>
        <w:autoSpaceDE w:val="0"/>
        <w:autoSpaceDN w:val="0"/>
        <w:adjustRightInd w:val="0"/>
        <w:spacing w:line="360" w:lineRule="auto"/>
        <w:ind w:left="330" w:leftChars="-100" w:right="44" w:rightChars="21"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34</w:t>
      </w:r>
      <w:r>
        <w:rPr>
          <w:rFonts w:hint="eastAsia" w:ascii="宋体" w:hAnsi="宋体" w:eastAsia="宋体" w:cs="宋体"/>
          <w:color w:val="auto"/>
          <w:szCs w:val="21"/>
          <w:highlight w:val="none"/>
          <w:lang w:val="zh-CN"/>
        </w:rPr>
        <w:t>.2 招标人依法</w:t>
      </w:r>
      <w:r>
        <w:rPr>
          <w:rFonts w:hint="eastAsia" w:ascii="宋体" w:hAnsi="宋体" w:eastAsia="宋体" w:cs="宋体"/>
          <w:color w:val="auto"/>
          <w:kern w:val="0"/>
          <w:szCs w:val="21"/>
          <w:highlight w:val="none"/>
        </w:rPr>
        <w:t>按照评标报告中推荐的中标候选人顺序</w:t>
      </w:r>
      <w:r>
        <w:rPr>
          <w:rFonts w:hint="eastAsia" w:ascii="宋体" w:hAnsi="宋体" w:eastAsia="宋体" w:cs="宋体"/>
          <w:color w:val="auto"/>
          <w:szCs w:val="21"/>
          <w:highlight w:val="none"/>
          <w:lang w:val="zh-CN"/>
        </w:rPr>
        <w:t>确定中标人。</w:t>
      </w:r>
    </w:p>
    <w:p w14:paraId="37AE187A">
      <w:pPr>
        <w:autoSpaceDE w:val="0"/>
        <w:autoSpaceDN w:val="0"/>
        <w:adjustRightInd w:val="0"/>
        <w:snapToGrid w:val="0"/>
        <w:spacing w:line="360" w:lineRule="auto"/>
        <w:ind w:left="315" w:leftChars="-100" w:hanging="525" w:hangingChars="250"/>
        <w:jc w:val="left"/>
        <w:rPr>
          <w:rFonts w:hint="eastAsia" w:ascii="宋体" w:hAnsi="宋体" w:eastAsia="宋体" w:cs="宋体"/>
          <w:b/>
          <w:color w:val="auto"/>
          <w:kern w:val="0"/>
          <w:szCs w:val="21"/>
          <w:highlight w:val="none"/>
        </w:rPr>
      </w:pPr>
      <w:r>
        <w:rPr>
          <w:rFonts w:hint="eastAsia" w:ascii="宋体" w:hAnsi="宋体" w:eastAsia="宋体" w:cs="宋体"/>
          <w:color w:val="auto"/>
          <w:szCs w:val="21"/>
          <w:highlight w:val="none"/>
        </w:rPr>
        <w:t>34</w:t>
      </w:r>
      <w:r>
        <w:rPr>
          <w:rFonts w:hint="eastAsia" w:ascii="宋体" w:hAnsi="宋体" w:eastAsia="宋体" w:cs="宋体"/>
          <w:color w:val="auto"/>
          <w:kern w:val="0"/>
          <w:szCs w:val="21"/>
          <w:highlight w:val="none"/>
        </w:rPr>
        <w:t>.3 因不可抗力或自身原因不能履行合同的、不按要求与招标人签订合同、中标人放弃中标、中标资格被依法确认无效的，招标人可以按照评标委员会提出的中标候选人名单排序依次确定其他中标候选人为中标人或重新招标</w:t>
      </w:r>
      <w:r>
        <w:rPr>
          <w:rFonts w:hint="eastAsia" w:ascii="宋体" w:hAnsi="宋体" w:eastAsia="宋体" w:cs="宋体"/>
          <w:b/>
          <w:color w:val="auto"/>
          <w:kern w:val="0"/>
          <w:szCs w:val="21"/>
          <w:highlight w:val="none"/>
        </w:rPr>
        <w:t>。</w:t>
      </w:r>
    </w:p>
    <w:p w14:paraId="077C2251">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72" w:name="_Toc450662885"/>
    </w:p>
    <w:p w14:paraId="5D8F8157">
      <w:pPr>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73" w:name="_Toc142508350"/>
      <w:bookmarkStart w:id="374" w:name="_Toc13906"/>
      <w:bookmarkStart w:id="375" w:name="_Toc195714256"/>
      <w:bookmarkStart w:id="376" w:name="_Toc8196"/>
      <w:bookmarkStart w:id="377" w:name="_Toc486167699"/>
      <w:bookmarkStart w:id="378" w:name="_Toc18984"/>
      <w:bookmarkStart w:id="379" w:name="_Toc6726_WPSOffice_Level3"/>
      <w:bookmarkStart w:id="380" w:name="_Toc21308"/>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 xml:space="preserve"> 中标通知</w:t>
      </w:r>
      <w:bookmarkEnd w:id="372"/>
      <w:bookmarkEnd w:id="373"/>
      <w:bookmarkEnd w:id="374"/>
      <w:bookmarkEnd w:id="375"/>
      <w:bookmarkEnd w:id="376"/>
      <w:bookmarkEnd w:id="377"/>
      <w:bookmarkEnd w:id="378"/>
      <w:bookmarkEnd w:id="379"/>
      <w:bookmarkEnd w:id="380"/>
    </w:p>
    <w:p w14:paraId="6E56B8F5">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381" w:name="_Toc450662886"/>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招标代理机构向中标人发出书面通知，中标通知书是合同的一个组成部分。</w:t>
      </w:r>
    </w:p>
    <w:p w14:paraId="08A18B70">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35</w:t>
      </w:r>
      <w:r>
        <w:rPr>
          <w:rFonts w:hint="eastAsia" w:ascii="宋体" w:hAnsi="宋体" w:eastAsia="宋体" w:cs="宋体"/>
          <w:color w:val="auto"/>
          <w:szCs w:val="21"/>
          <w:highlight w:val="none"/>
          <w:lang w:val="zh-CN"/>
        </w:rPr>
        <w:t>.2</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招标代理机构向中标人发出书面通知的同时，招标代理机构通知落选的投标人其投标文件未被接受而不提原因。</w:t>
      </w:r>
    </w:p>
    <w:p w14:paraId="4DA0DFF4">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7AA60D41">
      <w:pPr>
        <w:tabs>
          <w:tab w:val="left" w:pos="567"/>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82" w:name="_Toc4722"/>
      <w:bookmarkStart w:id="383" w:name="_Toc19127"/>
      <w:bookmarkStart w:id="384" w:name="_Toc195714257"/>
      <w:bookmarkStart w:id="385" w:name="_Toc31041"/>
      <w:bookmarkStart w:id="386" w:name="_Toc142508351"/>
      <w:bookmarkStart w:id="387" w:name="_Toc9694_WPSOffice_Level3"/>
      <w:bookmarkStart w:id="388" w:name="_Toc28020"/>
      <w:bookmarkStart w:id="389" w:name="_Toc486167700"/>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 xml:space="preserve"> 签署合同</w:t>
      </w:r>
      <w:bookmarkEnd w:id="381"/>
      <w:bookmarkEnd w:id="382"/>
      <w:bookmarkEnd w:id="383"/>
      <w:bookmarkEnd w:id="384"/>
      <w:bookmarkEnd w:id="385"/>
      <w:bookmarkEnd w:id="386"/>
      <w:bookmarkEnd w:id="387"/>
      <w:bookmarkEnd w:id="388"/>
      <w:bookmarkEnd w:id="389"/>
    </w:p>
    <w:p w14:paraId="2EDE90EA">
      <w:pPr>
        <w:tabs>
          <w:tab w:val="left" w:pos="540"/>
        </w:tabs>
        <w:autoSpaceDE w:val="0"/>
        <w:autoSpaceDN w:val="0"/>
        <w:adjustRightInd w:val="0"/>
        <w:spacing w:line="360" w:lineRule="auto"/>
        <w:ind w:left="330" w:leftChars="-100" w:right="15" w:rightChars="7" w:hanging="54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36</w:t>
      </w:r>
      <w:r>
        <w:rPr>
          <w:rFonts w:hint="eastAsia" w:ascii="宋体" w:hAnsi="宋体" w:eastAsia="宋体" w:cs="宋体"/>
          <w:color w:val="auto"/>
          <w:szCs w:val="21"/>
          <w:highlight w:val="none"/>
          <w:lang w:val="zh-CN"/>
        </w:rPr>
        <w:t>.1</w:t>
      </w:r>
      <w:r>
        <w:rPr>
          <w:rFonts w:hint="eastAsia" w:ascii="宋体" w:hAnsi="宋体" w:eastAsia="宋体" w:cs="宋体"/>
          <w:color w:val="auto"/>
          <w:szCs w:val="21"/>
          <w:highlight w:val="none"/>
          <w:lang w:val="zh-CN"/>
        </w:rPr>
        <w:tab/>
      </w:r>
      <w:r>
        <w:rPr>
          <w:rFonts w:hint="eastAsia" w:ascii="宋体" w:hAnsi="宋体" w:eastAsia="宋体" w:cs="宋体"/>
          <w:b/>
          <w:color w:val="auto"/>
          <w:szCs w:val="21"/>
          <w:highlight w:val="none"/>
          <w:u w:val="single"/>
          <w:lang w:val="zh-CN"/>
        </w:rPr>
        <w:t>中标人在自中标通知书发出之日起30日内，按照招标文件和中标人的投标文件的约定，与</w:t>
      </w:r>
      <w:r>
        <w:rPr>
          <w:rFonts w:hint="eastAsia" w:ascii="宋体" w:hAnsi="宋体" w:eastAsia="宋体" w:cs="宋体"/>
          <w:b/>
          <w:bCs/>
          <w:color w:val="auto"/>
          <w:kern w:val="2"/>
          <w:sz w:val="21"/>
          <w:szCs w:val="21"/>
          <w:highlight w:val="none"/>
          <w:u w:val="single"/>
          <w:lang w:val="zh-CN"/>
        </w:rPr>
        <w:t>招标人</w:t>
      </w:r>
      <w:r>
        <w:rPr>
          <w:rFonts w:hint="eastAsia" w:ascii="宋体" w:hAnsi="宋体" w:eastAsia="宋体" w:cs="宋体"/>
          <w:b/>
          <w:color w:val="auto"/>
          <w:szCs w:val="21"/>
          <w:highlight w:val="none"/>
          <w:u w:val="single"/>
          <w:lang w:val="zh-CN"/>
        </w:rPr>
        <w:t>签订书面合同，具体签订方式以招标人通知为准。否则招标人有权取消中标资格并按招标文件及法律、法规的规定进行处理</w:t>
      </w:r>
      <w:r>
        <w:rPr>
          <w:rFonts w:hint="eastAsia" w:ascii="宋体" w:hAnsi="宋体" w:eastAsia="宋体" w:cs="宋体"/>
          <w:color w:val="auto"/>
          <w:szCs w:val="21"/>
          <w:highlight w:val="none"/>
          <w:lang w:val="zh-CN"/>
        </w:rPr>
        <w:t>。</w:t>
      </w:r>
    </w:p>
    <w:p w14:paraId="2C9C56B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3</w:t>
      </w:r>
      <w:r>
        <w:rPr>
          <w:rFonts w:hint="eastAsia" w:ascii="宋体" w:hAnsi="宋体" w:eastAsia="宋体" w:cs="宋体"/>
          <w:color w:val="auto"/>
          <w:szCs w:val="21"/>
          <w:highlight w:val="none"/>
          <w:lang w:val="en-US" w:eastAsia="zh-CN"/>
        </w:rPr>
        <w:t>6.</w:t>
      </w:r>
      <w:r>
        <w:rPr>
          <w:rFonts w:hint="eastAsia" w:ascii="宋体" w:hAnsi="宋体" w:eastAsia="宋体" w:cs="宋体"/>
          <w:color w:val="auto"/>
          <w:szCs w:val="21"/>
          <w:highlight w:val="none"/>
          <w:lang w:val="zh-CN"/>
        </w:rPr>
        <w:t>2 在签署合同前，招标人可对中标人投标报价明细及附表内的计算或表达上的错误进行修正，修正原则为：</w:t>
      </w:r>
    </w:p>
    <w:p w14:paraId="4BA8BA1A">
      <w:pPr>
        <w:autoSpaceDE w:val="0"/>
        <w:autoSpaceDN w:val="0"/>
        <w:adjustRightInd w:val="0"/>
        <w:snapToGrid w:val="0"/>
        <w:spacing w:line="360" w:lineRule="auto"/>
        <w:ind w:left="315" w:leftChars="100" w:hanging="105" w:hangingChars="50"/>
        <w:jc w:val="left"/>
        <w:rPr>
          <w:rFonts w:hint="eastAsia" w:ascii="宋体" w:hAnsi="宋体" w:eastAsia="宋体" w:cs="Times New Roman"/>
          <w:color w:val="auto"/>
          <w:szCs w:val="21"/>
          <w:highlight w:val="none"/>
          <w:lang w:val="zh-CN"/>
        </w:rPr>
      </w:pPr>
      <w:r>
        <w:rPr>
          <w:rFonts w:hint="eastAsia" w:ascii="宋体" w:hAnsi="宋体" w:eastAsia="宋体" w:cs="Times New Roman"/>
          <w:color w:val="auto"/>
          <w:szCs w:val="21"/>
          <w:highlight w:val="none"/>
          <w:lang w:val="zh-CN"/>
        </w:rPr>
        <w:t>（1）当以数字表示的报价系数与以文字表示的报价系数不一致时，以文字表示的报价系数为准。</w:t>
      </w:r>
    </w:p>
    <w:p w14:paraId="26A6C507">
      <w:pPr>
        <w:autoSpaceDE w:val="0"/>
        <w:autoSpaceDN w:val="0"/>
        <w:adjustRightInd w:val="0"/>
        <w:snapToGrid w:val="0"/>
        <w:spacing w:line="360" w:lineRule="auto"/>
        <w:ind w:left="315" w:leftChars="100" w:hanging="105" w:hangingChars="50"/>
        <w:jc w:val="left"/>
        <w:rPr>
          <w:rFonts w:hint="eastAsia" w:ascii="宋体" w:hAnsi="宋体" w:eastAsia="宋体" w:cs="宋体"/>
          <w:color w:val="0000FF"/>
          <w:szCs w:val="21"/>
          <w:highlight w:val="none"/>
          <w:lang w:val="zh-CN"/>
        </w:rPr>
      </w:pPr>
      <w:r>
        <w:rPr>
          <w:rFonts w:hint="eastAsia" w:ascii="宋体" w:hAnsi="宋体" w:eastAsia="宋体" w:cs="Times New Roman"/>
          <w:color w:val="auto"/>
          <w:szCs w:val="21"/>
          <w:highlight w:val="none"/>
          <w:lang w:val="zh-CN"/>
        </w:rPr>
        <w:t>（2）按前述修正原则排序依次进行修正至唯一值后的报价表经双方确认后，作为合同文件的组成部分。</w:t>
      </w:r>
    </w:p>
    <w:p w14:paraId="051BB533">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3C018ED">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390" w:name="_Toc10371"/>
      <w:bookmarkStart w:id="391" w:name="_Toc6114"/>
      <w:bookmarkStart w:id="392" w:name="_Toc195714258"/>
      <w:bookmarkStart w:id="393" w:name="_Toc486167701"/>
      <w:bookmarkStart w:id="394" w:name="_Toc10513_WPSOffice_Level3"/>
      <w:bookmarkStart w:id="395" w:name="_Toc5304"/>
      <w:bookmarkStart w:id="396" w:name="_Toc142508352"/>
      <w:bookmarkStart w:id="397" w:name="_Toc450662887"/>
      <w:bookmarkStart w:id="398" w:name="_Toc8181"/>
      <w:r>
        <w:rPr>
          <w:rFonts w:hint="eastAsia" w:ascii="宋体" w:hAnsi="宋体" w:eastAsia="宋体" w:cs="宋体"/>
          <w:color w:val="auto"/>
          <w:szCs w:val="21"/>
          <w:highlight w:val="none"/>
        </w:rPr>
        <w:t xml:space="preserve">37 </w:t>
      </w:r>
      <w:r>
        <w:rPr>
          <w:rFonts w:hint="eastAsia" w:ascii="宋体" w:hAnsi="宋体" w:eastAsia="宋体" w:cs="宋体"/>
          <w:color w:val="auto"/>
          <w:szCs w:val="21"/>
          <w:highlight w:val="none"/>
          <w:lang w:val="zh-CN"/>
        </w:rPr>
        <w:t>履约担保</w:t>
      </w:r>
      <w:bookmarkEnd w:id="390"/>
      <w:bookmarkEnd w:id="391"/>
      <w:bookmarkEnd w:id="392"/>
      <w:bookmarkEnd w:id="393"/>
      <w:bookmarkEnd w:id="394"/>
      <w:bookmarkEnd w:id="395"/>
      <w:bookmarkEnd w:id="396"/>
      <w:bookmarkEnd w:id="397"/>
      <w:bookmarkEnd w:id="398"/>
    </w:p>
    <w:p w14:paraId="13406B4C">
      <w:pPr>
        <w:numPr>
          <w:ilvl w:val="1"/>
          <w:numId w:val="0"/>
        </w:numPr>
        <w:autoSpaceDE w:val="0"/>
        <w:autoSpaceDN w:val="0"/>
        <w:adjustRightInd w:val="0"/>
        <w:spacing w:line="360" w:lineRule="auto"/>
        <w:ind w:left="354" w:leftChars="-100" w:right="15" w:rightChars="7" w:hanging="564" w:hangingChars="269"/>
        <w:rPr>
          <w:rFonts w:hint="eastAsia" w:ascii="宋体" w:hAnsi="宋体" w:eastAsia="宋体" w:cs="宋体"/>
          <w:b/>
          <w:bCs/>
          <w:color w:val="auto"/>
          <w:szCs w:val="21"/>
          <w:highlight w:val="none"/>
          <w:lang w:val="zh-CN"/>
        </w:rPr>
      </w:pPr>
      <w:r>
        <w:rPr>
          <w:rFonts w:hint="eastAsia" w:ascii="宋体" w:hAnsi="宋体" w:eastAsia="宋体" w:cs="宋体"/>
          <w:bCs/>
          <w:color w:val="auto"/>
          <w:szCs w:val="21"/>
          <w:highlight w:val="none"/>
        </w:rPr>
        <w:t>37</w:t>
      </w:r>
      <w:r>
        <w:rPr>
          <w:rFonts w:hint="eastAsia" w:ascii="宋体" w:hAnsi="宋体" w:eastAsia="宋体" w:cs="宋体"/>
          <w:bCs/>
          <w:color w:val="auto"/>
          <w:szCs w:val="21"/>
          <w:highlight w:val="none"/>
          <w:lang w:val="zh-CN"/>
        </w:rPr>
        <w:t>.1</w:t>
      </w:r>
      <w:r>
        <w:rPr>
          <w:rFonts w:hint="eastAsia" w:ascii="宋体" w:hAnsi="宋体" w:eastAsia="宋体" w:cs="宋体"/>
          <w:b/>
          <w:bCs/>
          <w:color w:val="auto"/>
          <w:szCs w:val="21"/>
          <w:highlight w:val="none"/>
          <w:lang w:val="zh-CN"/>
        </w:rPr>
        <w:t xml:space="preserve"> </w:t>
      </w:r>
      <w:r>
        <w:rPr>
          <w:rFonts w:hint="eastAsia" w:ascii="宋体" w:hAnsi="宋体" w:eastAsia="宋体" w:cs="宋体"/>
          <w:b/>
          <w:bCs/>
          <w:color w:val="auto"/>
          <w:szCs w:val="21"/>
          <w:highlight w:val="none"/>
          <w:u w:val="single"/>
          <w:lang w:val="zh-CN"/>
        </w:rPr>
        <w:t>中标人应在签订合同前，按本招标文件规定金额及形式要求，向招标人提交不可撤销银行履约保函（或履约保证金</w:t>
      </w:r>
      <w:r>
        <w:rPr>
          <w:rFonts w:hint="eastAsia" w:ascii="宋体" w:hAnsi="宋体" w:eastAsia="宋体" w:cs="宋体"/>
          <w:b/>
          <w:bCs/>
          <w:color w:val="auto"/>
          <w:szCs w:val="21"/>
          <w:highlight w:val="none"/>
          <w:u w:val="single"/>
        </w:rPr>
        <w:t>或履约保证保险</w:t>
      </w:r>
      <w:r>
        <w:rPr>
          <w:rFonts w:hint="eastAsia" w:ascii="宋体" w:hAnsi="宋体" w:eastAsia="宋体" w:cs="宋体"/>
          <w:b/>
          <w:bCs/>
          <w:color w:val="auto"/>
          <w:szCs w:val="21"/>
          <w:highlight w:val="none"/>
          <w:u w:val="single"/>
          <w:lang w:val="zh-CN"/>
        </w:rPr>
        <w:t>或担保公司履约担保书），作为履约担保（所需费用由中标人自行承担），</w:t>
      </w:r>
      <w:r>
        <w:rPr>
          <w:rFonts w:hint="eastAsia" w:ascii="宋体" w:hAnsi="宋体" w:eastAsia="宋体" w:cs="宋体"/>
          <w:b/>
          <w:bCs/>
          <w:color w:val="auto"/>
          <w:kern w:val="0"/>
          <w:szCs w:val="24"/>
          <w:highlight w:val="none"/>
          <w:u w:val="single"/>
        </w:rPr>
        <w:t>否则招标人可取消中标人的中标资格，不予退还其投标保证金。</w:t>
      </w:r>
      <w:r>
        <w:rPr>
          <w:rFonts w:hint="eastAsia" w:ascii="宋体" w:hAnsi="宋体" w:eastAsia="宋体" w:cs="宋体"/>
          <w:b/>
          <w:bCs/>
          <w:color w:val="auto"/>
          <w:szCs w:val="21"/>
          <w:highlight w:val="none"/>
          <w:u w:val="single"/>
          <w:lang w:val="zh-CN"/>
        </w:rPr>
        <w:t>其中，采用履约保证金（银行转账形式）的金额为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暂定合同价（即销售额，不含销项税额）</w:t>
      </w:r>
      <w:r>
        <w:rPr>
          <w:rFonts w:hint="eastAsia" w:ascii="宋体" w:hAnsi="宋体" w:eastAsia="宋体" w:cs="宋体"/>
          <w:b/>
          <w:bCs/>
          <w:color w:val="auto"/>
          <w:szCs w:val="21"/>
          <w:highlight w:val="none"/>
          <w:u w:val="single"/>
          <w:lang w:val="zh-CN"/>
        </w:rPr>
        <w:t>的5%；采用不可撤销银行履约保函（或履约保证保险）形式的金额为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暂定合同价（即销售额，不含销项税额）</w:t>
      </w:r>
      <w:r>
        <w:rPr>
          <w:rFonts w:hint="eastAsia" w:ascii="宋体" w:hAnsi="宋体" w:eastAsia="宋体" w:cs="宋体"/>
          <w:b/>
          <w:bCs/>
          <w:color w:val="auto"/>
          <w:szCs w:val="21"/>
          <w:highlight w:val="none"/>
          <w:u w:val="single"/>
          <w:lang w:val="zh-CN"/>
        </w:rPr>
        <w:t>的8%</w:t>
      </w:r>
      <w:r>
        <w:rPr>
          <w:rFonts w:hint="eastAsia" w:ascii="宋体" w:hAnsi="宋体" w:eastAsia="宋体" w:cs="Times New Roman"/>
          <w:b/>
          <w:bCs/>
          <w:color w:val="auto"/>
          <w:szCs w:val="21"/>
          <w:highlight w:val="none"/>
          <w:u w:val="single"/>
          <w:lang w:val="zh-CN"/>
        </w:rPr>
        <w:t>；</w:t>
      </w:r>
      <w:r>
        <w:rPr>
          <w:rFonts w:hint="eastAsia" w:ascii="宋体" w:hAnsi="宋体" w:eastAsia="宋体" w:cs="宋体"/>
          <w:b/>
          <w:bCs/>
          <w:color w:val="auto"/>
          <w:szCs w:val="21"/>
          <w:highlight w:val="none"/>
          <w:u w:val="single"/>
          <w:lang w:val="zh-CN"/>
        </w:rPr>
        <w:t>采用担保公司履约担保书形式的金额为</w:t>
      </w:r>
      <w:r>
        <w:rPr>
          <w:rFonts w:hint="eastAsia" w:ascii="宋体" w:hAnsi="宋体" w:eastAsia="宋体" w:cs="宋体"/>
          <w:b/>
          <w:bCs/>
          <w:color w:val="auto"/>
          <w:szCs w:val="21"/>
          <w:highlight w:val="none"/>
          <w:u w:val="single"/>
          <w:lang w:val="en-US" w:eastAsia="zh-CN"/>
        </w:rPr>
        <w:t>本项目</w:t>
      </w:r>
      <w:r>
        <w:rPr>
          <w:rFonts w:hint="eastAsia" w:ascii="宋体" w:hAnsi="宋体" w:eastAsia="宋体" w:cs="宋体"/>
          <w:b/>
          <w:bCs/>
          <w:color w:val="auto"/>
          <w:sz w:val="21"/>
          <w:szCs w:val="21"/>
          <w:highlight w:val="none"/>
          <w:u w:val="single"/>
          <w:lang w:val="en-US" w:eastAsia="zh-CN"/>
        </w:rPr>
        <w:t>暂定合同价（即销售额，不含销项税额）</w:t>
      </w:r>
      <w:r>
        <w:rPr>
          <w:rFonts w:hint="eastAsia" w:ascii="宋体" w:hAnsi="宋体" w:eastAsia="宋体" w:cs="宋体"/>
          <w:b/>
          <w:bCs/>
          <w:color w:val="auto"/>
          <w:szCs w:val="21"/>
          <w:highlight w:val="none"/>
          <w:u w:val="single"/>
          <w:lang w:val="zh-CN"/>
        </w:rPr>
        <w:t>的10%</w:t>
      </w:r>
      <w:bookmarkStart w:id="399" w:name="OLE_LINK387"/>
      <w:r>
        <w:rPr>
          <w:rFonts w:hint="eastAsia" w:ascii="宋体" w:hAnsi="宋体" w:eastAsia="宋体" w:cs="宋体"/>
          <w:b/>
          <w:bCs/>
          <w:color w:val="auto"/>
          <w:szCs w:val="21"/>
          <w:highlight w:val="none"/>
          <w:u w:val="single"/>
          <w:lang w:val="zh-CN"/>
        </w:rPr>
        <w:t>。</w:t>
      </w:r>
      <w:bookmarkEnd w:id="399"/>
      <w:r>
        <w:rPr>
          <w:rFonts w:hint="eastAsia" w:ascii="宋体" w:hAnsi="宋体" w:eastAsia="宋体" w:cs="宋体"/>
          <w:bCs/>
          <w:color w:val="auto"/>
          <w:kern w:val="0"/>
          <w:szCs w:val="24"/>
          <w:highlight w:val="none"/>
        </w:rPr>
        <w:t>合同履行过程中，中标人</w:t>
      </w:r>
      <w:r>
        <w:rPr>
          <w:rFonts w:hint="eastAsia" w:ascii="宋体" w:hAnsi="宋体" w:eastAsia="宋体" w:cs="宋体"/>
          <w:color w:val="auto"/>
          <w:kern w:val="0"/>
          <w:szCs w:val="24"/>
          <w:highlight w:val="none"/>
        </w:rPr>
        <w:t>给招标人或</w:t>
      </w:r>
      <w:r>
        <w:rPr>
          <w:rFonts w:hint="eastAsia" w:ascii="宋体" w:hAnsi="宋体" w:eastAsia="宋体" w:cs="宋体"/>
          <w:color w:val="auto"/>
          <w:kern w:val="0"/>
          <w:szCs w:val="24"/>
          <w:highlight w:val="none"/>
          <w:lang w:eastAsia="zh-CN"/>
        </w:rPr>
        <w:t>招标人权属分公司</w:t>
      </w:r>
      <w:r>
        <w:rPr>
          <w:rFonts w:hint="eastAsia" w:ascii="宋体" w:hAnsi="宋体" w:eastAsia="宋体" w:cs="宋体"/>
          <w:color w:val="auto"/>
          <w:kern w:val="0"/>
          <w:szCs w:val="24"/>
          <w:highlight w:val="none"/>
        </w:rPr>
        <w:t>造成的损失超过履约担保数额的，中标人还应当对超过部分予以赔偿，招标人并依法追究中标人的相应责任。</w:t>
      </w:r>
    </w:p>
    <w:p w14:paraId="28F15A8B">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37.2 履约担保用于补偿招标人或</w:t>
      </w:r>
      <w:r>
        <w:rPr>
          <w:rFonts w:hint="eastAsia" w:ascii="宋体" w:hAnsi="宋体" w:eastAsia="宋体" w:cs="宋体"/>
          <w:color w:val="auto"/>
          <w:kern w:val="0"/>
          <w:szCs w:val="21"/>
          <w:highlight w:val="none"/>
          <w:lang w:eastAsia="zh-CN"/>
        </w:rPr>
        <w:t>招标人权属分公司</w:t>
      </w:r>
      <w:r>
        <w:rPr>
          <w:rFonts w:hint="eastAsia" w:ascii="宋体" w:hAnsi="宋体" w:eastAsia="宋体" w:cs="宋体"/>
          <w:color w:val="auto"/>
          <w:kern w:val="0"/>
          <w:szCs w:val="21"/>
          <w:highlight w:val="none"/>
        </w:rPr>
        <w:t>因中标人不能完全履行其合同义务而蒙受的损失。如发生下列任一情况时，招标人有权按对应方式处理：</w:t>
      </w:r>
    </w:p>
    <w:p w14:paraId="224B9F7F">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（1）中标人将合同项下中标人的权利义务全部转让给第三方，或未经招标人书面同意将部分权利义务转让给第三方的，招标人有权没收其履约担保，同时按本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合同“十一、违约责任”追究其他责任。</w:t>
      </w:r>
    </w:p>
    <w:p w14:paraId="5B87D353">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rPr>
        <w:t>）在合同履行期间，因中标人原因（包括但不限于服务质量问题、资金链问题拖欠工资/货款）造成损害、侵权损失（包括但不限于</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或招标人权属分公司、第三人的人身/财产损失等）、或因</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rPr>
        <w:t>与其员工的争议影响</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的正常经营秩序或损害</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商誉的，中标人未在10个工作日内妥善处理的，</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有权使用履约担保补偿实际损失（如第三方赔偿款），违约金等违约责任按本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合同“十一、违约责任”另行追究。</w:t>
      </w:r>
    </w:p>
    <w:p w14:paraId="70613227">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rPr>
        <w:t>）在合同履行期间，中标人违约产生的违约金、赔偿、罚款或其他应付费用等款项，招标人有权</w:t>
      </w:r>
      <w:r>
        <w:rPr>
          <w:rFonts w:hint="eastAsia" w:ascii="宋体" w:hAnsi="宋体" w:eastAsia="宋体" w:cs="宋体"/>
          <w:color w:val="auto"/>
          <w:kern w:val="0"/>
          <w:szCs w:val="21"/>
          <w:highlight w:val="none"/>
          <w:lang w:val="en-US" w:eastAsia="zh-CN"/>
        </w:rPr>
        <w:t>优先</w:t>
      </w:r>
      <w:r>
        <w:rPr>
          <w:rFonts w:hint="eastAsia" w:ascii="宋体" w:hAnsi="宋体" w:eastAsia="宋体" w:cs="宋体"/>
          <w:color w:val="auto"/>
          <w:kern w:val="0"/>
          <w:szCs w:val="21"/>
          <w:highlight w:val="none"/>
        </w:rPr>
        <w:t>直接从未付款项中直接扣除</w:t>
      </w:r>
      <w:r>
        <w:rPr>
          <w:rFonts w:hint="eastAsia" w:ascii="宋体" w:hAnsi="宋体" w:eastAsia="宋体" w:cs="宋体"/>
          <w:color w:val="auto"/>
          <w:kern w:val="0"/>
          <w:szCs w:val="21"/>
          <w:highlight w:val="none"/>
          <w:lang w:eastAsia="zh-CN"/>
        </w:rPr>
        <w:t>；</w:t>
      </w:r>
      <w:r>
        <w:rPr>
          <w:rFonts w:hint="eastAsia" w:eastAsia="宋体" w:cs="宋体"/>
          <w:sz w:val="21"/>
          <w:szCs w:val="21"/>
          <w:highlight w:val="none"/>
          <w:lang w:val="en-US" w:eastAsia="zh-CN"/>
        </w:rPr>
        <w:t>未付款项不足抵扣的，可</w:t>
      </w:r>
      <w:r>
        <w:rPr>
          <w:rFonts w:hint="eastAsia" w:ascii="宋体" w:hAnsi="宋体" w:eastAsia="宋体" w:cs="宋体"/>
          <w:color w:val="auto"/>
          <w:kern w:val="0"/>
          <w:szCs w:val="21"/>
          <w:highlight w:val="none"/>
        </w:rPr>
        <w:t>启用履约担保支付</w:t>
      </w:r>
      <w:r>
        <w:rPr>
          <w:rFonts w:hint="eastAsia" w:eastAsia="宋体" w:cs="宋体"/>
          <w:sz w:val="21"/>
          <w:szCs w:val="21"/>
          <w:highlight w:val="none"/>
          <w:lang w:val="en-US" w:eastAsia="zh-CN"/>
        </w:rPr>
        <w:t>差额；仍有不足的，中标人还应补足</w:t>
      </w:r>
      <w:r>
        <w:rPr>
          <w:rFonts w:hint="eastAsia" w:ascii="宋体" w:hAnsi="宋体" w:eastAsia="宋体" w:cs="宋体"/>
          <w:color w:val="auto"/>
          <w:kern w:val="0"/>
          <w:szCs w:val="21"/>
          <w:highlight w:val="none"/>
        </w:rPr>
        <w:t>。</w:t>
      </w:r>
    </w:p>
    <w:p w14:paraId="68AEA766">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4</w:t>
      </w:r>
      <w:r>
        <w:rPr>
          <w:rFonts w:hint="eastAsia" w:ascii="宋体" w:hAnsi="宋体" w:eastAsia="宋体" w:cs="宋体"/>
          <w:color w:val="auto"/>
          <w:kern w:val="0"/>
          <w:szCs w:val="21"/>
          <w:highlight w:val="none"/>
        </w:rPr>
        <w:t>）合同期内，中标人不能及时完成某项合同义务</w:t>
      </w:r>
      <w:r>
        <w:rPr>
          <w:rFonts w:hint="eastAsia" w:eastAsia="宋体" w:cs="宋体"/>
          <w:sz w:val="21"/>
          <w:szCs w:val="21"/>
          <w:highlight w:val="none"/>
        </w:rPr>
        <w:t>（如未及时开展除“四害”服务、未按时</w:t>
      </w:r>
      <w:r>
        <w:rPr>
          <w:rFonts w:hint="eastAsia" w:eastAsia="宋体" w:cs="宋体"/>
          <w:sz w:val="21"/>
          <w:szCs w:val="21"/>
          <w:highlight w:val="none"/>
          <w:lang w:val="en-US" w:eastAsia="zh-CN"/>
        </w:rPr>
        <w:t>修剪乔木</w:t>
      </w:r>
      <w:r>
        <w:rPr>
          <w:rFonts w:hint="eastAsia" w:eastAsia="宋体" w:cs="宋体"/>
          <w:sz w:val="21"/>
          <w:szCs w:val="21"/>
          <w:highlight w:val="none"/>
        </w:rPr>
        <w:t>）</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招标人</w:t>
      </w:r>
      <w:r>
        <w:rPr>
          <w:rFonts w:hint="eastAsia" w:ascii="宋体" w:hAnsi="宋体" w:eastAsia="宋体" w:cs="宋体"/>
          <w:color w:val="auto"/>
          <w:kern w:val="0"/>
          <w:szCs w:val="21"/>
          <w:highlight w:val="none"/>
        </w:rPr>
        <w:t>委托第三方代为处理的，招标人有权提取履约担保用于</w:t>
      </w:r>
      <w:r>
        <w:rPr>
          <w:rFonts w:hint="eastAsia" w:eastAsia="宋体" w:cs="宋体"/>
          <w:sz w:val="21"/>
          <w:szCs w:val="21"/>
          <w:highlight w:val="none"/>
        </w:rPr>
        <w:t>支付第三方服务费用</w:t>
      </w:r>
      <w:r>
        <w:rPr>
          <w:rFonts w:hint="eastAsia" w:ascii="宋体" w:hAnsi="宋体" w:eastAsia="宋体" w:cs="宋体"/>
          <w:color w:val="auto"/>
          <w:kern w:val="0"/>
          <w:szCs w:val="21"/>
          <w:highlight w:val="none"/>
        </w:rPr>
        <w:t>。</w:t>
      </w:r>
    </w:p>
    <w:p w14:paraId="5656B45D">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lang w:val="en-US" w:eastAsia="zh-CN"/>
        </w:rPr>
        <w:t>5</w:t>
      </w:r>
      <w:r>
        <w:rPr>
          <w:rFonts w:hint="eastAsia" w:ascii="宋体" w:hAnsi="宋体" w:eastAsia="宋体" w:cs="宋体"/>
          <w:color w:val="auto"/>
          <w:kern w:val="0"/>
          <w:szCs w:val="21"/>
          <w:highlight w:val="none"/>
        </w:rPr>
        <w:t>）其他根据本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rPr>
        <w:t>合同约定或法律规定，招标人可</w:t>
      </w:r>
      <w:r>
        <w:rPr>
          <w:rFonts w:hint="eastAsia" w:ascii="宋体" w:hAnsi="宋体" w:eastAsia="宋体" w:cs="宋体"/>
          <w:color w:val="auto"/>
          <w:kern w:val="0"/>
          <w:szCs w:val="21"/>
          <w:highlight w:val="none"/>
          <w:lang w:val="en-US" w:eastAsia="zh-CN"/>
        </w:rPr>
        <w:t>使用</w:t>
      </w:r>
      <w:r>
        <w:rPr>
          <w:rFonts w:hint="eastAsia" w:ascii="宋体" w:hAnsi="宋体" w:eastAsia="宋体" w:cs="宋体"/>
          <w:color w:val="auto"/>
          <w:kern w:val="0"/>
          <w:szCs w:val="21"/>
          <w:highlight w:val="none"/>
        </w:rPr>
        <w:t>履约担保的情形。</w:t>
      </w:r>
    </w:p>
    <w:p w14:paraId="222A576F">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400" w:name="_Toc32290"/>
      <w:r>
        <w:rPr>
          <w:rFonts w:hint="eastAsia" w:ascii="宋体" w:hAnsi="宋体" w:eastAsia="宋体" w:cs="宋体"/>
          <w:color w:val="auto"/>
          <w:kern w:val="0"/>
          <w:szCs w:val="21"/>
          <w:highlight w:val="none"/>
        </w:rPr>
        <w:t>37.3  履约担保应符合如下规定：</w:t>
      </w:r>
      <w:bookmarkEnd w:id="400"/>
    </w:p>
    <w:p w14:paraId="0EAD2669">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（1）出具履约保函的银行必须是境内支行一级以上机构，并经招标人同意，执行本款时所发生的费用由中标人承担。</w:t>
      </w:r>
    </w:p>
    <w:p w14:paraId="53D82DB1">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履约担保格式应采用招标文件中提供的（格式参见第五篇），投标人如以履约保函（或履约保证保险或担保公司履约担保书）形式提供履约担保的，投标前应当自行向其拟申请开具保函的银行（或保险或担保）机构落实履约保函（或履约保证保险或担保公司履约担保书）格式情况，以确保能按本招标文件规定的格式提供保函。如使用其他格式的履约保函（或履约保证保险或担保公司履约担保书），须事先经招标人的书面同意。</w:t>
      </w:r>
    </w:p>
    <w:p w14:paraId="5850DEE4">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（3）提供担保</w:t>
      </w:r>
      <w:r>
        <w:rPr>
          <w:rFonts w:hint="eastAsia" w:ascii="宋体" w:hAnsi="宋体" w:eastAsia="宋体" w:cs="宋体"/>
          <w:color w:val="auto"/>
          <w:kern w:val="0"/>
          <w:szCs w:val="21"/>
          <w:highlight w:val="none"/>
          <w:lang w:val="en-US" w:eastAsia="zh-CN"/>
        </w:rPr>
        <w:t>书</w:t>
      </w:r>
      <w:r>
        <w:rPr>
          <w:rFonts w:hint="eastAsia" w:ascii="宋体" w:hAnsi="宋体" w:eastAsia="宋体" w:cs="宋体"/>
          <w:color w:val="auto"/>
          <w:kern w:val="0"/>
          <w:szCs w:val="21"/>
          <w:highlight w:val="none"/>
        </w:rPr>
        <w:t>的担保机构经济性质须为东莞市国有企业，或政府性融资担保机构（中标人须提供能证明其属于政府性融资担保机构的证明文件），并经招标人同意，执行本款时所发生的费用由中标人承担。如招标人合同条款接受担保公司预付款担保函的，对担保机构要求参照本条执行。</w:t>
      </w:r>
    </w:p>
    <w:p w14:paraId="65E82C66">
      <w:pPr>
        <w:tabs>
          <w:tab w:val="left" w:pos="360"/>
          <w:tab w:val="left" w:pos="4725"/>
        </w:tabs>
        <w:autoSpaceDE w:val="0"/>
        <w:autoSpaceDN w:val="0"/>
        <w:adjustRightInd w:val="0"/>
        <w:spacing w:line="360" w:lineRule="auto"/>
        <w:ind w:left="357" w:leftChars="-100" w:hanging="567" w:hangingChars="27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（4）如果中标人提交的履约担保的有效期届满时间先于招标文件、合同文件要求的，中标人应在原提交的履约担保有效期届满前15日内，无条件办理</w:t>
      </w:r>
      <w:r>
        <w:rPr>
          <w:rFonts w:hint="eastAsia" w:ascii="宋体" w:hAnsi="宋体" w:eastAsia="宋体" w:cs="宋体"/>
          <w:color w:val="auto"/>
          <w:kern w:val="0"/>
          <w:szCs w:val="21"/>
          <w:highlight w:val="none"/>
          <w:lang w:val="en-US" w:eastAsia="zh-CN"/>
        </w:rPr>
        <w:t>办妥</w:t>
      </w:r>
      <w:r>
        <w:rPr>
          <w:rFonts w:hint="eastAsia" w:ascii="宋体" w:hAnsi="宋体" w:eastAsia="宋体" w:cs="宋体"/>
          <w:color w:val="auto"/>
          <w:kern w:val="0"/>
          <w:szCs w:val="21"/>
          <w:highlight w:val="none"/>
        </w:rPr>
        <w:t>延期手续或重新提供不可撤销银行履约保函或履约保证保险</w:t>
      </w:r>
      <w:r>
        <w:rPr>
          <w:rFonts w:hint="eastAsia" w:ascii="宋体" w:hAnsi="宋体" w:eastAsia="宋体" w:cs="宋体"/>
          <w:color w:val="auto"/>
          <w:kern w:val="0"/>
          <w:szCs w:val="21"/>
          <w:highlight w:val="none"/>
          <w:lang w:val="en-US" w:eastAsia="zh-CN"/>
        </w:rPr>
        <w:t>或</w:t>
      </w:r>
      <w:r>
        <w:rPr>
          <w:rFonts w:hint="eastAsia" w:ascii="宋体" w:hAnsi="宋体" w:eastAsia="宋体" w:cs="宋体"/>
          <w:color w:val="auto"/>
          <w:kern w:val="0"/>
          <w:szCs w:val="21"/>
          <w:highlight w:val="none"/>
        </w:rPr>
        <w:t>担保公司履约担保书，否则视为中标人违约，招标人有权在不可撤销银行履约保函或履约保证保险或担保公司履约担保书到期前向出具履约担保的机构提取履约担保。在不可撤销银行履约保函（或履约保证保险或担保公司履约担保书）到期后中标人未按招标人要求重新提供的，招标人有权要求中标人以履约担保金额为限承担违约金，违约金可直接从未付</w:t>
      </w:r>
      <w:r>
        <w:rPr>
          <w:rFonts w:hint="eastAsia" w:ascii="宋体" w:hAnsi="宋体" w:eastAsia="宋体" w:cs="宋体"/>
          <w:color w:val="auto"/>
          <w:kern w:val="0"/>
          <w:szCs w:val="21"/>
          <w:highlight w:val="none"/>
          <w:lang w:val="en-US" w:eastAsia="zh-CN"/>
        </w:rPr>
        <w:t>服务费</w:t>
      </w:r>
      <w:r>
        <w:rPr>
          <w:rFonts w:hint="eastAsia" w:ascii="宋体" w:hAnsi="宋体" w:eastAsia="宋体" w:cs="宋体"/>
          <w:color w:val="auto"/>
          <w:kern w:val="0"/>
          <w:szCs w:val="21"/>
          <w:highlight w:val="none"/>
        </w:rPr>
        <w:t>中扣除。</w:t>
      </w:r>
    </w:p>
    <w:p w14:paraId="20D5FC09">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（5）在合同履行过程中，</w:t>
      </w:r>
      <w:r>
        <w:rPr>
          <w:rFonts w:hint="eastAsia" w:ascii="宋体" w:hAnsi="宋体" w:eastAsia="宋体" w:cs="宋体"/>
          <w:color w:val="auto"/>
          <w:kern w:val="0"/>
          <w:szCs w:val="21"/>
          <w:highlight w:val="none"/>
          <w:lang w:val="en-US" w:eastAsia="zh-CN"/>
        </w:rPr>
        <w:t>因提取</w:t>
      </w:r>
      <w:r>
        <w:rPr>
          <w:rFonts w:hint="eastAsia" w:ascii="宋体" w:hAnsi="宋体" w:eastAsia="宋体" w:cs="宋体"/>
          <w:color w:val="auto"/>
          <w:kern w:val="0"/>
          <w:szCs w:val="21"/>
          <w:highlight w:val="none"/>
        </w:rPr>
        <w:t>履约担保</w:t>
      </w:r>
      <w:r>
        <w:rPr>
          <w:rFonts w:hint="eastAsia" w:ascii="宋体" w:hAnsi="宋体" w:eastAsia="宋体" w:cs="宋体"/>
          <w:color w:val="auto"/>
          <w:kern w:val="0"/>
          <w:szCs w:val="21"/>
          <w:highlight w:val="none"/>
          <w:lang w:val="en-US" w:eastAsia="zh-CN"/>
        </w:rPr>
        <w:t>导致担保数额</w:t>
      </w:r>
      <w:r>
        <w:rPr>
          <w:rFonts w:hint="eastAsia" w:ascii="宋体" w:hAnsi="宋体" w:eastAsia="宋体" w:cs="宋体"/>
          <w:color w:val="auto"/>
          <w:kern w:val="0"/>
          <w:szCs w:val="21"/>
          <w:highlight w:val="none"/>
        </w:rPr>
        <w:t>不符合招标文件要求的，中标人应当在5日内予以补足。逾期不予补足的，招标人有权按需补足的金额要求中标人承担违约金，并要求限期补足。如中标人仍不补足的，招标人有权单方解除合同，违约金可直接从未付合同款或履约担保中扣除。</w:t>
      </w:r>
    </w:p>
    <w:p w14:paraId="3C419012">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（6）不可撤销银行履约保函（或履约保证保险或担保公司履约担保书）</w:t>
      </w:r>
      <w:r>
        <w:rPr>
          <w:rFonts w:hint="eastAsia" w:ascii="宋体" w:hAnsi="宋体" w:eastAsia="宋体" w:cs="宋体"/>
          <w:color w:val="auto"/>
          <w:kern w:val="0"/>
          <w:szCs w:val="21"/>
          <w:highlight w:val="none"/>
          <w:lang w:eastAsia="zh-CN"/>
        </w:rPr>
        <w:t>应从合同签订之日起（或签订合同前）至合同期限届满并</w:t>
      </w:r>
      <w:r>
        <w:rPr>
          <w:rFonts w:hint="eastAsia" w:ascii="宋体" w:hAnsi="宋体" w:eastAsia="宋体" w:cs="宋体"/>
          <w:color w:val="auto"/>
          <w:kern w:val="0"/>
          <w:szCs w:val="21"/>
          <w:highlight w:val="none"/>
          <w:lang w:val="en-US" w:eastAsia="zh-CN"/>
        </w:rPr>
        <w:t>且中标人</w:t>
      </w:r>
      <w:r>
        <w:rPr>
          <w:rFonts w:hint="eastAsia" w:ascii="宋体" w:hAnsi="宋体" w:eastAsia="宋体" w:cs="宋体"/>
          <w:color w:val="auto"/>
          <w:kern w:val="0"/>
          <w:szCs w:val="21"/>
          <w:highlight w:val="none"/>
          <w:lang w:eastAsia="zh-CN"/>
        </w:rPr>
        <w:t>完成本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lang w:eastAsia="zh-CN"/>
        </w:rPr>
        <w:t>合同及本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lang w:eastAsia="zh-CN"/>
        </w:rPr>
        <w:t>合同下所有补充协议的全部服务义务，</w:t>
      </w:r>
      <w:r>
        <w:rPr>
          <w:rFonts w:hint="eastAsia" w:ascii="宋体" w:hAnsi="宋体" w:eastAsia="宋体" w:cs="宋体"/>
          <w:color w:val="auto"/>
          <w:kern w:val="0"/>
          <w:szCs w:val="21"/>
          <w:highlight w:val="none"/>
        </w:rPr>
        <w:t>招标人或</w:t>
      </w:r>
      <w:r>
        <w:rPr>
          <w:rFonts w:hint="eastAsia" w:ascii="宋体" w:hAnsi="宋体" w:eastAsia="宋体" w:cs="宋体"/>
          <w:color w:val="auto"/>
          <w:kern w:val="0"/>
          <w:szCs w:val="21"/>
          <w:highlight w:val="none"/>
          <w:lang w:eastAsia="zh-CN"/>
        </w:rPr>
        <w:t>招标人权属分公司</w:t>
      </w:r>
      <w:r>
        <w:rPr>
          <w:rFonts w:hint="eastAsia" w:ascii="宋体" w:hAnsi="宋体" w:eastAsia="宋体" w:cs="宋体"/>
          <w:color w:val="auto"/>
          <w:kern w:val="0"/>
          <w:szCs w:val="21"/>
          <w:highlight w:val="none"/>
        </w:rPr>
        <w:t>向中标人</w:t>
      </w:r>
      <w:r>
        <w:rPr>
          <w:rFonts w:hint="eastAsia" w:ascii="宋体" w:hAnsi="宋体" w:eastAsia="宋体" w:cs="宋体"/>
          <w:color w:val="auto"/>
          <w:kern w:val="0"/>
          <w:szCs w:val="21"/>
          <w:highlight w:val="none"/>
          <w:lang w:eastAsia="zh-CN"/>
        </w:rPr>
        <w:t>支付全部款项后二十八（28）日内保持有效</w:t>
      </w:r>
      <w:r>
        <w:rPr>
          <w:rFonts w:hint="eastAsia" w:ascii="宋体" w:hAnsi="宋体" w:eastAsia="宋体" w:cs="宋体"/>
          <w:color w:val="auto"/>
          <w:kern w:val="0"/>
          <w:szCs w:val="21"/>
          <w:highlight w:val="none"/>
        </w:rPr>
        <w:t>。</w:t>
      </w:r>
    </w:p>
    <w:p w14:paraId="1E048775">
      <w:pPr>
        <w:tabs>
          <w:tab w:val="left" w:pos="360"/>
          <w:tab w:val="left" w:pos="4725"/>
        </w:tabs>
        <w:autoSpaceDE w:val="0"/>
        <w:autoSpaceDN w:val="0"/>
        <w:adjustRightInd w:val="0"/>
        <w:spacing w:line="360" w:lineRule="auto"/>
        <w:ind w:left="315" w:leftChars="-100" w:hanging="525" w:hangingChars="250"/>
        <w:jc w:val="left"/>
        <w:outlineLvl w:val="9"/>
        <w:rPr>
          <w:rFonts w:hint="eastAsia" w:ascii="宋体" w:hAnsi="宋体" w:eastAsia="宋体" w:cs="宋体"/>
          <w:color w:val="auto"/>
          <w:kern w:val="0"/>
          <w:szCs w:val="21"/>
          <w:highlight w:val="none"/>
        </w:rPr>
      </w:pPr>
      <w:bookmarkStart w:id="401" w:name="_Toc26730"/>
      <w:r>
        <w:rPr>
          <w:rFonts w:hint="eastAsia" w:ascii="宋体" w:hAnsi="宋体" w:eastAsia="宋体" w:cs="宋体"/>
          <w:color w:val="auto"/>
          <w:kern w:val="0"/>
          <w:szCs w:val="21"/>
          <w:highlight w:val="none"/>
        </w:rPr>
        <w:t>37.4  履约保证金应用本合同货币。</w:t>
      </w:r>
      <w:bookmarkEnd w:id="401"/>
    </w:p>
    <w:p w14:paraId="694E2CD9">
      <w:pPr>
        <w:tabs>
          <w:tab w:val="left" w:pos="360"/>
          <w:tab w:val="left" w:pos="4725"/>
        </w:tabs>
        <w:autoSpaceDE w:val="0"/>
        <w:autoSpaceDN w:val="0"/>
        <w:adjustRightInd w:val="0"/>
        <w:spacing w:line="360" w:lineRule="auto"/>
        <w:ind w:left="315" w:leftChars="-100" w:hanging="525" w:hangingChars="25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37.5  中标人也可以按招标文件约定的额度和时间，向招标人交纳同等数额的履约保证金作为履约担保。如中标人提交的履约保证金是其分支机构以转账形式转入的，要提交中标人的法人书面授权，不接受由私人账户和其它单位转入的保证金，也不接受现金形式提交。履约保证金应以存入招标人指定的以下银行账户为准。</w:t>
      </w:r>
    </w:p>
    <w:p w14:paraId="0A832191">
      <w:pPr>
        <w:tabs>
          <w:tab w:val="left" w:pos="360"/>
          <w:tab w:val="left" w:pos="4725"/>
        </w:tabs>
        <w:autoSpaceDE w:val="0"/>
        <w:autoSpaceDN w:val="0"/>
        <w:adjustRightInd w:val="0"/>
        <w:spacing w:line="360" w:lineRule="auto"/>
        <w:ind w:firstLine="632" w:firstLineChars="300"/>
        <w:jc w:val="left"/>
        <w:outlineLvl w:val="9"/>
        <w:rPr>
          <w:rFonts w:hint="eastAsia" w:ascii="宋体" w:hAnsi="宋体" w:eastAsia="宋体" w:cs="宋体"/>
          <w:b/>
          <w:color w:val="auto"/>
          <w:kern w:val="0"/>
          <w:szCs w:val="21"/>
          <w:highlight w:val="none"/>
        </w:rPr>
      </w:pPr>
      <w:bookmarkStart w:id="402" w:name="_Toc26661"/>
      <w:r>
        <w:rPr>
          <w:rFonts w:hint="eastAsia" w:ascii="宋体" w:hAnsi="宋体" w:eastAsia="宋体" w:cs="宋体"/>
          <w:b/>
          <w:color w:val="auto"/>
          <w:kern w:val="0"/>
          <w:szCs w:val="21"/>
          <w:highlight w:val="none"/>
        </w:rPr>
        <w:t>履约保证金账户：</w:t>
      </w:r>
      <w:r>
        <w:rPr>
          <w:rFonts w:hint="eastAsia" w:ascii="宋体" w:hAnsi="宋体" w:eastAsia="宋体" w:cs="宋体"/>
          <w:b/>
          <w:color w:val="auto"/>
          <w:kern w:val="0"/>
          <w:szCs w:val="21"/>
          <w:highlight w:val="none"/>
          <w:u w:val="single"/>
        </w:rPr>
        <w:t>（特别提醒，本账户非投标保证金账户）</w:t>
      </w:r>
      <w:bookmarkEnd w:id="402"/>
    </w:p>
    <w:p w14:paraId="757162B7">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lang w:eastAsia="zh-CN"/>
        </w:rPr>
      </w:pPr>
      <w:r>
        <w:rPr>
          <w:rFonts w:hint="eastAsia" w:ascii="宋体" w:hAnsi="宋体" w:eastAsia="宋体" w:cs="宋体"/>
          <w:b/>
          <w:color w:val="auto"/>
          <w:kern w:val="0"/>
          <w:szCs w:val="21"/>
          <w:highlight w:val="none"/>
        </w:rPr>
        <w:t>开户名称：</w:t>
      </w:r>
      <w:r>
        <w:rPr>
          <w:rFonts w:hint="eastAsia" w:ascii="宋体" w:hAnsi="宋体" w:eastAsia="宋体" w:cs="宋体"/>
          <w:b/>
          <w:color w:val="auto"/>
          <w:kern w:val="0"/>
          <w:szCs w:val="21"/>
          <w:highlight w:val="none"/>
          <w:lang w:eastAsia="zh-CN"/>
        </w:rPr>
        <w:t>东莞市水务环境投资控股集团供水有限公司</w:t>
      </w:r>
    </w:p>
    <w:p w14:paraId="5864C71B">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银行账号：4400 1778 8080 5999 9998</w:t>
      </w:r>
    </w:p>
    <w:p w14:paraId="150025BC">
      <w:pPr>
        <w:autoSpaceDE w:val="0"/>
        <w:autoSpaceDN w:val="0"/>
        <w:adjustRightInd w:val="0"/>
        <w:snapToGrid w:val="0"/>
        <w:spacing w:line="360" w:lineRule="auto"/>
        <w:ind w:firstLine="632" w:firstLineChars="30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开户银行：建行东莞分行营业部</w:t>
      </w:r>
    </w:p>
    <w:bookmarkEnd w:id="361"/>
    <w:bookmarkEnd w:id="362"/>
    <w:p w14:paraId="43D32E77">
      <w:pPr>
        <w:autoSpaceDE w:val="0"/>
        <w:autoSpaceDN w:val="0"/>
        <w:adjustRightInd w:val="0"/>
        <w:spacing w:line="360" w:lineRule="auto"/>
        <w:ind w:left="420" w:leftChars="-100" w:hanging="630" w:hangingChars="3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37.6  中标</w:t>
      </w:r>
      <w:r>
        <w:rPr>
          <w:rFonts w:hint="eastAsia" w:ascii="宋体" w:hAnsi="宋体" w:eastAsia="宋体" w:cs="宋体"/>
          <w:color w:val="auto"/>
          <w:kern w:val="0"/>
          <w:szCs w:val="24"/>
          <w:highlight w:val="none"/>
        </w:rPr>
        <w:t>单位提交了履约担保后，当履约保证金转达招标人履约保证金账户后，</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人将履约保证金的汇款凭证用A4纸</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w:t>
      </w:r>
      <w:r>
        <w:rPr>
          <w:rFonts w:hint="eastAsia" w:ascii="宋体" w:hAnsi="宋体" w:eastAsia="宋体" w:cs="宋体"/>
          <w:bCs/>
          <w:color w:val="auto"/>
          <w:kern w:val="0"/>
          <w:szCs w:val="24"/>
          <w:highlight w:val="none"/>
        </w:rPr>
        <w:t>注明</w:t>
      </w:r>
      <w:r>
        <w:rPr>
          <w:rFonts w:hint="eastAsia" w:ascii="宋体" w:hAnsi="宋体" w:eastAsia="宋体" w:cs="宋体"/>
          <w:bCs/>
          <w:color w:val="auto"/>
          <w:szCs w:val="21"/>
          <w:highlight w:val="none"/>
          <w:lang w:val="zh-CN"/>
        </w:rPr>
        <w:t>招标</w:t>
      </w:r>
      <w:r>
        <w:rPr>
          <w:rFonts w:hint="eastAsia" w:ascii="宋体" w:hAnsi="宋体" w:eastAsia="宋体" w:cs="宋体"/>
          <w:bCs/>
          <w:color w:val="auto"/>
          <w:kern w:val="0"/>
          <w:szCs w:val="24"/>
          <w:highlight w:val="none"/>
        </w:rPr>
        <w:t>编号</w:t>
      </w:r>
      <w:r>
        <w:rPr>
          <w:rFonts w:hint="eastAsia" w:ascii="宋体" w:hAnsi="宋体" w:eastAsia="宋体" w:cs="宋体"/>
          <w:color w:val="auto"/>
          <w:kern w:val="0"/>
          <w:szCs w:val="24"/>
          <w:highlight w:val="none"/>
        </w:rPr>
        <w:t>）一式二份并加盖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人的公章送招标代理机构，[或当中标人采取不可撤销银行履约保函（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或担保公司履约担保书）的方式缴纳履约担保时，中标人将不可撤销银行履约保函（</w:t>
      </w:r>
      <w:r>
        <w:rPr>
          <w:rFonts w:hint="eastAsia" w:ascii="宋体" w:hAnsi="宋体" w:eastAsia="宋体" w:cs="宋体"/>
          <w:color w:val="auto"/>
          <w:kern w:val="0"/>
          <w:szCs w:val="21"/>
          <w:highlight w:val="none"/>
        </w:rPr>
        <w:t>或履约保证保险</w:t>
      </w:r>
      <w:r>
        <w:rPr>
          <w:rFonts w:hint="eastAsia" w:ascii="宋体" w:hAnsi="宋体" w:eastAsia="宋体" w:cs="宋体"/>
          <w:color w:val="auto"/>
          <w:kern w:val="0"/>
          <w:szCs w:val="24"/>
          <w:highlight w:val="none"/>
        </w:rPr>
        <w:t>或担保公司履约担保书）原件</w:t>
      </w:r>
      <w:r>
        <w:rPr>
          <w:rFonts w:hint="eastAsia" w:ascii="宋体" w:hAnsi="宋体" w:eastAsia="宋体" w:cs="宋体"/>
          <w:color w:val="auto"/>
          <w:szCs w:val="21"/>
          <w:highlight w:val="none"/>
          <w:lang w:val="zh-CN"/>
        </w:rPr>
        <w:t>交给招标人，由招标人在</w:t>
      </w:r>
      <w:r>
        <w:rPr>
          <w:rFonts w:hint="eastAsia" w:ascii="宋体" w:hAnsi="宋体" w:eastAsia="宋体" w:cs="宋体"/>
          <w:color w:val="auto"/>
          <w:kern w:val="0"/>
          <w:szCs w:val="24"/>
          <w:highlight w:val="none"/>
        </w:rPr>
        <w:t>履约保函一式两份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kern w:val="0"/>
          <w:szCs w:val="24"/>
          <w:highlight w:val="none"/>
          <w:lang w:eastAsia="zh-CN"/>
        </w:rPr>
        <w:t>件</w:t>
      </w:r>
      <w:r>
        <w:rPr>
          <w:rFonts w:hint="eastAsia" w:ascii="宋体" w:hAnsi="宋体" w:eastAsia="宋体" w:cs="宋体"/>
          <w:color w:val="auto"/>
          <w:kern w:val="0"/>
          <w:szCs w:val="24"/>
          <w:highlight w:val="none"/>
        </w:rPr>
        <w:t>上</w:t>
      </w:r>
      <w:r>
        <w:rPr>
          <w:rFonts w:hint="eastAsia" w:ascii="宋体" w:hAnsi="宋体" w:eastAsia="宋体" w:cs="宋体"/>
          <w:color w:val="auto"/>
          <w:szCs w:val="21"/>
          <w:highlight w:val="none"/>
          <w:lang w:val="zh-CN"/>
        </w:rPr>
        <w:t>注明“原件已收”及签收人、日期后，中标人在每份</w:t>
      </w:r>
      <w:r>
        <w:rPr>
          <w:rFonts w:hint="eastAsia" w:ascii="宋体" w:hAnsi="宋体" w:eastAsia="宋体" w:cs="宋体"/>
          <w:color w:val="auto"/>
          <w:kern w:val="0"/>
          <w:szCs w:val="24"/>
          <w:highlight w:val="none"/>
          <w:lang w:val="en-US" w:eastAsia="zh-CN"/>
        </w:rPr>
        <w:t>复印</w:t>
      </w:r>
      <w:r>
        <w:rPr>
          <w:rFonts w:hint="eastAsia" w:ascii="宋体" w:hAnsi="宋体" w:eastAsia="宋体" w:cs="宋体"/>
          <w:color w:val="auto"/>
          <w:szCs w:val="21"/>
          <w:highlight w:val="none"/>
          <w:lang w:val="zh-CN"/>
        </w:rPr>
        <w:t>件上</w:t>
      </w:r>
      <w:r>
        <w:rPr>
          <w:rFonts w:hint="eastAsia" w:ascii="宋体" w:hAnsi="宋体" w:eastAsia="宋体" w:cs="宋体"/>
          <w:color w:val="auto"/>
          <w:kern w:val="0"/>
          <w:szCs w:val="24"/>
          <w:highlight w:val="none"/>
        </w:rPr>
        <w:t>加盖</w:t>
      </w:r>
      <w:r>
        <w:rPr>
          <w:rFonts w:hint="eastAsia" w:ascii="宋体" w:hAnsi="宋体" w:eastAsia="宋体" w:cs="宋体"/>
          <w:color w:val="auto"/>
          <w:szCs w:val="21"/>
          <w:highlight w:val="none"/>
          <w:lang w:val="zh-CN"/>
        </w:rPr>
        <w:t>中标</w:t>
      </w:r>
      <w:r>
        <w:rPr>
          <w:rFonts w:hint="eastAsia" w:ascii="宋体" w:hAnsi="宋体" w:eastAsia="宋体" w:cs="宋体"/>
          <w:color w:val="auto"/>
          <w:kern w:val="0"/>
          <w:szCs w:val="24"/>
          <w:highlight w:val="none"/>
        </w:rPr>
        <w:t>人的公章，送招标代理机构]</w:t>
      </w:r>
      <w:r>
        <w:rPr>
          <w:rFonts w:hint="eastAsia" w:ascii="宋体" w:hAnsi="宋体" w:eastAsia="宋体" w:cs="宋体"/>
          <w:color w:val="auto"/>
          <w:kern w:val="0"/>
          <w:szCs w:val="21"/>
          <w:highlight w:val="none"/>
        </w:rPr>
        <w:t>。</w:t>
      </w:r>
    </w:p>
    <w:p w14:paraId="1567B090">
      <w:pPr>
        <w:tabs>
          <w:tab w:val="left" w:pos="360"/>
          <w:tab w:val="left" w:pos="4725"/>
        </w:tabs>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4"/>
          <w:highlight w:val="none"/>
        </w:rPr>
      </w:pPr>
      <w:r>
        <w:rPr>
          <w:rFonts w:hint="eastAsia" w:ascii="宋体" w:hAnsi="宋体" w:eastAsia="宋体" w:cs="宋体"/>
          <w:color w:val="auto"/>
          <w:kern w:val="0"/>
          <w:szCs w:val="24"/>
          <w:highlight w:val="none"/>
        </w:rPr>
        <w:t xml:space="preserve">37.7  </w:t>
      </w:r>
      <w:r>
        <w:rPr>
          <w:rFonts w:hint="eastAsia" w:ascii="宋体" w:hAnsi="宋体" w:eastAsia="宋体" w:cs="宋体"/>
          <w:color w:val="auto"/>
          <w:kern w:val="0"/>
          <w:szCs w:val="21"/>
          <w:highlight w:val="none"/>
        </w:rPr>
        <w:t>中标人以履约保证金（银行转账形式）提供履约担保的</w:t>
      </w:r>
      <w:r>
        <w:rPr>
          <w:rFonts w:hint="eastAsia" w:ascii="宋体" w:hAnsi="宋体" w:eastAsia="宋体" w:cs="宋体"/>
          <w:color w:val="auto"/>
          <w:kern w:val="0"/>
          <w:szCs w:val="21"/>
          <w:highlight w:val="none"/>
          <w:lang w:eastAsia="zh-CN"/>
        </w:rPr>
        <w:t>，在合同期限届满并且</w:t>
      </w:r>
      <w:r>
        <w:rPr>
          <w:rFonts w:hint="eastAsia" w:ascii="宋体" w:hAnsi="宋体" w:eastAsia="宋体" w:cs="宋体"/>
          <w:color w:val="auto"/>
          <w:kern w:val="0"/>
          <w:szCs w:val="21"/>
          <w:highlight w:val="none"/>
          <w:lang w:val="en-US" w:eastAsia="zh-CN"/>
        </w:rPr>
        <w:t>中标人</w:t>
      </w:r>
      <w:r>
        <w:rPr>
          <w:rFonts w:hint="eastAsia" w:ascii="宋体" w:hAnsi="宋体" w:eastAsia="宋体" w:cs="宋体"/>
          <w:color w:val="auto"/>
          <w:kern w:val="0"/>
          <w:szCs w:val="21"/>
          <w:highlight w:val="none"/>
          <w:lang w:eastAsia="zh-CN"/>
        </w:rPr>
        <w:t>完成本项目合同及本</w:t>
      </w:r>
      <w:r>
        <w:rPr>
          <w:rFonts w:hint="eastAsia" w:ascii="宋体" w:hAnsi="宋体" w:eastAsia="宋体" w:cs="宋体"/>
          <w:color w:val="auto"/>
          <w:kern w:val="0"/>
          <w:szCs w:val="21"/>
          <w:highlight w:val="none"/>
          <w:lang w:val="en-US" w:eastAsia="zh-CN"/>
        </w:rPr>
        <w:t>项目</w:t>
      </w:r>
      <w:r>
        <w:rPr>
          <w:rFonts w:hint="eastAsia" w:ascii="宋体" w:hAnsi="宋体" w:eastAsia="宋体" w:cs="宋体"/>
          <w:color w:val="auto"/>
          <w:kern w:val="0"/>
          <w:szCs w:val="21"/>
          <w:highlight w:val="none"/>
          <w:lang w:eastAsia="zh-CN"/>
        </w:rPr>
        <w:t>合同下所有补充协议的全部服务义务，</w:t>
      </w:r>
      <w:r>
        <w:rPr>
          <w:rFonts w:hint="eastAsia" w:ascii="宋体" w:hAnsi="宋体" w:eastAsia="宋体" w:cs="宋体"/>
          <w:color w:val="auto"/>
          <w:kern w:val="0"/>
          <w:szCs w:val="21"/>
          <w:highlight w:val="none"/>
          <w:lang w:val="en-US" w:eastAsia="zh-CN"/>
        </w:rPr>
        <w:t>招标人或招标人权属分公司</w:t>
      </w:r>
      <w:r>
        <w:rPr>
          <w:rFonts w:hint="eastAsia" w:ascii="宋体" w:hAnsi="宋体" w:eastAsia="宋体" w:cs="宋体"/>
          <w:color w:val="auto"/>
          <w:kern w:val="0"/>
          <w:szCs w:val="21"/>
          <w:highlight w:val="none"/>
        </w:rPr>
        <w:t>向中标人支付全部款项二十八（28）日后，经招标人确认，中标人可向招标人提交退回</w:t>
      </w:r>
      <w:r>
        <w:rPr>
          <w:rFonts w:hint="eastAsia" w:ascii="宋体" w:hAnsi="宋体" w:eastAsia="宋体" w:cs="宋体"/>
          <w:color w:val="auto"/>
          <w:kern w:val="0"/>
          <w:szCs w:val="21"/>
          <w:highlight w:val="none"/>
          <w:lang w:val="en-US" w:eastAsia="zh-CN"/>
        </w:rPr>
        <w:t>保证金（如有）</w:t>
      </w:r>
      <w:r>
        <w:rPr>
          <w:rFonts w:hint="eastAsia" w:ascii="宋体" w:hAnsi="宋体" w:eastAsia="宋体" w:cs="宋体"/>
          <w:color w:val="auto"/>
          <w:kern w:val="0"/>
          <w:szCs w:val="21"/>
          <w:highlight w:val="none"/>
        </w:rPr>
        <w:t>的申请。招标人审核无异议后，保证金（如有）一律以银行转账的形式无息退回到中标人的账户。</w:t>
      </w:r>
    </w:p>
    <w:p w14:paraId="1549249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3193255A">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03" w:name="_Toc10548"/>
      <w:bookmarkStart w:id="404" w:name="_Toc3311"/>
      <w:bookmarkStart w:id="405" w:name="_Toc142508353"/>
      <w:bookmarkStart w:id="406" w:name="_Toc27162"/>
      <w:bookmarkStart w:id="407" w:name="_Toc11309"/>
      <w:bookmarkStart w:id="408" w:name="_Toc486167702"/>
      <w:bookmarkStart w:id="409" w:name="_Toc195714259"/>
      <w:r>
        <w:rPr>
          <w:rFonts w:hint="eastAsia" w:ascii="宋体" w:hAnsi="宋体" w:eastAsia="宋体" w:cs="宋体"/>
          <w:color w:val="auto"/>
          <w:szCs w:val="21"/>
          <w:highlight w:val="none"/>
        </w:rPr>
        <w:t>38</w:t>
      </w:r>
      <w:r>
        <w:rPr>
          <w:rFonts w:hint="eastAsia" w:ascii="宋体" w:hAnsi="宋体" w:eastAsia="宋体" w:cs="宋体"/>
          <w:color w:val="auto"/>
          <w:szCs w:val="21"/>
          <w:highlight w:val="none"/>
          <w:lang w:val="zh-CN"/>
        </w:rPr>
        <w:t xml:space="preserve"> 在合同履行中变更采购范围的权利</w:t>
      </w:r>
      <w:bookmarkEnd w:id="403"/>
      <w:bookmarkEnd w:id="404"/>
      <w:bookmarkEnd w:id="405"/>
      <w:bookmarkEnd w:id="406"/>
      <w:bookmarkEnd w:id="407"/>
      <w:bookmarkEnd w:id="408"/>
      <w:bookmarkEnd w:id="409"/>
    </w:p>
    <w:p w14:paraId="134DD858">
      <w:pPr>
        <w:autoSpaceDE w:val="0"/>
        <w:autoSpaceDN w:val="0"/>
        <w:adjustRightInd w:val="0"/>
        <w:spacing w:line="360" w:lineRule="auto"/>
        <w:ind w:left="328" w:leftChars="-114"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38.1 合同履行中，招标人在合同约定的范围内，招标人有权根据项目实际情况及有关法律法规、政策的规定对采购范围进行变更调整，变更采购范围后，投标人应遵照执行。</w:t>
      </w:r>
    </w:p>
    <w:p w14:paraId="1995725F">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bookmarkStart w:id="410" w:name="_Toc450662888"/>
    </w:p>
    <w:p w14:paraId="1C79AB82">
      <w:pPr>
        <w:tabs>
          <w:tab w:val="left" w:pos="465"/>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11" w:name="_Toc486167703"/>
      <w:bookmarkStart w:id="412" w:name="_Toc22944"/>
      <w:bookmarkStart w:id="413" w:name="_Toc23218"/>
      <w:bookmarkStart w:id="414" w:name="_Toc2401"/>
      <w:bookmarkStart w:id="415" w:name="_Toc28921_WPSOffice_Level3"/>
      <w:bookmarkStart w:id="416" w:name="_Toc195714260"/>
      <w:bookmarkStart w:id="417" w:name="_Toc142508354"/>
      <w:bookmarkStart w:id="418" w:name="_Toc14850"/>
      <w:r>
        <w:rPr>
          <w:rFonts w:hint="eastAsia" w:ascii="宋体" w:hAnsi="宋体" w:eastAsia="宋体" w:cs="宋体"/>
          <w:color w:val="auto"/>
          <w:szCs w:val="21"/>
          <w:highlight w:val="none"/>
        </w:rPr>
        <w:t>39</w:t>
      </w:r>
      <w:r>
        <w:rPr>
          <w:rFonts w:hint="eastAsia" w:ascii="宋体" w:hAnsi="宋体" w:eastAsia="宋体" w:cs="宋体"/>
          <w:color w:val="auto"/>
          <w:szCs w:val="21"/>
          <w:highlight w:val="none"/>
          <w:lang w:val="zh-CN"/>
        </w:rPr>
        <w:t xml:space="preserve"> 中标服务费</w:t>
      </w:r>
      <w:bookmarkEnd w:id="410"/>
      <w:bookmarkEnd w:id="411"/>
      <w:bookmarkEnd w:id="412"/>
      <w:bookmarkEnd w:id="413"/>
      <w:bookmarkEnd w:id="414"/>
      <w:bookmarkEnd w:id="415"/>
      <w:bookmarkEnd w:id="416"/>
      <w:bookmarkEnd w:id="417"/>
      <w:bookmarkEnd w:id="418"/>
    </w:p>
    <w:p w14:paraId="583B05B4">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bookmarkStart w:id="419" w:name="_Toc450662889"/>
      <w:r>
        <w:rPr>
          <w:rFonts w:hint="eastAsia" w:ascii="宋体" w:hAnsi="宋体" w:eastAsia="宋体" w:cs="宋体"/>
          <w:color w:val="auto"/>
          <w:szCs w:val="21"/>
          <w:highlight w:val="none"/>
        </w:rPr>
        <w:t>39.1 中标人应向招标代理机构一次性交纳中标服务费（中标服务费参照国家计委《关于印发〈招标代理服务收费管理暂行办法〉的通知》（计价格〔2002〕1980号）及《国家发展改革委关于降低部分建设项目收费标准规范收费行为等有关问题的通知》（发改价格〔2011〕534号）等标准的80%计算。以本项目的中标折扣系数计算得出的不含税暂定总合同价为计费额，本项目业务性质：按</w:t>
      </w:r>
      <w:r>
        <w:rPr>
          <w:rFonts w:hint="eastAsia" w:ascii="宋体" w:hAnsi="宋体" w:eastAsia="宋体" w:cs="宋体"/>
          <w:color w:val="auto"/>
          <w:szCs w:val="21"/>
          <w:highlight w:val="none"/>
          <w:lang w:val="en-US" w:eastAsia="zh-CN"/>
        </w:rPr>
        <w:t>服务</w:t>
      </w:r>
      <w:r>
        <w:rPr>
          <w:rFonts w:hint="eastAsia" w:ascii="宋体" w:hAnsi="宋体" w:eastAsia="宋体" w:cs="宋体"/>
          <w:color w:val="auto"/>
          <w:szCs w:val="21"/>
          <w:highlight w:val="none"/>
        </w:rPr>
        <w:t>类招标代理服务收费）。</w:t>
      </w:r>
    </w:p>
    <w:p w14:paraId="309B60D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39.2 中标人收到中标通知后，须在15日内向招标代理机构交纳中标服务费用。</w:t>
      </w:r>
    </w:p>
    <w:p w14:paraId="57AA0F0E">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39.3 中标服务费只接受以银行转账、电汇方式交纳</w:t>
      </w:r>
    </w:p>
    <w:p w14:paraId="26CFF617">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中标服务费汇入账号（特别提醒，本账户非投标保证金汇入账户)：</w:t>
      </w:r>
    </w:p>
    <w:p w14:paraId="7C9C5AEC">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开户名称：</w:t>
      </w:r>
      <w:r>
        <w:rPr>
          <w:rFonts w:hint="eastAsia" w:ascii="宋体" w:hAnsi="宋体" w:eastAsia="宋体" w:cs="宋体"/>
          <w:color w:val="auto"/>
          <w:szCs w:val="21"/>
          <w:highlight w:val="none"/>
          <w:lang w:eastAsia="zh-CN"/>
        </w:rPr>
        <w:t>广州宏达工程顾问集团有限公司</w:t>
      </w:r>
      <w:r>
        <w:rPr>
          <w:rFonts w:hint="eastAsia" w:ascii="宋体" w:hAnsi="宋体" w:eastAsia="宋体" w:cs="宋体"/>
          <w:color w:val="auto"/>
          <w:szCs w:val="21"/>
          <w:highlight w:val="none"/>
        </w:rPr>
        <w:t>东莞分公司</w:t>
      </w:r>
    </w:p>
    <w:p w14:paraId="7CF28F69">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银行</w:t>
      </w:r>
      <w:r>
        <w:rPr>
          <w:rFonts w:hint="eastAsia" w:ascii="宋体" w:hAnsi="宋体" w:eastAsia="宋体" w:cs="宋体"/>
          <w:color w:val="auto"/>
          <w:szCs w:val="21"/>
          <w:highlight w:val="none"/>
          <w:lang w:val="en-US" w:eastAsia="zh-CN"/>
        </w:rPr>
        <w:t>账</w:t>
      </w:r>
      <w:r>
        <w:rPr>
          <w:rFonts w:hint="eastAsia" w:ascii="宋体" w:hAnsi="宋体" w:eastAsia="宋体" w:cs="宋体"/>
          <w:color w:val="auto"/>
          <w:szCs w:val="21"/>
          <w:highlight w:val="none"/>
        </w:rPr>
        <w:t>号：769911939210000</w:t>
      </w:r>
    </w:p>
    <w:p w14:paraId="478EBB91">
      <w:pPr>
        <w:autoSpaceDE w:val="0"/>
        <w:autoSpaceDN w:val="0"/>
        <w:adjustRightInd w:val="0"/>
        <w:spacing w:line="360" w:lineRule="auto"/>
        <w:ind w:left="357" w:leftChars="-100" w:hanging="567" w:hangingChars="270"/>
        <w:jc w:val="left"/>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     开户银行：招商银行东莞分行营业部</w:t>
      </w:r>
    </w:p>
    <w:p w14:paraId="466C3F51">
      <w:pPr>
        <w:autoSpaceDE w:val="0"/>
        <w:autoSpaceDN w:val="0"/>
        <w:adjustRightInd w:val="0"/>
        <w:spacing w:line="360" w:lineRule="auto"/>
        <w:ind w:left="357" w:leftChars="-100" w:hanging="567" w:hangingChars="270"/>
        <w:jc w:val="left"/>
        <w:rPr>
          <w:rFonts w:hint="eastAsia" w:ascii="宋体" w:hAnsi="宋体" w:eastAsia="宋体" w:cs="宋体"/>
          <w:color w:val="auto"/>
          <w:kern w:val="0"/>
          <w:szCs w:val="21"/>
          <w:highlight w:val="none"/>
        </w:rPr>
      </w:pPr>
      <w:r>
        <w:rPr>
          <w:rFonts w:hint="eastAsia" w:ascii="宋体" w:hAnsi="宋体" w:eastAsia="宋体" w:cs="宋体"/>
          <w:color w:val="auto"/>
          <w:szCs w:val="21"/>
          <w:highlight w:val="none"/>
        </w:rPr>
        <w:t>39.4 中标人如未按第39.1款、第39.2款规定办理，将不予退还其投标保证金。</w:t>
      </w:r>
    </w:p>
    <w:p w14:paraId="4CEFDD8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p>
    <w:p w14:paraId="1A177BC7">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lang w:val="zh-CN"/>
        </w:rPr>
      </w:pPr>
      <w:bookmarkStart w:id="420" w:name="_Toc21985"/>
      <w:bookmarkStart w:id="421" w:name="_Toc31030"/>
      <w:bookmarkStart w:id="422" w:name="_Toc142508355"/>
      <w:bookmarkStart w:id="423" w:name="_Toc6796"/>
      <w:bookmarkStart w:id="424" w:name="_Toc23317"/>
      <w:bookmarkStart w:id="425" w:name="_Toc486167704"/>
      <w:bookmarkStart w:id="426" w:name="_Toc6764_WPSOffice_Level3"/>
      <w:bookmarkStart w:id="427" w:name="_Toc195714261"/>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 xml:space="preserve"> 发票</w:t>
      </w:r>
      <w:bookmarkEnd w:id="419"/>
      <w:bookmarkEnd w:id="420"/>
      <w:bookmarkEnd w:id="421"/>
      <w:bookmarkEnd w:id="422"/>
      <w:bookmarkEnd w:id="423"/>
      <w:bookmarkEnd w:id="424"/>
      <w:bookmarkEnd w:id="425"/>
      <w:bookmarkEnd w:id="426"/>
      <w:bookmarkEnd w:id="427"/>
    </w:p>
    <w:p w14:paraId="49B285BB">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rPr>
        <w:t>40</w:t>
      </w:r>
      <w:r>
        <w:rPr>
          <w:rFonts w:hint="eastAsia" w:ascii="宋体" w:hAnsi="宋体" w:eastAsia="宋体" w:cs="宋体"/>
          <w:color w:val="auto"/>
          <w:szCs w:val="21"/>
          <w:highlight w:val="none"/>
          <w:lang w:val="zh-CN"/>
        </w:rPr>
        <w:t>.1</w:t>
      </w:r>
      <w:bookmarkStart w:id="428" w:name="_Toc486167705"/>
      <w:bookmarkStart w:id="429" w:name="_Toc31106_WPSOffice_Level3"/>
      <w:r>
        <w:rPr>
          <w:rFonts w:hint="eastAsia" w:ascii="宋体" w:hAnsi="宋体" w:eastAsia="宋体" w:cs="宋体"/>
          <w:color w:val="auto"/>
          <w:szCs w:val="21"/>
          <w:highlight w:val="none"/>
          <w:lang w:val="en-US" w:eastAsia="zh-CN"/>
        </w:rPr>
        <w:t xml:space="preserve"> </w:t>
      </w:r>
      <w:r>
        <w:rPr>
          <w:rFonts w:hint="eastAsia" w:ascii="宋体" w:hAnsi="宋体" w:eastAsia="宋体" w:cs="宋体"/>
          <w:color w:val="auto"/>
          <w:szCs w:val="21"/>
          <w:highlight w:val="none"/>
          <w:lang w:val="zh-CN"/>
        </w:rPr>
        <w:t>该项目获得中标的中标人在执行合同过程中，向招标人</w:t>
      </w:r>
      <w:r>
        <w:rPr>
          <w:rFonts w:hint="eastAsia" w:ascii="宋体" w:hAnsi="宋体" w:eastAsia="宋体" w:cs="宋体"/>
          <w:color w:val="auto"/>
          <w:kern w:val="0"/>
          <w:szCs w:val="21"/>
          <w:highlight w:val="none"/>
        </w:rPr>
        <w:t>或</w:t>
      </w:r>
      <w:r>
        <w:rPr>
          <w:rFonts w:hint="eastAsia" w:ascii="宋体" w:hAnsi="宋体" w:eastAsia="宋体" w:cs="宋体"/>
          <w:color w:val="auto"/>
          <w:kern w:val="0"/>
          <w:szCs w:val="21"/>
          <w:highlight w:val="none"/>
          <w:lang w:eastAsia="zh-CN"/>
        </w:rPr>
        <w:t>招标人权属分公司</w:t>
      </w:r>
      <w:r>
        <w:rPr>
          <w:rFonts w:hint="eastAsia" w:ascii="宋体" w:hAnsi="宋体" w:eastAsia="宋体" w:cs="宋体"/>
          <w:color w:val="auto"/>
          <w:szCs w:val="21"/>
          <w:highlight w:val="none"/>
          <w:lang w:val="zh-CN"/>
        </w:rPr>
        <w:t>出具的发票必须是由中标人开具，不得以其他单位或个人名义出具，本项目中标人向招标人或招标人权属分公司出具的发票类型为增值税</w:t>
      </w:r>
      <w:r>
        <w:rPr>
          <w:rFonts w:hint="eastAsia" w:ascii="宋体" w:hAnsi="宋体" w:eastAsia="宋体" w:cs="宋体"/>
          <w:color w:val="auto"/>
          <w:szCs w:val="21"/>
          <w:highlight w:val="none"/>
          <w:lang w:val="en-US" w:eastAsia="zh-CN"/>
        </w:rPr>
        <w:t>普通</w:t>
      </w:r>
      <w:r>
        <w:rPr>
          <w:rFonts w:hint="eastAsia" w:ascii="宋体" w:hAnsi="宋体" w:eastAsia="宋体" w:cs="宋体"/>
          <w:color w:val="auto"/>
          <w:szCs w:val="21"/>
          <w:highlight w:val="none"/>
          <w:lang w:val="zh-CN"/>
        </w:rPr>
        <w:t>发票。</w:t>
      </w:r>
    </w:p>
    <w:p w14:paraId="154705CD">
      <w:pPr>
        <w:autoSpaceDE w:val="0"/>
        <w:autoSpaceDN w:val="0"/>
        <w:adjustRightInd w:val="0"/>
        <w:snapToGrid w:val="0"/>
        <w:spacing w:line="360" w:lineRule="auto"/>
        <w:ind w:left="315" w:leftChars="-100" w:hanging="525" w:hangingChars="250"/>
        <w:jc w:val="left"/>
        <w:rPr>
          <w:rFonts w:hint="eastAsia" w:ascii="宋体" w:hAnsi="宋体" w:eastAsia="宋体" w:cs="宋体"/>
          <w:color w:val="auto"/>
          <w:szCs w:val="21"/>
          <w:highlight w:val="none"/>
        </w:rPr>
      </w:pPr>
    </w:p>
    <w:p w14:paraId="00FC0113">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b/>
          <w:color w:val="auto"/>
          <w:szCs w:val="21"/>
          <w:highlight w:val="none"/>
        </w:rPr>
      </w:pPr>
      <w:bookmarkStart w:id="430" w:name="_Toc142508356"/>
      <w:bookmarkStart w:id="431" w:name="_Toc24547"/>
      <w:bookmarkStart w:id="432" w:name="_Toc195714262"/>
      <w:bookmarkStart w:id="433" w:name="_Toc10243"/>
      <w:bookmarkStart w:id="434" w:name="_Toc5624"/>
      <w:bookmarkStart w:id="435" w:name="_Toc8619"/>
      <w:r>
        <w:rPr>
          <w:rFonts w:hint="eastAsia" w:ascii="宋体" w:hAnsi="宋体" w:eastAsia="宋体" w:cs="宋体"/>
          <w:b/>
          <w:color w:val="auto"/>
          <w:szCs w:val="21"/>
          <w:highlight w:val="none"/>
        </w:rPr>
        <w:t>41 招标相关补充约定</w:t>
      </w:r>
      <w:bookmarkEnd w:id="430"/>
      <w:bookmarkEnd w:id="431"/>
      <w:bookmarkEnd w:id="432"/>
      <w:bookmarkEnd w:id="433"/>
      <w:bookmarkEnd w:id="434"/>
      <w:bookmarkEnd w:id="435"/>
    </w:p>
    <w:p w14:paraId="33B84612">
      <w:pPr>
        <w:autoSpaceDE w:val="0"/>
        <w:autoSpaceDN w:val="0"/>
        <w:adjustRightInd w:val="0"/>
        <w:snapToGrid w:val="0"/>
        <w:spacing w:line="360" w:lineRule="auto"/>
        <w:ind w:left="317" w:leftChars="-100" w:hanging="527" w:hangingChars="250"/>
        <w:jc w:val="left"/>
        <w:rPr>
          <w:rFonts w:hint="eastAsia" w:ascii="宋体" w:hAnsi="宋体" w:eastAsia="宋体" w:cs="宋体"/>
          <w:b/>
          <w:color w:val="auto"/>
          <w:szCs w:val="21"/>
          <w:highlight w:val="none"/>
        </w:rPr>
      </w:pPr>
      <w:r>
        <w:rPr>
          <w:rFonts w:hint="eastAsia" w:ascii="宋体" w:hAnsi="宋体" w:eastAsia="宋体" w:cs="宋体"/>
          <w:b/>
          <w:color w:val="auto"/>
          <w:szCs w:val="21"/>
          <w:highlight w:val="none"/>
        </w:rPr>
        <w:t>41.1</w:t>
      </w:r>
      <w:r>
        <w:rPr>
          <w:rFonts w:hint="eastAsia" w:ascii="宋体" w:hAnsi="宋体" w:eastAsia="宋体" w:cs="宋体"/>
          <w:b/>
          <w:color w:val="auto"/>
          <w:szCs w:val="21"/>
          <w:highlight w:val="none"/>
        </w:rPr>
        <w:tab/>
      </w:r>
      <w:r>
        <w:rPr>
          <w:rFonts w:hint="eastAsia" w:ascii="宋体" w:hAnsi="宋体" w:eastAsia="宋体" w:cs="宋体"/>
          <w:b/>
          <w:color w:val="auto"/>
          <w:szCs w:val="21"/>
          <w:highlight w:val="none"/>
        </w:rPr>
        <w:t>本项目投标人须知第2条所述行政处罚信息，以开标当天在“信用中国”网站（www.creditchina.gov.cn）查询结果为准，或以司法、仲裁机构等出具的生效文件予以认定,时间以认定文件的落款时间为准。开标结束后，有关投标单位的行政处罚信息，以开标当天查询结果为准；结果公示期间，如投标人对有关投标单位的行政处罚信息存在异议，但不涉及第一中标候选人的，视为对中标结果没有造成实质影响。</w:t>
      </w:r>
    </w:p>
    <w:p w14:paraId="0F8AF0B7">
      <w:pPr>
        <w:autoSpaceDE w:val="0"/>
        <w:autoSpaceDN w:val="0"/>
        <w:adjustRightInd w:val="0"/>
        <w:snapToGrid w:val="0"/>
        <w:spacing w:line="360" w:lineRule="auto"/>
        <w:jc w:val="left"/>
        <w:rPr>
          <w:rFonts w:hint="eastAsia" w:ascii="宋体" w:hAnsi="宋体" w:eastAsia="宋体" w:cs="宋体"/>
          <w:color w:val="auto"/>
          <w:szCs w:val="21"/>
          <w:highlight w:val="none"/>
        </w:rPr>
      </w:pPr>
    </w:p>
    <w:p w14:paraId="2FBD1B60">
      <w:pPr>
        <w:tabs>
          <w:tab w:val="left" w:pos="360"/>
        </w:tabs>
        <w:autoSpaceDE w:val="0"/>
        <w:autoSpaceDN w:val="0"/>
        <w:adjustRightInd w:val="0"/>
        <w:spacing w:line="360" w:lineRule="auto"/>
        <w:ind w:left="357" w:leftChars="-100" w:hanging="567"/>
        <w:jc w:val="left"/>
        <w:outlineLvl w:val="2"/>
        <w:rPr>
          <w:rFonts w:hint="eastAsia" w:ascii="宋体" w:hAnsi="宋体" w:eastAsia="宋体" w:cs="宋体"/>
          <w:color w:val="auto"/>
          <w:szCs w:val="21"/>
          <w:highlight w:val="none"/>
        </w:rPr>
      </w:pPr>
      <w:bookmarkStart w:id="436" w:name="_Toc29758"/>
      <w:bookmarkStart w:id="437" w:name="_Toc26594"/>
      <w:bookmarkStart w:id="438" w:name="_Toc22346"/>
      <w:bookmarkStart w:id="439" w:name="_Toc20859"/>
      <w:bookmarkStart w:id="440" w:name="_Toc195714263"/>
      <w:bookmarkStart w:id="441" w:name="_Toc142508357"/>
      <w:r>
        <w:rPr>
          <w:rFonts w:hint="eastAsia" w:ascii="宋体" w:hAnsi="宋体" w:eastAsia="宋体" w:cs="宋体"/>
          <w:color w:val="auto"/>
          <w:szCs w:val="21"/>
          <w:highlight w:val="none"/>
        </w:rPr>
        <w:t>4</w:t>
      </w:r>
      <w:r>
        <w:rPr>
          <w:rFonts w:hint="eastAsia" w:ascii="宋体" w:hAnsi="宋体" w:eastAsia="宋体" w:cs="宋体"/>
          <w:color w:val="auto"/>
          <w:szCs w:val="21"/>
          <w:highlight w:val="none"/>
          <w:lang w:val="en-US" w:eastAsia="zh-CN"/>
        </w:rPr>
        <w:t>2</w:t>
      </w:r>
      <w:r>
        <w:rPr>
          <w:rFonts w:hint="eastAsia" w:ascii="宋体" w:hAnsi="宋体" w:eastAsia="宋体" w:cs="宋体"/>
          <w:color w:val="auto"/>
          <w:szCs w:val="21"/>
          <w:highlight w:val="none"/>
        </w:rPr>
        <w:t xml:space="preserve"> 本次招标活动的最终解释权归招标代理机构及招标人所有。</w:t>
      </w:r>
      <w:bookmarkEnd w:id="428"/>
      <w:bookmarkEnd w:id="429"/>
      <w:bookmarkEnd w:id="436"/>
      <w:bookmarkEnd w:id="437"/>
      <w:bookmarkEnd w:id="438"/>
      <w:bookmarkEnd w:id="439"/>
      <w:bookmarkEnd w:id="440"/>
      <w:bookmarkEnd w:id="441"/>
    </w:p>
    <w:p w14:paraId="7D244229">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42" w:name="_Toc27939_WPSOffice_Level1"/>
      <w:bookmarkStart w:id="443" w:name="_Toc21446"/>
      <w:bookmarkStart w:id="444" w:name="_Toc14879"/>
      <w:bookmarkStart w:id="445" w:name="_Toc142508358"/>
      <w:bookmarkStart w:id="446" w:name="_Toc450662891"/>
      <w:bookmarkStart w:id="447" w:name="_Toc7329"/>
      <w:bookmarkStart w:id="448" w:name="_Toc486167706"/>
      <w:r>
        <w:rPr>
          <w:rFonts w:hint="eastAsia" w:ascii="宋体" w:hAnsi="宋体" w:eastAsia="宋体" w:cs="宋体"/>
          <w:b/>
          <w:bCs/>
          <w:color w:val="auto"/>
          <w:kern w:val="44"/>
          <w:sz w:val="32"/>
          <w:szCs w:val="32"/>
          <w:highlight w:val="none"/>
          <w:lang w:val="zh-CN"/>
        </w:rPr>
        <w:t>第三篇 用户需求书</w:t>
      </w:r>
      <w:bookmarkEnd w:id="442"/>
      <w:bookmarkEnd w:id="443"/>
      <w:bookmarkEnd w:id="444"/>
      <w:bookmarkEnd w:id="445"/>
      <w:bookmarkEnd w:id="446"/>
      <w:bookmarkEnd w:id="447"/>
      <w:bookmarkEnd w:id="448"/>
    </w:p>
    <w:p w14:paraId="556AAA59">
      <w:pPr>
        <w:keepNext w:val="0"/>
        <w:keepLines w:val="0"/>
        <w:pageBreakBefore w:val="0"/>
        <w:kinsoku/>
        <w:wordWrap/>
        <w:overflowPunct/>
        <w:topLinePunct w:val="0"/>
        <w:autoSpaceDN w:val="0"/>
        <w:bidi w:val="0"/>
        <w:adjustRightInd/>
        <w:snapToGrid/>
        <w:spacing w:line="360" w:lineRule="auto"/>
        <w:textAlignment w:val="auto"/>
        <w:outlineLvl w:val="1"/>
        <w:rPr>
          <w:rFonts w:hint="eastAsia" w:ascii="宋体" w:hAnsi="宋体" w:eastAsia="宋体" w:cs="宋体"/>
          <w:b/>
          <w:color w:val="auto"/>
          <w:sz w:val="21"/>
          <w:szCs w:val="21"/>
          <w:highlight w:val="none"/>
        </w:rPr>
      </w:pPr>
      <w:bookmarkStart w:id="449" w:name="_Toc447044478"/>
      <w:bookmarkStart w:id="450" w:name="_Toc447045089"/>
      <w:bookmarkStart w:id="451" w:name="_Toc447044602"/>
      <w:r>
        <w:rPr>
          <w:rFonts w:hint="eastAsia" w:ascii="宋体" w:hAnsi="宋体" w:eastAsia="宋体" w:cs="宋体"/>
          <w:b/>
          <w:color w:val="auto"/>
          <w:kern w:val="0"/>
          <w:sz w:val="21"/>
          <w:szCs w:val="21"/>
          <w:highlight w:val="none"/>
          <w:lang w:bidi="ar"/>
        </w:rPr>
        <w:t>一、项目概况</w:t>
      </w:r>
    </w:p>
    <w:p w14:paraId="5FE600D6">
      <w:pPr>
        <w:pStyle w:val="204"/>
        <w:keepNext w:val="0"/>
        <w:keepLines w:val="0"/>
        <w:pageBreakBefore w:val="0"/>
        <w:widowControl/>
        <w:kinsoku/>
        <w:wordWrap/>
        <w:overflowPunct/>
        <w:topLinePunct w:val="0"/>
        <w:autoSpaceDE/>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lang w:val="zh-CN"/>
        </w:rPr>
        <w:t>东莞市水务环境投资控股集团供水有限公司（以下简称“招标人”）旗下现有30间属地供水分公司（莞南、万江、东城、松山湖、石碣、石龙、茶山、石排、企石、横沥、桥头、谢岗、东坑、寮步、大朗、黄江、塘厦、凤岗、长安、虎门、厚街、沙田、道滘、洪梅、麻涌、中堂、高埗、樟木头、大岭山、望牛墩分公司）、1间制水分公司（含32间供水厂）需采购清洁保洁、绿化养护、除“四害”及灭蚁防治服务。</w:t>
      </w:r>
    </w:p>
    <w:p w14:paraId="751C8C98">
      <w:pPr>
        <w:pStyle w:val="204"/>
        <w:keepNext w:val="0"/>
        <w:keepLines w:val="0"/>
        <w:pageBreakBefore w:val="0"/>
        <w:widowControl/>
        <w:kinsoku/>
        <w:wordWrap/>
        <w:overflowPunct/>
        <w:topLinePunct w:val="0"/>
        <w:autoSpaceDE/>
        <w:bidi w:val="0"/>
        <w:adjustRightInd/>
        <w:snapToGrid/>
        <w:spacing w:line="360" w:lineRule="auto"/>
        <w:ind w:firstLine="420" w:firstLineChars="200"/>
        <w:textAlignment w:val="auto"/>
        <w:rPr>
          <w:rFonts w:hint="eastAsia" w:ascii="宋体" w:hAnsi="宋体" w:eastAsia="宋体" w:cs="宋体"/>
          <w:color w:val="auto"/>
          <w:sz w:val="21"/>
          <w:szCs w:val="21"/>
          <w:highlight w:val="none"/>
          <w:lang w:val="zh-CN"/>
        </w:rPr>
      </w:pPr>
      <w:r>
        <w:rPr>
          <w:rFonts w:hint="eastAsia" w:ascii="宋体" w:hAnsi="宋体" w:eastAsia="宋体" w:cs="宋体"/>
          <w:color w:val="auto"/>
          <w:sz w:val="21"/>
          <w:szCs w:val="21"/>
          <w:highlight w:val="none"/>
          <w:lang w:val="zh-CN"/>
        </w:rPr>
        <w:t>为保持公司卫生整洁、提升公司整体质量，招标人拟通过公开招标采购1家服务单位对公司提供清洁保洁、绿化养护、除“四害”及灭蚁防治服务。其中：清洁保洁服务内容主要包括</w:t>
      </w:r>
      <w:r>
        <w:rPr>
          <w:rFonts w:hint="eastAsia" w:ascii="宋体" w:hAnsi="宋体" w:eastAsia="宋体" w:cs="宋体"/>
          <w:color w:val="auto"/>
          <w:sz w:val="21"/>
          <w:szCs w:val="21"/>
          <w:highlight w:val="none"/>
          <w:lang w:val="zh-CN" w:bidi="ar"/>
        </w:rPr>
        <w:t>室内行政办公区（含办公楼、宿舍、食堂等）清洁保洁，道路清扫（含大院、停车场、运动场等），生产车间保洁，</w:t>
      </w:r>
      <w:r>
        <w:rPr>
          <w:rFonts w:hint="eastAsia" w:ascii="宋体" w:hAnsi="宋体" w:eastAsia="宋体" w:cs="宋体"/>
          <w:color w:val="auto"/>
          <w:sz w:val="21"/>
          <w:szCs w:val="21"/>
          <w:highlight w:val="none"/>
          <w:lang w:val="zh-CN"/>
        </w:rPr>
        <w:t>构筑物清扫冲洗，擦池、池体水面垃圾、生活生产垃圾清除、标识标牌清洁等；绿化养护服务内容主要包括</w:t>
      </w:r>
      <w:r>
        <w:rPr>
          <w:rFonts w:hint="eastAsia" w:ascii="宋体" w:hAnsi="宋体" w:eastAsia="宋体" w:cs="宋体"/>
          <w:color w:val="auto"/>
          <w:sz w:val="21"/>
          <w:szCs w:val="21"/>
          <w:highlight w:val="none"/>
        </w:rPr>
        <w:t>办公区、</w:t>
      </w:r>
      <w:r>
        <w:rPr>
          <w:rFonts w:hint="eastAsia" w:ascii="宋体" w:hAnsi="宋体" w:eastAsia="宋体" w:cs="宋体"/>
          <w:color w:val="auto"/>
          <w:sz w:val="21"/>
          <w:szCs w:val="21"/>
          <w:highlight w:val="none"/>
          <w:lang w:val="zh-CN"/>
        </w:rPr>
        <w:t>厂区、</w:t>
      </w:r>
      <w:r>
        <w:rPr>
          <w:rFonts w:hint="eastAsia" w:ascii="宋体" w:hAnsi="宋体" w:eastAsia="宋体" w:cs="宋体"/>
          <w:color w:val="auto"/>
          <w:sz w:val="21"/>
          <w:szCs w:val="21"/>
          <w:highlight w:val="none"/>
        </w:rPr>
        <w:t>取水泵房、加压站等</w:t>
      </w:r>
      <w:r>
        <w:rPr>
          <w:rFonts w:hint="eastAsia" w:ascii="宋体" w:hAnsi="宋体" w:eastAsia="宋体" w:cs="宋体"/>
          <w:color w:val="auto"/>
          <w:sz w:val="21"/>
          <w:szCs w:val="21"/>
          <w:highlight w:val="none"/>
          <w:lang w:val="zh-CN"/>
        </w:rPr>
        <w:t>绿植的日常养护、绿地保洁、绿化设施的日常维护清洁、</w:t>
      </w:r>
      <w:r>
        <w:rPr>
          <w:rFonts w:hint="eastAsia" w:ascii="宋体" w:hAnsi="宋体" w:eastAsia="宋体" w:cs="宋体"/>
          <w:color w:val="auto"/>
          <w:sz w:val="21"/>
          <w:szCs w:val="21"/>
          <w:highlight w:val="none"/>
          <w:lang w:val="en-US" w:eastAsia="zh-CN"/>
        </w:rPr>
        <w:t>乔木修剪</w:t>
      </w:r>
      <w:r>
        <w:rPr>
          <w:rFonts w:hint="eastAsia" w:ascii="宋体" w:hAnsi="宋体" w:eastAsia="宋体" w:cs="宋体"/>
          <w:color w:val="auto"/>
          <w:sz w:val="21"/>
          <w:szCs w:val="21"/>
          <w:highlight w:val="none"/>
          <w:lang w:val="zh-CN"/>
        </w:rPr>
        <w:t>等；除“四害”及灭蚁防治服务内容主要包括办公和生产区域灭蚊子、苍蝇、蟑螂、老鼠及白蚁等工作。每月具体服务范围概况如下：</w:t>
      </w:r>
    </w:p>
    <w:p w14:paraId="76821D6F">
      <w:pPr>
        <w:keepNext w:val="0"/>
        <w:keepLines w:val="0"/>
        <w:pageBreakBefore w:val="0"/>
        <w:widowControl/>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bCs/>
          <w:color w:val="auto"/>
          <w:kern w:val="0"/>
          <w:sz w:val="21"/>
          <w:szCs w:val="21"/>
          <w:highlight w:val="none"/>
          <w:lang w:bidi="ar"/>
        </w:rPr>
      </w:pPr>
    </w:p>
    <w:p w14:paraId="2B8E7DA0">
      <w:pPr>
        <w:keepNext w:val="0"/>
        <w:keepLines w:val="0"/>
        <w:pageBreakBefore w:val="0"/>
        <w:widowControl/>
        <w:kinsoku/>
        <w:wordWrap/>
        <w:overflowPunct/>
        <w:topLinePunct w:val="0"/>
        <w:autoSpaceDE w:val="0"/>
        <w:autoSpaceDN w:val="0"/>
        <w:bidi w:val="0"/>
        <w:adjustRightInd/>
        <w:snapToGrid/>
        <w:spacing w:line="360" w:lineRule="auto"/>
        <w:jc w:val="left"/>
        <w:textAlignment w:val="auto"/>
        <w:outlineLvl w:val="1"/>
        <w:rPr>
          <w:rFonts w:hint="eastAsia" w:ascii="宋体" w:hAnsi="宋体" w:eastAsia="宋体" w:cs="宋体"/>
          <w:b/>
          <w:bCs/>
          <w:color w:val="auto"/>
          <w:sz w:val="21"/>
          <w:szCs w:val="21"/>
          <w:highlight w:val="none"/>
          <w:lang w:eastAsia="zh-CN"/>
        </w:rPr>
      </w:pPr>
      <w:r>
        <w:rPr>
          <w:rFonts w:hint="eastAsia" w:ascii="宋体" w:hAnsi="宋体" w:eastAsia="宋体" w:cs="宋体"/>
          <w:b/>
          <w:bCs/>
          <w:color w:val="auto"/>
          <w:kern w:val="0"/>
          <w:sz w:val="21"/>
          <w:szCs w:val="21"/>
          <w:highlight w:val="none"/>
          <w:lang w:bidi="ar"/>
        </w:rPr>
        <w:t xml:space="preserve">二、采购内容 </w:t>
      </w:r>
    </w:p>
    <w:p w14:paraId="288C2E0E">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（一）采购内容：招标人供水厂及配套设施（含泵房、加压站等）、</w:t>
      </w:r>
      <w:r>
        <w:rPr>
          <w:rFonts w:hint="eastAsia" w:ascii="宋体" w:hAnsi="宋体" w:eastAsia="宋体" w:cs="宋体"/>
          <w:color w:val="auto"/>
          <w:kern w:val="0"/>
          <w:sz w:val="21"/>
          <w:szCs w:val="21"/>
          <w:highlight w:val="none"/>
          <w:lang w:bidi="ar"/>
        </w:rPr>
        <w:t>各属地</w:t>
      </w:r>
      <w:r>
        <w:rPr>
          <w:rFonts w:hint="eastAsia" w:ascii="宋体" w:hAnsi="宋体" w:eastAsia="宋体" w:cs="宋体"/>
          <w:color w:val="auto"/>
          <w:kern w:val="0"/>
          <w:sz w:val="21"/>
          <w:szCs w:val="21"/>
          <w:highlight w:val="none"/>
          <w:lang w:val="zh-CN" w:bidi="ar"/>
        </w:rPr>
        <w:t>分公司办公楼（含营业厅）等合共</w:t>
      </w:r>
      <w:r>
        <w:rPr>
          <w:rFonts w:hint="eastAsia" w:ascii="宋体" w:hAnsi="宋体" w:eastAsia="宋体" w:cs="宋体"/>
          <w:color w:val="auto"/>
          <w:kern w:val="0"/>
          <w:sz w:val="21"/>
          <w:szCs w:val="21"/>
          <w:highlight w:val="none"/>
          <w:lang w:val="en-US" w:eastAsia="zh-CN" w:bidi="ar"/>
        </w:rPr>
        <w:t>71</w:t>
      </w:r>
      <w:r>
        <w:rPr>
          <w:rFonts w:hint="eastAsia" w:ascii="宋体" w:hAnsi="宋体" w:eastAsia="宋体" w:cs="宋体"/>
          <w:color w:val="auto"/>
          <w:kern w:val="0"/>
          <w:sz w:val="21"/>
          <w:szCs w:val="21"/>
          <w:highlight w:val="none"/>
          <w:lang w:val="zh-CN" w:bidi="ar"/>
        </w:rPr>
        <w:t>个服务点需采购清洁保洁服务，预计服务面积</w:t>
      </w:r>
      <w:r>
        <w:rPr>
          <w:rFonts w:hint="eastAsia" w:ascii="宋体" w:hAnsi="宋体" w:eastAsia="宋体" w:cs="宋体"/>
          <w:color w:val="auto"/>
          <w:kern w:val="0"/>
          <w:sz w:val="21"/>
          <w:szCs w:val="21"/>
          <w:highlight w:val="none"/>
          <w:lang w:val="en-US" w:eastAsia="zh-CN" w:bidi="ar"/>
        </w:rPr>
        <w:t>877559.37</w:t>
      </w:r>
      <w:r>
        <w:rPr>
          <w:rFonts w:hint="eastAsia" w:ascii="宋体" w:hAnsi="宋体" w:eastAsia="宋体" w:cs="宋体"/>
          <w:color w:val="auto"/>
          <w:kern w:val="0"/>
          <w:sz w:val="21"/>
          <w:szCs w:val="21"/>
          <w:highlight w:val="none"/>
          <w:lang w:val="zh-CN" w:bidi="ar"/>
        </w:rPr>
        <w:t>平方米；</w:t>
      </w:r>
      <w:r>
        <w:rPr>
          <w:rFonts w:hint="eastAsia" w:ascii="宋体" w:hAnsi="宋体" w:eastAsia="宋体" w:cs="宋体"/>
          <w:color w:val="auto"/>
          <w:kern w:val="0"/>
          <w:sz w:val="21"/>
          <w:szCs w:val="21"/>
          <w:highlight w:val="none"/>
          <w:lang w:val="en-US" w:eastAsia="zh-CN" w:bidi="ar"/>
        </w:rPr>
        <w:t>43</w:t>
      </w:r>
      <w:r>
        <w:rPr>
          <w:rFonts w:hint="eastAsia" w:ascii="宋体" w:hAnsi="宋体" w:eastAsia="宋体" w:cs="宋体"/>
          <w:color w:val="auto"/>
          <w:kern w:val="0"/>
          <w:sz w:val="21"/>
          <w:szCs w:val="21"/>
          <w:highlight w:val="none"/>
          <w:lang w:val="zh-CN" w:bidi="ar"/>
        </w:rPr>
        <w:t>个服务点需采购绿化养护服务，预计服务面积</w:t>
      </w:r>
      <w:r>
        <w:rPr>
          <w:rFonts w:hint="eastAsia" w:ascii="宋体" w:hAnsi="宋体" w:eastAsia="宋体" w:cs="宋体"/>
          <w:color w:val="auto"/>
          <w:kern w:val="0"/>
          <w:sz w:val="21"/>
          <w:szCs w:val="21"/>
          <w:highlight w:val="none"/>
          <w:lang w:val="en-US" w:eastAsia="zh-CN" w:bidi="ar"/>
        </w:rPr>
        <w:t>629892.37</w:t>
      </w:r>
      <w:r>
        <w:rPr>
          <w:rFonts w:hint="eastAsia" w:ascii="宋体" w:hAnsi="宋体" w:eastAsia="宋体" w:cs="宋体"/>
          <w:color w:val="auto"/>
          <w:kern w:val="0"/>
          <w:sz w:val="21"/>
          <w:szCs w:val="21"/>
          <w:highlight w:val="none"/>
          <w:lang w:val="zh-CN" w:bidi="ar"/>
        </w:rPr>
        <w:t>平方米；</w:t>
      </w:r>
      <w:r>
        <w:rPr>
          <w:rFonts w:hint="eastAsia" w:ascii="宋体" w:hAnsi="宋体" w:eastAsia="宋体" w:cs="宋体"/>
          <w:color w:val="auto"/>
          <w:kern w:val="0"/>
          <w:sz w:val="21"/>
          <w:szCs w:val="21"/>
          <w:highlight w:val="none"/>
          <w:lang w:val="en-US" w:eastAsia="zh-CN" w:bidi="ar"/>
        </w:rPr>
        <w:t>75</w:t>
      </w:r>
      <w:r>
        <w:rPr>
          <w:rFonts w:hint="eastAsia" w:ascii="宋体" w:hAnsi="宋体" w:eastAsia="宋体" w:cs="宋体"/>
          <w:color w:val="auto"/>
          <w:kern w:val="0"/>
          <w:sz w:val="21"/>
          <w:szCs w:val="21"/>
          <w:highlight w:val="none"/>
          <w:lang w:val="zh-CN" w:bidi="ar"/>
        </w:rPr>
        <w:t>个服务点需采购除“四害”及灭蚁防治服务，预计服务面积</w:t>
      </w:r>
      <w:r>
        <w:rPr>
          <w:rFonts w:hint="eastAsia" w:ascii="宋体" w:hAnsi="宋体" w:eastAsia="宋体" w:cs="宋体"/>
          <w:color w:val="auto"/>
          <w:kern w:val="0"/>
          <w:sz w:val="21"/>
          <w:szCs w:val="21"/>
          <w:highlight w:val="none"/>
          <w:lang w:val="en-US" w:eastAsia="zh-CN" w:bidi="ar"/>
        </w:rPr>
        <w:t>1327850.33</w:t>
      </w:r>
      <w:r>
        <w:rPr>
          <w:rFonts w:hint="eastAsia" w:ascii="宋体" w:hAnsi="宋体" w:eastAsia="宋体" w:cs="宋体"/>
          <w:color w:val="auto"/>
          <w:kern w:val="0"/>
          <w:sz w:val="21"/>
          <w:szCs w:val="21"/>
          <w:highlight w:val="none"/>
          <w:lang w:val="zh-CN" w:bidi="ar"/>
        </w:rPr>
        <w:t>平方米。</w:t>
      </w:r>
    </w:p>
    <w:p w14:paraId="39D21568">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zh-CN" w:bidi="ar"/>
        </w:rPr>
      </w:pPr>
      <w:r>
        <w:rPr>
          <w:rFonts w:hint="eastAsia" w:ascii="宋体" w:hAnsi="宋体" w:eastAsia="宋体" w:cs="宋体"/>
          <w:color w:val="auto"/>
          <w:kern w:val="0"/>
          <w:sz w:val="21"/>
          <w:szCs w:val="21"/>
          <w:highlight w:val="none"/>
          <w:lang w:val="zh-CN" w:bidi="ar"/>
        </w:rPr>
        <w:t>（二）服务地点：东莞市辖区内，</w:t>
      </w:r>
      <w:r>
        <w:rPr>
          <w:rFonts w:hint="eastAsia" w:ascii="宋体" w:hAnsi="宋体" w:eastAsia="宋体" w:cs="宋体"/>
          <w:color w:val="auto"/>
          <w:kern w:val="0"/>
          <w:sz w:val="21"/>
          <w:szCs w:val="21"/>
          <w:highlight w:val="none"/>
          <w:lang w:val="en-US" w:eastAsia="zh-CN" w:bidi="ar"/>
        </w:rPr>
        <w:t>各服务点</w:t>
      </w:r>
      <w:r>
        <w:rPr>
          <w:rFonts w:hint="eastAsia" w:ascii="宋体" w:hAnsi="宋体" w:eastAsia="宋体" w:cs="宋体"/>
          <w:color w:val="auto"/>
          <w:kern w:val="0"/>
          <w:sz w:val="21"/>
          <w:szCs w:val="21"/>
          <w:highlight w:val="none"/>
          <w:lang w:val="zh-CN" w:bidi="ar"/>
        </w:rPr>
        <w:t>所在地。</w:t>
      </w:r>
      <w:r>
        <w:rPr>
          <w:rFonts w:hint="eastAsia" w:ascii="宋体" w:hAnsi="宋体" w:eastAsia="宋体" w:cs="宋体"/>
          <w:color w:val="auto"/>
          <w:kern w:val="0"/>
          <w:sz w:val="21"/>
          <w:szCs w:val="21"/>
          <w:highlight w:val="none"/>
          <w:lang w:val="zh-CN" w:eastAsia="zh-CN" w:bidi="ar"/>
        </w:rPr>
        <w:t>（</w:t>
      </w:r>
      <w:r>
        <w:rPr>
          <w:rFonts w:hint="eastAsia" w:ascii="宋体" w:hAnsi="宋体" w:eastAsia="宋体" w:cs="宋体"/>
          <w:color w:val="auto"/>
          <w:kern w:val="0"/>
          <w:sz w:val="21"/>
          <w:szCs w:val="21"/>
          <w:highlight w:val="none"/>
          <w:lang w:val="en-US" w:eastAsia="zh-CN" w:bidi="ar"/>
        </w:rPr>
        <w:t>详见附件1：东莞市水务环境投资控股集团供水有限公司2026-2027年度清洁保洁、绿化养护、除“四害”及灭蚁防治服务采购项目采购需求及采购费用表）</w:t>
      </w:r>
    </w:p>
    <w:p w14:paraId="02ECFE4A">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p>
    <w:p w14:paraId="56F935BD">
      <w:pPr>
        <w:keepNext w:val="0"/>
        <w:keepLines w:val="0"/>
        <w:pageBreakBefore w:val="0"/>
        <w:widowControl/>
        <w:kinsoku/>
        <w:wordWrap/>
        <w:overflowPunct/>
        <w:topLinePunct w:val="0"/>
        <w:autoSpaceDE w:val="0"/>
        <w:autoSpaceDN w:val="0"/>
        <w:bidi w:val="0"/>
        <w:adjustRightInd/>
        <w:snapToGrid/>
        <w:spacing w:line="360" w:lineRule="auto"/>
        <w:jc w:val="left"/>
        <w:textAlignment w:val="auto"/>
        <w:outlineLvl w:val="1"/>
        <w:rPr>
          <w:rFonts w:hint="eastAsia" w:ascii="宋体" w:hAnsi="宋体" w:eastAsia="宋体" w:cs="宋体"/>
          <w:b/>
          <w:bCs/>
          <w:color w:val="auto"/>
          <w:kern w:val="0"/>
          <w:sz w:val="21"/>
          <w:szCs w:val="21"/>
          <w:highlight w:val="none"/>
          <w:lang w:val="en-US" w:eastAsia="zh-CN" w:bidi="ar"/>
        </w:rPr>
      </w:pPr>
      <w:r>
        <w:rPr>
          <w:rFonts w:hint="eastAsia" w:ascii="宋体" w:hAnsi="宋体" w:eastAsia="宋体" w:cs="宋体"/>
          <w:b/>
          <w:bCs/>
          <w:color w:val="auto"/>
          <w:kern w:val="0"/>
          <w:sz w:val="21"/>
          <w:szCs w:val="21"/>
          <w:highlight w:val="none"/>
          <w:lang w:bidi="ar"/>
        </w:rPr>
        <w:t>★三、服务内容</w:t>
      </w:r>
      <w:r>
        <w:rPr>
          <w:rFonts w:hint="eastAsia" w:ascii="宋体" w:hAnsi="宋体" w:eastAsia="宋体" w:cs="宋体"/>
          <w:b/>
          <w:bCs/>
          <w:color w:val="auto"/>
          <w:kern w:val="0"/>
          <w:sz w:val="21"/>
          <w:szCs w:val="21"/>
          <w:highlight w:val="none"/>
          <w:lang w:val="en-US" w:eastAsia="zh-CN" w:bidi="ar"/>
        </w:rPr>
        <w:t xml:space="preserve"> </w:t>
      </w:r>
    </w:p>
    <w:p w14:paraId="6916A40E">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（一）清洁保洁服务包括但不限于以下内容：</w:t>
      </w:r>
    </w:p>
    <w:p w14:paraId="5E1C4282">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1.室内行政办公区（含办公楼、宿舍、食堂）：</w:t>
      </w:r>
    </w:p>
    <w:p w14:paraId="428AF2EC">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（1）所有办公区域（含营业厅）的清洁保洁。如办公区域、会议室、接待室、饭堂、茶水间、洗手间、公共区域、楼梯、电梯、顶层天花板的清洁保洁工作。</w:t>
      </w:r>
    </w:p>
    <w:p w14:paraId="1A129CBA">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（2）生活区域的清洁保洁。员工生活楼、宿舍楼、健身活动室及相关公共区域的保洁工作。</w:t>
      </w:r>
    </w:p>
    <w:p w14:paraId="39EF7989">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2.道路（含停车场、运动场、门口广场、喷水池）：</w:t>
      </w:r>
    </w:p>
    <w:p w14:paraId="2E9F049C">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（1）雨污水井口、明渠的清掏及喷药；果皮箱的清扫。</w:t>
      </w:r>
    </w:p>
    <w:p w14:paraId="6B0516FB">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（2）大院、道路、运动场、喷水池的清扫冲洗。</w:t>
      </w:r>
    </w:p>
    <w:p w14:paraId="35044895">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（3）停车场及车库的卫生保洁。</w:t>
      </w:r>
    </w:p>
    <w:p w14:paraId="0C2FD98C">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kern w:val="0"/>
          <w:sz w:val="21"/>
          <w:szCs w:val="21"/>
          <w:highlight w:val="none"/>
          <w:lang w:bidi="ar"/>
        </w:rPr>
        <w:t>3.生产车间：</w:t>
      </w:r>
    </w:p>
    <w:p w14:paraId="1D6956BA">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生产车间地面（包括地面以上4米的墙体蜘蛛网及灰尘、门窗、护栏等保洁），保持地面洁净，无垃圾，地面4米以内无蜘蛛网，门窗、外墙、不锈钢扶手、天花、灭火器、安全用品柜、清水池玻璃罩、检验室的外围玻璃、阀门罩、池体盖板及垃圾网等洁净。</w:t>
      </w:r>
    </w:p>
    <w:p w14:paraId="249647F5">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生产车间屋面（包括屋面排水渠、雨水立管疏通），保持屋面清洁，无垃圾。</w:t>
      </w:r>
    </w:p>
    <w:p w14:paraId="3C3A8F3F">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生产车间（设施）外露管道，保持管道清洁，无蜘蛛网。</w:t>
      </w:r>
    </w:p>
    <w:p w14:paraId="0F0FEE12">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4.水面清洁：</w:t>
      </w:r>
    </w:p>
    <w:p w14:paraId="333ACB87">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水面垃圾的打捞清除，保持水面清洁。（含粗格栅、细格栅、絮凝池、沉淀池/二沉池、滤池、回收池、收集池、综合池、取水口等构筑物）。</w:t>
      </w:r>
    </w:p>
    <w:p w14:paraId="28AB4742">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5.池壁清洁：</w:t>
      </w:r>
    </w:p>
    <w:p w14:paraId="0B902BE9">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构筑物（含粗格栅、细格栅、格栅间、絮凝池、沉淀池/二沉池、集水槽、滤池、综合池、配水井、贮泥池、污泥泵房、消毒接触池、计量槽、脱水机房等）的池壁（含出水明渠、紫外渠池壁）、护栏、楼梯、走道板、气管槽、斜管、出水堰板、标识标牌、除臭罩等的清洁。</w:t>
      </w:r>
    </w:p>
    <w:p w14:paraId="7A73996B">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6.生活垃圾的清除，包括办公场所、值班室、宿舍、厨房等产生的垃圾，生活垃圾必须每天清除出厂，盛装垃圾的清洁垃圾桶、垃圾胶袋均由</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提供。</w:t>
      </w:r>
    </w:p>
    <w:p w14:paraId="3F0872DC">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7.生产垃圾的清除，包括生产各车间、粗格栅、细格栅、格栅间、絮凝池、沉淀池/二沉池、滤池、配水井等产生的垃圾，各类格栅的栅渣、沉砂池的泥沙、水面浮泥浮渣均属于生产垃圾的范围，生产垃圾必须每天清除出厂。盛装垃圾的清洁垃圾桶、垃圾胶袋由</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提供。</w:t>
      </w:r>
    </w:p>
    <w:p w14:paraId="43664F2C">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（二）绿化养护服务包括但不限于以下内容：</w:t>
      </w:r>
    </w:p>
    <w:p w14:paraId="17EF9AAF">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1.绿化的成活、修剪、施肥、浇水、除虫、清除杂草等日常养护。</w:t>
      </w:r>
    </w:p>
    <w:p w14:paraId="087CA8CB">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0"/>
          <w:sz w:val="21"/>
          <w:szCs w:val="21"/>
          <w:highlight w:val="none"/>
          <w:lang w:val="en-US" w:eastAsia="zh-CN" w:bidi="ar"/>
        </w:rPr>
        <w:t>2.乔（灌）木修剪、</w:t>
      </w:r>
      <w:r>
        <w:rPr>
          <w:rFonts w:hint="eastAsia" w:ascii="宋体" w:hAnsi="宋体" w:eastAsia="宋体" w:cs="宋体"/>
          <w:b/>
          <w:color w:val="auto"/>
          <w:kern w:val="0"/>
          <w:sz w:val="21"/>
          <w:szCs w:val="21"/>
          <w:highlight w:val="none"/>
          <w:lang w:bidi="ar"/>
        </w:rPr>
        <w:t>施肥、浇水、除虫</w:t>
      </w:r>
      <w:r>
        <w:rPr>
          <w:rFonts w:hint="eastAsia" w:ascii="宋体" w:hAnsi="宋体" w:eastAsia="宋体" w:cs="宋体"/>
          <w:b/>
          <w:color w:val="auto"/>
          <w:kern w:val="0"/>
          <w:sz w:val="21"/>
          <w:szCs w:val="21"/>
          <w:highlight w:val="none"/>
          <w:lang w:val="en-US" w:eastAsia="zh-CN" w:bidi="ar"/>
        </w:rPr>
        <w:t>及修剪后产生的绿化垃圾清运等，制定修剪、施肥工作计划并落实。</w:t>
      </w:r>
    </w:p>
    <w:p w14:paraId="69F8C66C">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.绿地保洁、草地铺沙平整（必须用疏草机对草地进行疏草）和植物老化的复壮等，绿化养护期内出现植物枯死情况，要求补种同规格同种类植物（花坛内的时花种养除外）。</w:t>
      </w:r>
    </w:p>
    <w:p w14:paraId="6E3BC874">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en-US" w:eastAsia="zh-CN" w:bidi="ar"/>
        </w:rPr>
        <w:t>4</w:t>
      </w:r>
      <w:r>
        <w:rPr>
          <w:rFonts w:hint="eastAsia" w:ascii="宋体" w:hAnsi="宋体" w:eastAsia="宋体" w:cs="宋体"/>
          <w:b/>
          <w:color w:val="auto"/>
          <w:kern w:val="0"/>
          <w:sz w:val="21"/>
          <w:szCs w:val="21"/>
          <w:highlight w:val="none"/>
          <w:lang w:bidi="ar"/>
        </w:rPr>
        <w:t>.厂建绿化设施的日常维护、清洁。包括：绿地洒水及喷灌系统的清洁、损坏维修；绿地内排水沟、雨水井口保洁及清淤、损坏维修等。</w:t>
      </w:r>
    </w:p>
    <w:p w14:paraId="6D169FC1">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val="en-US" w:eastAsia="zh-CN" w:bidi="ar"/>
        </w:rPr>
        <w:t>5</w:t>
      </w:r>
      <w:r>
        <w:rPr>
          <w:rFonts w:hint="eastAsia" w:ascii="宋体" w:hAnsi="宋体" w:eastAsia="宋体" w:cs="宋体"/>
          <w:b/>
          <w:color w:val="auto"/>
          <w:kern w:val="0"/>
          <w:sz w:val="21"/>
          <w:szCs w:val="21"/>
          <w:highlight w:val="none"/>
          <w:lang w:bidi="ar"/>
        </w:rPr>
        <w:t>.足球场维护，每周剪草一次，施肥一次，护期内出现草地枯死情况，需按同种标准补种草皮并养活。</w:t>
      </w:r>
    </w:p>
    <w:p w14:paraId="279CDCED">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val="en-US" w:eastAsia="zh-CN" w:bidi="ar"/>
        </w:rPr>
        <w:t>6</w:t>
      </w:r>
      <w:r>
        <w:rPr>
          <w:rFonts w:hint="eastAsia" w:ascii="宋体" w:hAnsi="宋体" w:eastAsia="宋体" w:cs="宋体"/>
          <w:b/>
          <w:color w:val="auto"/>
          <w:kern w:val="0"/>
          <w:sz w:val="21"/>
          <w:szCs w:val="21"/>
          <w:highlight w:val="none"/>
          <w:lang w:bidi="ar"/>
        </w:rPr>
        <w:t>.园林绿化垃圾的清除，包括厂区清理的杂草及树木的树叶等，园林绿化垃圾必须及时清除出厂，盛装垃圾的清洁垃圾桶、垃圾胶袋均由</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提供。</w:t>
      </w:r>
    </w:p>
    <w:p w14:paraId="553947BC">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（三）除“四害”及灭蚁防治服务包括但不限于以下内容：</w:t>
      </w:r>
    </w:p>
    <w:p w14:paraId="63FCFBF1">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lang w:eastAsia="zh-CN"/>
        </w:rPr>
      </w:pPr>
      <w:r>
        <w:rPr>
          <w:rFonts w:hint="eastAsia" w:ascii="宋体" w:hAnsi="宋体" w:eastAsia="宋体" w:cs="宋体"/>
          <w:b/>
          <w:color w:val="auto"/>
          <w:sz w:val="21"/>
          <w:szCs w:val="21"/>
          <w:highlight w:val="none"/>
          <w:lang w:val="en-US" w:eastAsia="zh-CN"/>
        </w:rPr>
        <w:t>1.按照以下安排，</w:t>
      </w:r>
      <w:r>
        <w:rPr>
          <w:rFonts w:hint="eastAsia" w:ascii="宋体" w:hAnsi="宋体" w:eastAsia="宋体" w:cs="宋体"/>
          <w:b/>
          <w:color w:val="auto"/>
          <w:sz w:val="21"/>
          <w:szCs w:val="21"/>
          <w:highlight w:val="none"/>
        </w:rPr>
        <w:t>对行政区域</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含含生产车间、办公楼内部</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和生产区域实施喷洒式</w:t>
      </w:r>
      <w:r>
        <w:rPr>
          <w:rFonts w:hint="eastAsia" w:ascii="宋体" w:hAnsi="宋体" w:eastAsia="宋体" w:cs="宋体"/>
          <w:b/>
          <w:color w:val="auto"/>
          <w:sz w:val="21"/>
          <w:szCs w:val="21"/>
          <w:highlight w:val="none"/>
          <w:lang w:val="en-US" w:eastAsia="zh-CN"/>
        </w:rPr>
        <w:t>或烟雾式</w:t>
      </w:r>
      <w:r>
        <w:rPr>
          <w:rFonts w:hint="eastAsia" w:ascii="宋体" w:hAnsi="宋体" w:eastAsia="宋体" w:cs="宋体"/>
          <w:b/>
          <w:color w:val="auto"/>
          <w:sz w:val="21"/>
          <w:szCs w:val="21"/>
          <w:highlight w:val="none"/>
        </w:rPr>
        <w:t>灭蚊子、苍蝇、蟑螂工作（特殊情况下应服从</w:t>
      </w:r>
      <w:r>
        <w:rPr>
          <w:rFonts w:hint="eastAsia" w:ascii="宋体" w:hAnsi="宋体" w:eastAsia="宋体" w:cs="宋体"/>
          <w:b/>
          <w:color w:val="auto"/>
          <w:sz w:val="21"/>
          <w:szCs w:val="21"/>
          <w:highlight w:val="none"/>
          <w:lang w:val="en-US" w:eastAsia="zh-CN"/>
        </w:rPr>
        <w:t>供水</w:t>
      </w:r>
      <w:r>
        <w:rPr>
          <w:rFonts w:hint="eastAsia" w:ascii="宋体" w:hAnsi="宋体" w:eastAsia="宋体" w:cs="宋体"/>
          <w:b/>
          <w:color w:val="auto"/>
          <w:sz w:val="21"/>
          <w:szCs w:val="21"/>
          <w:highlight w:val="none"/>
        </w:rPr>
        <w:t>公司要求增加服务次数）</w:t>
      </w:r>
      <w:r>
        <w:rPr>
          <w:rFonts w:hint="eastAsia" w:ascii="宋体" w:hAnsi="宋体" w:eastAsia="宋体" w:cs="宋体"/>
          <w:b/>
          <w:color w:val="auto"/>
          <w:sz w:val="21"/>
          <w:szCs w:val="21"/>
          <w:highlight w:val="none"/>
          <w:lang w:eastAsia="zh-CN"/>
        </w:rPr>
        <w:t>：</w:t>
      </w:r>
    </w:p>
    <w:p w14:paraId="10D3073B">
      <w:pPr>
        <w:keepNext w:val="0"/>
        <w:keepLines w:val="0"/>
        <w:widowControl/>
        <w:suppressLineNumbers w:val="0"/>
        <w:spacing w:line="360" w:lineRule="auto"/>
        <w:ind w:firstLine="422" w:firstLineChars="200"/>
        <w:jc w:val="left"/>
        <w:rPr>
          <w:rFonts w:hint="eastAsia" w:ascii="宋体" w:hAnsi="宋体" w:eastAsia="宋体" w:cs="宋体"/>
          <w:b/>
          <w:color w:val="auto"/>
          <w:kern w:val="2"/>
          <w:sz w:val="21"/>
          <w:szCs w:val="21"/>
          <w:highlight w:val="none"/>
          <w:lang w:val="en-US" w:eastAsia="zh-CN" w:bidi="ar"/>
        </w:rPr>
      </w:pPr>
      <w:r>
        <w:rPr>
          <w:rFonts w:hint="eastAsia" w:ascii="宋体" w:hAnsi="宋体" w:eastAsia="宋体" w:cs="宋体"/>
          <w:b/>
          <w:bCs w:val="0"/>
          <w:color w:val="auto"/>
          <w:kern w:val="2"/>
          <w:sz w:val="21"/>
          <w:szCs w:val="21"/>
          <w:highlight w:val="none"/>
          <w:lang w:val="en-US" w:eastAsia="zh-CN" w:bidi="ar"/>
        </w:rPr>
        <w:t>（1）越冬蚊杀灭阶段（每年12月至次年3月），</w:t>
      </w:r>
      <w:r>
        <w:rPr>
          <w:rFonts w:hint="eastAsia" w:ascii="宋体" w:hAnsi="宋体" w:eastAsia="宋体" w:cs="宋体"/>
          <w:b/>
          <w:color w:val="auto"/>
          <w:kern w:val="2"/>
          <w:sz w:val="21"/>
          <w:szCs w:val="21"/>
          <w:highlight w:val="none"/>
          <w:lang w:val="en-US" w:eastAsia="zh-CN" w:bidi="ar"/>
        </w:rPr>
        <w:t>每月一次：</w:t>
      </w:r>
      <w:r>
        <w:rPr>
          <w:rFonts w:hint="eastAsia" w:ascii="宋体" w:hAnsi="宋体" w:eastAsia="宋体" w:cs="宋体"/>
          <w:b/>
          <w:bCs w:val="0"/>
          <w:color w:val="auto"/>
          <w:kern w:val="2"/>
          <w:sz w:val="21"/>
          <w:szCs w:val="21"/>
          <w:highlight w:val="none"/>
          <w:lang w:val="en-US" w:eastAsia="zh-CN" w:bidi="ar"/>
        </w:rPr>
        <w:t>每月第1周周五</w:t>
      </w:r>
      <w:r>
        <w:rPr>
          <w:rFonts w:hint="eastAsia" w:ascii="宋体" w:hAnsi="宋体" w:eastAsia="宋体" w:cs="宋体"/>
          <w:b/>
          <w:color w:val="auto"/>
          <w:kern w:val="2"/>
          <w:sz w:val="21"/>
          <w:szCs w:val="21"/>
          <w:highlight w:val="none"/>
          <w:lang w:val="en-US" w:eastAsia="zh-CN" w:bidi="ar"/>
        </w:rPr>
        <w:t>开展1次集中消杀行动</w:t>
      </w:r>
      <w:r>
        <w:rPr>
          <w:rFonts w:hint="eastAsia" w:ascii="宋体" w:hAnsi="宋体" w:eastAsia="宋体" w:cs="宋体"/>
          <w:b/>
          <w:bCs w:val="0"/>
          <w:color w:val="auto"/>
          <w:kern w:val="2"/>
          <w:sz w:val="21"/>
          <w:szCs w:val="21"/>
          <w:highlight w:val="none"/>
          <w:lang w:val="en-US" w:eastAsia="zh-CN" w:bidi="ar"/>
        </w:rPr>
        <w:t>，</w:t>
      </w:r>
      <w:r>
        <w:rPr>
          <w:rFonts w:hint="eastAsia" w:ascii="宋体" w:hAnsi="宋体" w:eastAsia="宋体" w:cs="宋体"/>
          <w:b/>
          <w:color w:val="auto"/>
          <w:kern w:val="2"/>
          <w:sz w:val="21"/>
          <w:szCs w:val="21"/>
          <w:highlight w:val="none"/>
          <w:lang w:val="en-US" w:eastAsia="zh-CN" w:bidi="ar"/>
        </w:rPr>
        <w:t>逢法定节假日可适当调整；</w:t>
      </w:r>
    </w:p>
    <w:p w14:paraId="3D77A160">
      <w:pPr>
        <w:keepNext w:val="0"/>
        <w:keepLines w:val="0"/>
        <w:widowControl/>
        <w:suppressLineNumbers w:val="0"/>
        <w:spacing w:line="360" w:lineRule="auto"/>
        <w:ind w:firstLine="422" w:firstLineChars="200"/>
        <w:jc w:val="left"/>
        <w:rPr>
          <w:rFonts w:hint="eastAsia" w:ascii="宋体" w:hAnsi="宋体" w:eastAsia="宋体" w:cs="宋体"/>
          <w:b/>
          <w:color w:val="auto"/>
          <w:szCs w:val="21"/>
          <w:highlight w:val="none"/>
          <w:lang w:bidi="ar"/>
        </w:rPr>
      </w:pPr>
      <w:r>
        <w:rPr>
          <w:rFonts w:hint="eastAsia" w:ascii="宋体" w:hAnsi="宋体" w:eastAsia="宋体" w:cs="宋体"/>
          <w:b/>
          <w:color w:val="auto"/>
          <w:kern w:val="2"/>
          <w:sz w:val="21"/>
          <w:szCs w:val="21"/>
          <w:highlight w:val="none"/>
          <w:lang w:val="en-US" w:eastAsia="zh-CN" w:bidi="ar"/>
        </w:rPr>
        <w:t>（2）</w:t>
      </w:r>
      <w:r>
        <w:rPr>
          <w:rFonts w:hint="eastAsia" w:ascii="宋体" w:hAnsi="宋体" w:eastAsia="宋体" w:cs="宋体"/>
          <w:b/>
          <w:bCs w:val="0"/>
          <w:color w:val="auto"/>
          <w:kern w:val="2"/>
          <w:sz w:val="21"/>
          <w:szCs w:val="21"/>
          <w:highlight w:val="none"/>
          <w:lang w:val="en-US" w:eastAsia="zh-CN" w:bidi="ar"/>
        </w:rPr>
        <w:t>应对准备阶段（4至5月），每周一次：每周五</w:t>
      </w:r>
      <w:r>
        <w:rPr>
          <w:rFonts w:hint="eastAsia" w:ascii="宋体" w:hAnsi="宋体" w:eastAsia="宋体" w:cs="宋体"/>
          <w:b/>
          <w:color w:val="auto"/>
          <w:kern w:val="2"/>
          <w:sz w:val="21"/>
          <w:szCs w:val="21"/>
          <w:highlight w:val="none"/>
          <w:lang w:val="en-US" w:eastAsia="zh-CN" w:bidi="ar"/>
        </w:rPr>
        <w:t>开展 1 次集中消杀行动；</w:t>
      </w:r>
    </w:p>
    <w:p w14:paraId="16C613B9">
      <w:pPr>
        <w:keepNext w:val="0"/>
        <w:keepLines w:val="0"/>
        <w:widowControl/>
        <w:suppressLineNumbers w:val="0"/>
        <w:spacing w:line="360" w:lineRule="auto"/>
        <w:ind w:firstLine="422" w:firstLineChars="200"/>
        <w:jc w:val="left"/>
        <w:rPr>
          <w:rFonts w:hint="eastAsia"/>
          <w:highlight w:val="none"/>
        </w:rPr>
      </w:pPr>
      <w:r>
        <w:rPr>
          <w:rFonts w:hint="eastAsia" w:ascii="宋体" w:hAnsi="宋体" w:eastAsia="宋体" w:cs="宋体"/>
          <w:b/>
          <w:bCs w:val="0"/>
          <w:color w:val="auto"/>
          <w:kern w:val="2"/>
          <w:sz w:val="21"/>
          <w:szCs w:val="21"/>
          <w:highlight w:val="none"/>
          <w:lang w:val="en-US" w:eastAsia="zh-CN" w:bidi="ar"/>
        </w:rPr>
        <w:t>（3）防控强化阶段（6至11月），每周二次：每周二、周五</w:t>
      </w:r>
      <w:r>
        <w:rPr>
          <w:rFonts w:hint="eastAsia" w:ascii="宋体" w:hAnsi="宋体" w:eastAsia="宋体" w:cs="宋体"/>
          <w:b/>
          <w:color w:val="auto"/>
          <w:kern w:val="2"/>
          <w:sz w:val="21"/>
          <w:szCs w:val="21"/>
          <w:highlight w:val="none"/>
          <w:lang w:val="en-US" w:eastAsia="zh-CN" w:bidi="ar"/>
        </w:rPr>
        <w:t>各开展1次集中消杀行动。</w:t>
      </w:r>
    </w:p>
    <w:p w14:paraId="298453E2">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每周至少实施1次全厂区灭鼠</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灭红火蚁</w:t>
      </w:r>
      <w:r>
        <w:rPr>
          <w:rFonts w:hint="eastAsia" w:ascii="宋体" w:hAnsi="宋体" w:eastAsia="宋体" w:cs="宋体"/>
          <w:b/>
          <w:color w:val="auto"/>
          <w:sz w:val="21"/>
          <w:szCs w:val="21"/>
          <w:highlight w:val="none"/>
        </w:rPr>
        <w:t>工作，施放老鼠药及填补鼠洞，及时清理死鼠。</w:t>
      </w:r>
    </w:p>
    <w:p w14:paraId="69ED3371">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每半月至少1次对厂区所有区域</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lang w:val="en-US" w:eastAsia="zh-CN"/>
        </w:rPr>
        <w:t>含生产车间、办公楼内部</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sz w:val="21"/>
          <w:szCs w:val="21"/>
          <w:highlight w:val="none"/>
        </w:rPr>
        <w:t>进行白蚁检查，如有发现</w:t>
      </w:r>
      <w:r>
        <w:rPr>
          <w:rFonts w:hint="eastAsia" w:ascii="宋体" w:hAnsi="宋体" w:eastAsia="宋体" w:cs="宋体"/>
          <w:b/>
          <w:color w:val="auto"/>
          <w:sz w:val="21"/>
          <w:szCs w:val="21"/>
          <w:highlight w:val="none"/>
          <w:lang w:val="en-US" w:eastAsia="zh-CN"/>
        </w:rPr>
        <w:t>应</w:t>
      </w:r>
      <w:r>
        <w:rPr>
          <w:rFonts w:hint="eastAsia" w:ascii="宋体" w:hAnsi="宋体" w:eastAsia="宋体" w:cs="宋体"/>
          <w:b/>
          <w:color w:val="auto"/>
          <w:sz w:val="21"/>
          <w:szCs w:val="21"/>
          <w:highlight w:val="none"/>
        </w:rPr>
        <w:t>立即</w:t>
      </w:r>
      <w:r>
        <w:rPr>
          <w:rFonts w:hint="eastAsia" w:ascii="宋体" w:hAnsi="宋体" w:eastAsia="宋体" w:cs="宋体"/>
          <w:b/>
          <w:color w:val="auto"/>
          <w:sz w:val="21"/>
          <w:szCs w:val="21"/>
          <w:highlight w:val="none"/>
          <w:lang w:val="en-US" w:eastAsia="zh-CN"/>
        </w:rPr>
        <w:t>进行防治</w:t>
      </w:r>
      <w:r>
        <w:rPr>
          <w:rFonts w:hint="eastAsia" w:ascii="宋体" w:hAnsi="宋体" w:eastAsia="宋体" w:cs="宋体"/>
          <w:b/>
          <w:color w:val="auto"/>
          <w:sz w:val="21"/>
          <w:szCs w:val="21"/>
          <w:highlight w:val="none"/>
        </w:rPr>
        <w:t>处理。</w:t>
      </w:r>
    </w:p>
    <w:p w14:paraId="762093CE">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害虫繁殖高峰期要加强</w:t>
      </w:r>
      <w:r>
        <w:rPr>
          <w:rFonts w:hint="eastAsia" w:ascii="宋体" w:hAnsi="宋体" w:eastAsia="宋体" w:cs="宋体"/>
          <w:b/>
          <w:color w:val="auto"/>
          <w:sz w:val="21"/>
          <w:szCs w:val="21"/>
          <w:highlight w:val="none"/>
          <w:lang w:val="en-US" w:eastAsia="zh-CN"/>
        </w:rPr>
        <w:t>防治工作</w:t>
      </w:r>
      <w:r>
        <w:rPr>
          <w:rFonts w:hint="eastAsia" w:ascii="宋体" w:hAnsi="宋体" w:eastAsia="宋体" w:cs="宋体"/>
          <w:b/>
          <w:color w:val="auto"/>
          <w:sz w:val="21"/>
          <w:szCs w:val="21"/>
          <w:highlight w:val="none"/>
        </w:rPr>
        <w:t>，保证效果。</w:t>
      </w:r>
    </w:p>
    <w:p w14:paraId="72B5FE84">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特殊情况下（例如“登革热”爆发期），</w:t>
      </w:r>
      <w:r>
        <w:rPr>
          <w:rFonts w:hint="eastAsia" w:ascii="宋体" w:hAnsi="宋体" w:eastAsia="宋体" w:cs="宋体"/>
          <w:b/>
          <w:color w:val="auto"/>
          <w:sz w:val="21"/>
          <w:szCs w:val="21"/>
          <w:highlight w:val="none"/>
          <w:lang w:val="en-US" w:eastAsia="zh-CN"/>
        </w:rPr>
        <w:t>应</w:t>
      </w:r>
      <w:r>
        <w:rPr>
          <w:rFonts w:hint="eastAsia" w:ascii="宋体" w:hAnsi="宋体" w:eastAsia="宋体" w:cs="宋体"/>
          <w:b/>
          <w:color w:val="auto"/>
          <w:sz w:val="21"/>
          <w:szCs w:val="21"/>
          <w:highlight w:val="none"/>
        </w:rPr>
        <w:t>招标人</w:t>
      </w:r>
      <w:r>
        <w:rPr>
          <w:rFonts w:hint="eastAsia" w:ascii="宋体" w:hAnsi="宋体" w:eastAsia="宋体" w:cs="宋体"/>
          <w:b/>
          <w:color w:val="auto"/>
          <w:sz w:val="21"/>
          <w:szCs w:val="21"/>
          <w:highlight w:val="none"/>
          <w:lang w:val="en-US" w:eastAsia="zh-CN"/>
        </w:rPr>
        <w:t>要求</w:t>
      </w:r>
      <w:r>
        <w:rPr>
          <w:rFonts w:hint="eastAsia" w:ascii="宋体" w:hAnsi="宋体" w:eastAsia="宋体" w:cs="宋体"/>
          <w:b/>
          <w:color w:val="auto"/>
          <w:sz w:val="21"/>
          <w:szCs w:val="21"/>
          <w:highlight w:val="none"/>
        </w:rPr>
        <w:t>加强除“四害”力度，保证效果。</w:t>
      </w:r>
    </w:p>
    <w:p w14:paraId="36542D31">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服务范围内收集动物尸体工作（含老鼠、蟑螂等收集清理工作），并将尸体无害化处理。</w:t>
      </w:r>
    </w:p>
    <w:p w14:paraId="353C466C">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每周1次对行政区域和生产区域下水渠实施灭蚊处理。</w:t>
      </w:r>
    </w:p>
    <w:p w14:paraId="75A45603">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p>
    <w:p w14:paraId="4FD18B6E">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四、投标报价与服务费支付</w:t>
      </w:r>
    </w:p>
    <w:p w14:paraId="0C292FD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（一）采购方式及预算：</w:t>
      </w:r>
    </w:p>
    <w:p w14:paraId="46C1301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lang w:bidi="ar"/>
        </w:rPr>
      </w:pPr>
      <w:r>
        <w:rPr>
          <w:rFonts w:hint="eastAsia" w:ascii="宋体" w:hAnsi="宋体" w:eastAsia="宋体" w:cs="宋体"/>
          <w:color w:val="auto"/>
          <w:kern w:val="0"/>
          <w:sz w:val="21"/>
          <w:szCs w:val="21"/>
          <w:highlight w:val="none"/>
          <w:lang w:bidi="ar"/>
        </w:rPr>
        <w:t>为保障服务的整体质量，本次清洁保洁、绿化养护、除“四害”及灭蚁防治服务单位统一为1个服务单位，采购1家专业服务公司服务，服务范围：东莞市辖区内；服务期为</w:t>
      </w:r>
      <w:r>
        <w:rPr>
          <w:rFonts w:hint="eastAsia" w:ascii="宋体" w:hAnsi="宋体" w:eastAsia="宋体" w:cs="宋体"/>
          <w:color w:val="auto"/>
          <w:kern w:val="0"/>
          <w:sz w:val="21"/>
          <w:szCs w:val="21"/>
          <w:highlight w:val="none"/>
          <w:lang w:val="en-US" w:eastAsia="zh-CN" w:bidi="ar"/>
        </w:rPr>
        <w:t>16</w:t>
      </w:r>
      <w:r>
        <w:rPr>
          <w:rFonts w:hint="eastAsia" w:ascii="宋体" w:hAnsi="宋体" w:eastAsia="宋体" w:cs="宋体"/>
          <w:color w:val="auto"/>
          <w:kern w:val="0"/>
          <w:sz w:val="21"/>
          <w:szCs w:val="21"/>
          <w:highlight w:val="none"/>
          <w:lang w:bidi="ar"/>
        </w:rPr>
        <w:t>个月，暂定从202</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年</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月1日起到202</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年</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月</w:t>
      </w:r>
      <w:r>
        <w:rPr>
          <w:rFonts w:hint="eastAsia" w:ascii="宋体" w:hAnsi="宋体" w:eastAsia="宋体" w:cs="宋体"/>
          <w:color w:val="auto"/>
          <w:kern w:val="0"/>
          <w:sz w:val="21"/>
          <w:szCs w:val="21"/>
          <w:highlight w:val="none"/>
          <w:lang w:val="en-US" w:eastAsia="zh-CN" w:bidi="ar"/>
        </w:rPr>
        <w:t>30</w:t>
      </w:r>
      <w:r>
        <w:rPr>
          <w:rFonts w:hint="eastAsia" w:ascii="宋体" w:hAnsi="宋体" w:eastAsia="宋体" w:cs="宋体"/>
          <w:color w:val="auto"/>
          <w:kern w:val="0"/>
          <w:sz w:val="21"/>
          <w:szCs w:val="21"/>
          <w:highlight w:val="none"/>
          <w:lang w:bidi="ar"/>
        </w:rPr>
        <w:t>日止，预计需要清洁保洁、绿化养护人员合计约</w:t>
      </w:r>
      <w:r>
        <w:rPr>
          <w:rFonts w:hint="eastAsia" w:ascii="宋体" w:hAnsi="宋体" w:eastAsia="宋体" w:cs="宋体"/>
          <w:color w:val="auto"/>
          <w:kern w:val="0"/>
          <w:sz w:val="21"/>
          <w:szCs w:val="21"/>
          <w:highlight w:val="none"/>
          <w:lang w:val="en-US" w:eastAsia="zh-CN" w:bidi="ar"/>
        </w:rPr>
        <w:t>251</w:t>
      </w:r>
      <w:r>
        <w:rPr>
          <w:rFonts w:hint="eastAsia" w:ascii="宋体" w:hAnsi="宋体" w:eastAsia="宋体" w:cs="宋体"/>
          <w:color w:val="auto"/>
          <w:kern w:val="0"/>
          <w:sz w:val="21"/>
          <w:szCs w:val="21"/>
          <w:highlight w:val="none"/>
          <w:lang w:bidi="ar"/>
        </w:rPr>
        <w:t>人。</w:t>
      </w:r>
    </w:p>
    <w:p w14:paraId="4ABAB23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（二）服务合同期：</w:t>
      </w:r>
      <w:r>
        <w:rPr>
          <w:rFonts w:hint="eastAsia" w:ascii="宋体" w:hAnsi="宋体" w:eastAsia="宋体" w:cs="宋体"/>
          <w:color w:val="auto"/>
          <w:sz w:val="21"/>
          <w:szCs w:val="21"/>
          <w:highlight w:val="none"/>
        </w:rPr>
        <w:t>自招标人发出书面通知单</w:t>
      </w:r>
      <w:r>
        <w:rPr>
          <w:rFonts w:hint="eastAsia" w:ascii="宋体" w:hAnsi="宋体" w:eastAsia="宋体" w:cs="宋体"/>
          <w:color w:val="auto"/>
          <w:sz w:val="21"/>
          <w:szCs w:val="21"/>
          <w:highlight w:val="none"/>
          <w:lang w:val="en-US" w:eastAsia="zh-CN"/>
        </w:rPr>
        <w:t>明确入场时间</w:t>
      </w:r>
      <w:r>
        <w:rPr>
          <w:rFonts w:hint="eastAsia" w:ascii="宋体" w:hAnsi="宋体" w:eastAsia="宋体" w:cs="宋体"/>
          <w:color w:val="auto"/>
          <w:sz w:val="21"/>
          <w:szCs w:val="21"/>
          <w:highlight w:val="none"/>
        </w:rPr>
        <w:t>之日起至202</w:t>
      </w:r>
      <w:r>
        <w:rPr>
          <w:rFonts w:hint="eastAsia" w:ascii="宋体" w:hAnsi="宋体" w:eastAsia="宋体" w:cs="宋体"/>
          <w:color w:val="auto"/>
          <w:sz w:val="21"/>
          <w:szCs w:val="21"/>
          <w:highlight w:val="none"/>
          <w:lang w:val="en-US" w:eastAsia="zh-CN"/>
        </w:rPr>
        <w:t>7</w:t>
      </w:r>
      <w:r>
        <w:rPr>
          <w:rFonts w:hint="eastAsia" w:ascii="宋体" w:hAnsi="宋体" w:eastAsia="宋体" w:cs="宋体"/>
          <w:color w:val="auto"/>
          <w:sz w:val="21"/>
          <w:szCs w:val="21"/>
          <w:highlight w:val="none"/>
        </w:rPr>
        <w:t>年</w:t>
      </w:r>
      <w:r>
        <w:rPr>
          <w:rFonts w:hint="eastAsia" w:ascii="宋体" w:hAnsi="宋体" w:eastAsia="宋体" w:cs="宋体"/>
          <w:color w:val="auto"/>
          <w:sz w:val="21"/>
          <w:szCs w:val="21"/>
          <w:highlight w:val="none"/>
          <w:lang w:val="en-US" w:eastAsia="zh-CN"/>
        </w:rPr>
        <w:t>6</w:t>
      </w:r>
      <w:r>
        <w:rPr>
          <w:rFonts w:hint="eastAsia" w:ascii="宋体" w:hAnsi="宋体" w:eastAsia="宋体" w:cs="宋体"/>
          <w:color w:val="auto"/>
          <w:sz w:val="21"/>
          <w:szCs w:val="21"/>
          <w:highlight w:val="none"/>
        </w:rPr>
        <w:t>月</w:t>
      </w:r>
      <w:r>
        <w:rPr>
          <w:rFonts w:hint="eastAsia" w:ascii="宋体" w:hAnsi="宋体" w:eastAsia="宋体" w:cs="宋体"/>
          <w:color w:val="auto"/>
          <w:sz w:val="21"/>
          <w:szCs w:val="21"/>
          <w:highlight w:val="none"/>
          <w:lang w:val="en-US" w:eastAsia="zh-CN"/>
        </w:rPr>
        <w:t>30</w:t>
      </w:r>
      <w:r>
        <w:rPr>
          <w:rFonts w:hint="eastAsia" w:ascii="宋体" w:hAnsi="宋体" w:eastAsia="宋体" w:cs="宋体"/>
          <w:color w:val="auto"/>
          <w:sz w:val="21"/>
          <w:szCs w:val="21"/>
          <w:highlight w:val="none"/>
        </w:rPr>
        <w:t>日止</w:t>
      </w:r>
      <w:r>
        <w:rPr>
          <w:rFonts w:hint="eastAsia" w:ascii="宋体" w:hAnsi="宋体" w:eastAsia="宋体" w:cs="宋体"/>
          <w:color w:val="auto"/>
          <w:sz w:val="21"/>
          <w:szCs w:val="21"/>
          <w:highlight w:val="none"/>
          <w:lang w:eastAsia="zh-CN"/>
        </w:rPr>
        <w:t>，</w:t>
      </w:r>
      <w:r>
        <w:rPr>
          <w:rFonts w:hint="eastAsia" w:ascii="宋体" w:hAnsi="宋体" w:eastAsia="宋体" w:cs="宋体"/>
          <w:color w:val="auto"/>
          <w:kern w:val="0"/>
          <w:sz w:val="21"/>
          <w:szCs w:val="21"/>
          <w:highlight w:val="none"/>
          <w:lang w:val="en-US" w:eastAsia="zh-CN" w:bidi="ar"/>
        </w:rPr>
        <w:t>暂定从</w:t>
      </w:r>
      <w:r>
        <w:rPr>
          <w:rFonts w:hint="eastAsia" w:ascii="宋体" w:hAnsi="宋体" w:eastAsia="宋体" w:cs="宋体"/>
          <w:color w:val="auto"/>
          <w:kern w:val="0"/>
          <w:sz w:val="21"/>
          <w:szCs w:val="21"/>
          <w:highlight w:val="none"/>
          <w:lang w:bidi="ar"/>
        </w:rPr>
        <w:t>202</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年</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月1日起</w:t>
      </w:r>
      <w:r>
        <w:rPr>
          <w:rFonts w:hint="eastAsia" w:ascii="宋体" w:hAnsi="宋体" w:eastAsia="宋体" w:cs="宋体"/>
          <w:color w:val="auto"/>
          <w:kern w:val="0"/>
          <w:sz w:val="21"/>
          <w:szCs w:val="21"/>
          <w:highlight w:val="none"/>
          <w:lang w:val="en-US" w:eastAsia="zh-CN" w:bidi="ar"/>
        </w:rPr>
        <w:t>至</w:t>
      </w:r>
      <w:r>
        <w:rPr>
          <w:rFonts w:hint="eastAsia" w:ascii="宋体" w:hAnsi="宋体" w:eastAsia="宋体" w:cs="宋体"/>
          <w:color w:val="auto"/>
          <w:kern w:val="0"/>
          <w:sz w:val="21"/>
          <w:szCs w:val="21"/>
          <w:highlight w:val="none"/>
          <w:lang w:bidi="ar"/>
        </w:rPr>
        <w:t>202</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年</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月3</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日止</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16个月</w:t>
      </w:r>
      <w:r>
        <w:rPr>
          <w:rFonts w:hint="eastAsia" w:ascii="宋体" w:hAnsi="宋体" w:eastAsia="宋体" w:cs="宋体"/>
          <w:color w:val="auto"/>
          <w:kern w:val="0"/>
          <w:sz w:val="21"/>
          <w:szCs w:val="21"/>
          <w:highlight w:val="none"/>
          <w:lang w:bidi="ar"/>
        </w:rPr>
        <w:t>。</w:t>
      </w:r>
    </w:p>
    <w:p w14:paraId="4098146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Cs/>
          <w:color w:val="auto"/>
          <w:sz w:val="21"/>
          <w:szCs w:val="21"/>
          <w:highlight w:val="none"/>
        </w:rPr>
      </w:pPr>
      <w:r>
        <w:rPr>
          <w:rFonts w:hint="eastAsia" w:ascii="宋体" w:hAnsi="宋体" w:eastAsia="宋体" w:cs="宋体"/>
          <w:color w:val="auto"/>
          <w:kern w:val="0"/>
          <w:sz w:val="21"/>
          <w:szCs w:val="21"/>
          <w:highlight w:val="none"/>
          <w:lang w:bidi="ar"/>
        </w:rPr>
        <w:t>（三）服务地点：东莞市辖区内，各服务点所在地。</w:t>
      </w:r>
    </w:p>
    <w:p w14:paraId="4C230E8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（四）本项目采用折扣系数方式进行报价，各服务内容不含</w:t>
      </w:r>
      <w:r>
        <w:rPr>
          <w:rFonts w:hint="eastAsia" w:ascii="宋体" w:hAnsi="宋体" w:eastAsia="宋体" w:cs="宋体"/>
          <w:color w:val="auto"/>
          <w:kern w:val="0"/>
          <w:sz w:val="21"/>
          <w:szCs w:val="21"/>
          <w:highlight w:val="none"/>
          <w:lang w:val="en-US" w:eastAsia="zh-CN" w:bidi="ar"/>
        </w:rPr>
        <w:t>税</w:t>
      </w:r>
      <w:r>
        <w:rPr>
          <w:rFonts w:hint="eastAsia" w:ascii="宋体" w:hAnsi="宋体" w:eastAsia="宋体" w:cs="宋体"/>
          <w:color w:val="auto"/>
          <w:kern w:val="0"/>
          <w:sz w:val="21"/>
          <w:szCs w:val="21"/>
          <w:highlight w:val="none"/>
          <w:lang w:bidi="ar"/>
        </w:rPr>
        <w:t>预算综合单价及暂定采购服务费用具体内容详见《东莞市水务环境投资控股集团供水有限公司2026-2027年度清洁保洁、绿化养护、除“四害”及灭蚁防治服务采购项目采购需求及采购费用表》，并说明如下：</w:t>
      </w:r>
    </w:p>
    <w:p w14:paraId="7FF01F7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1.合同履约过程中，各</w:t>
      </w:r>
      <w:r>
        <w:rPr>
          <w:rFonts w:hint="eastAsia" w:ascii="宋体" w:hAnsi="宋体" w:eastAsia="宋体" w:cs="宋体"/>
          <w:color w:val="auto"/>
          <w:kern w:val="0"/>
          <w:sz w:val="21"/>
          <w:szCs w:val="21"/>
          <w:highlight w:val="none"/>
          <w:lang w:val="en-US" w:eastAsia="zh-CN" w:bidi="ar"/>
        </w:rPr>
        <w:t>服务点</w:t>
      </w:r>
      <w:r>
        <w:rPr>
          <w:rFonts w:hint="eastAsia" w:ascii="宋体" w:hAnsi="宋体" w:eastAsia="宋体" w:cs="宋体"/>
          <w:color w:val="auto"/>
          <w:kern w:val="0"/>
          <w:sz w:val="21"/>
          <w:szCs w:val="21"/>
          <w:highlight w:val="none"/>
          <w:lang w:bidi="ar"/>
        </w:rPr>
        <w:t>每月结算费用=∑各项服务</w:t>
      </w:r>
      <w:r>
        <w:rPr>
          <w:rFonts w:hint="eastAsia" w:ascii="宋体" w:hAnsi="宋体" w:eastAsia="宋体" w:cs="宋体"/>
          <w:bCs/>
          <w:color w:val="auto"/>
          <w:kern w:val="0"/>
          <w:sz w:val="21"/>
          <w:szCs w:val="21"/>
          <w:highlight w:val="none"/>
          <w:lang w:bidi="ar"/>
        </w:rPr>
        <w:t>不含税预算</w:t>
      </w:r>
      <w:r>
        <w:rPr>
          <w:rFonts w:hint="eastAsia" w:ascii="宋体" w:hAnsi="宋体" w:eastAsia="宋体" w:cs="宋体"/>
          <w:color w:val="auto"/>
          <w:kern w:val="0"/>
          <w:sz w:val="21"/>
          <w:szCs w:val="21"/>
          <w:highlight w:val="none"/>
          <w:lang w:bidi="ar"/>
        </w:rPr>
        <w:t>综合单价×当月该项服务面积×中标折扣系数×当月考核评分占比（服务考核评分高于90%或以上的，则当月考核评分占比为1；如服务考核评分占地低于90%，则按照该月考核评分占比计算）</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其中服务面积上下浮动10%以内（含10%），该月应付服务费不变；服务面积上下浮动超过10%，按实际服务面积计算该月应付服务费。各项服务</w:t>
      </w:r>
      <w:r>
        <w:rPr>
          <w:rFonts w:hint="eastAsia" w:ascii="宋体" w:hAnsi="宋体" w:eastAsia="宋体" w:cs="宋体"/>
          <w:bCs/>
          <w:color w:val="auto"/>
          <w:kern w:val="0"/>
          <w:sz w:val="21"/>
          <w:szCs w:val="21"/>
          <w:highlight w:val="none"/>
          <w:lang w:bidi="ar"/>
        </w:rPr>
        <w:t>不含税</w:t>
      </w:r>
      <w:r>
        <w:rPr>
          <w:rFonts w:hint="default" w:ascii="宋体" w:hAnsi="宋体" w:eastAsia="宋体" w:cs="宋体"/>
          <w:bCs/>
          <w:color w:val="auto"/>
          <w:kern w:val="0"/>
          <w:sz w:val="21"/>
          <w:szCs w:val="21"/>
          <w:highlight w:val="none"/>
          <w:lang w:val="en-US" w:bidi="ar"/>
        </w:rPr>
        <w:t>中标</w:t>
      </w:r>
      <w:r>
        <w:rPr>
          <w:rFonts w:hint="eastAsia" w:ascii="宋体" w:hAnsi="宋体" w:eastAsia="宋体" w:cs="宋体"/>
          <w:bCs/>
          <w:color w:val="auto"/>
          <w:kern w:val="0"/>
          <w:sz w:val="21"/>
          <w:szCs w:val="21"/>
          <w:highlight w:val="none"/>
          <w:lang w:bidi="ar"/>
        </w:rPr>
        <w:t>综合单价</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bCs/>
          <w:color w:val="auto"/>
          <w:kern w:val="0"/>
          <w:sz w:val="21"/>
          <w:szCs w:val="21"/>
          <w:highlight w:val="none"/>
          <w:lang w:val="en-US" w:eastAsia="zh-CN" w:bidi="ar"/>
        </w:rPr>
        <w:t>即：不含税中标综合单价=</w:t>
      </w:r>
      <w:r>
        <w:rPr>
          <w:rFonts w:hint="eastAsia" w:ascii="宋体" w:hAnsi="宋体" w:eastAsia="宋体" w:cs="宋体"/>
          <w:bCs/>
          <w:color w:val="auto"/>
          <w:kern w:val="0"/>
          <w:sz w:val="21"/>
          <w:szCs w:val="21"/>
          <w:highlight w:val="none"/>
          <w:lang w:bidi="ar"/>
        </w:rPr>
        <w:t>不含税预算</w:t>
      </w:r>
      <w:r>
        <w:rPr>
          <w:rFonts w:hint="eastAsia" w:ascii="宋体" w:hAnsi="宋体" w:eastAsia="宋体" w:cs="宋体"/>
          <w:color w:val="auto"/>
          <w:kern w:val="0"/>
          <w:sz w:val="21"/>
          <w:szCs w:val="21"/>
          <w:highlight w:val="none"/>
          <w:lang w:bidi="ar"/>
        </w:rPr>
        <w:t>综合单价×中标折扣系数</w:t>
      </w:r>
      <w:r>
        <w:rPr>
          <w:rFonts w:hint="eastAsia" w:ascii="宋体" w:hAnsi="宋体" w:eastAsia="宋体" w:cs="宋体"/>
          <w:bCs/>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在合同执行期间固定不变，不得因材料、劳务成本、运输成本、服务的行业标准或国家标准的变动或其他任何理由予以变更。</w:t>
      </w:r>
      <w:r>
        <w:rPr>
          <w:rFonts w:hint="eastAsia" w:eastAsia="宋体" w:cs="宋体"/>
          <w:sz w:val="21"/>
          <w:szCs w:val="21"/>
          <w:highlight w:val="none"/>
        </w:rPr>
        <w:t>服务</w:t>
      </w:r>
      <w:r>
        <w:rPr>
          <w:rFonts w:hint="eastAsia" w:eastAsia="宋体" w:cs="宋体"/>
          <w:sz w:val="21"/>
          <w:szCs w:val="21"/>
          <w:highlight w:val="none"/>
          <w:lang w:val="en-US" w:eastAsia="zh-CN"/>
        </w:rPr>
        <w:t>费</w:t>
      </w:r>
      <w:r>
        <w:rPr>
          <w:rFonts w:hint="eastAsia" w:eastAsia="宋体" w:cs="宋体"/>
          <w:sz w:val="21"/>
          <w:szCs w:val="21"/>
          <w:highlight w:val="none"/>
        </w:rPr>
        <w:t>计价表中的服务</w:t>
      </w:r>
      <w:r>
        <w:rPr>
          <w:rFonts w:hint="eastAsia" w:eastAsia="宋体" w:cs="宋体"/>
          <w:sz w:val="21"/>
          <w:szCs w:val="21"/>
          <w:highlight w:val="none"/>
          <w:lang w:val="en-US" w:eastAsia="zh-CN"/>
        </w:rPr>
        <w:t>点及服务面积</w:t>
      </w:r>
      <w:r>
        <w:rPr>
          <w:rFonts w:hint="eastAsia" w:eastAsia="宋体" w:cs="宋体"/>
          <w:sz w:val="21"/>
          <w:szCs w:val="21"/>
          <w:highlight w:val="none"/>
        </w:rPr>
        <w:t>仅为方便合计</w:t>
      </w:r>
      <w:r>
        <w:rPr>
          <w:rFonts w:hint="eastAsia" w:eastAsia="宋体" w:cs="宋体"/>
          <w:sz w:val="21"/>
          <w:szCs w:val="21"/>
          <w:highlight w:val="none"/>
          <w:lang w:val="en-US" w:eastAsia="zh-CN"/>
        </w:rPr>
        <w:t>本项项目的暂定采购金额</w:t>
      </w:r>
      <w:r>
        <w:rPr>
          <w:rFonts w:hint="eastAsia" w:eastAsia="宋体" w:cs="宋体"/>
          <w:sz w:val="21"/>
          <w:szCs w:val="21"/>
          <w:highlight w:val="none"/>
        </w:rPr>
        <w:t>，</w:t>
      </w:r>
      <w:r>
        <w:rPr>
          <w:rFonts w:hint="eastAsia" w:ascii="宋体" w:hAnsi="宋体" w:eastAsia="宋体" w:cs="宋体"/>
          <w:color w:val="auto"/>
          <w:kern w:val="0"/>
          <w:sz w:val="21"/>
          <w:szCs w:val="21"/>
          <w:highlight w:val="none"/>
          <w:lang w:bidi="ar"/>
        </w:rPr>
        <w:t>不作为招标人最终采购数量的保证。</w:t>
      </w:r>
    </w:p>
    <w:p w14:paraId="7C56A7D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2.合同履约过程中，如招标人有需要或有新增的办公点或生产点需要清洁保洁、绿化养护和除“四害”及灭蚁防治服务，可按中标折扣系数与</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签订补充协议。补充协议中各</w:t>
      </w:r>
      <w:r>
        <w:rPr>
          <w:rFonts w:hint="eastAsia" w:ascii="宋体" w:hAnsi="宋体" w:eastAsia="宋体" w:cs="宋体"/>
          <w:color w:val="auto"/>
          <w:kern w:val="0"/>
          <w:sz w:val="21"/>
          <w:szCs w:val="21"/>
          <w:highlight w:val="none"/>
          <w:lang w:val="en-US" w:eastAsia="zh-CN" w:bidi="ar"/>
        </w:rPr>
        <w:t>服务点</w:t>
      </w:r>
      <w:r>
        <w:rPr>
          <w:rFonts w:hint="eastAsia" w:ascii="宋体" w:hAnsi="宋体" w:eastAsia="宋体" w:cs="宋体"/>
          <w:color w:val="auto"/>
          <w:kern w:val="0"/>
          <w:sz w:val="21"/>
          <w:szCs w:val="21"/>
          <w:highlight w:val="none"/>
          <w:lang w:bidi="ar"/>
        </w:rPr>
        <w:t>每月结算费用=∑各项服务</w:t>
      </w:r>
      <w:r>
        <w:rPr>
          <w:rFonts w:hint="eastAsia" w:ascii="宋体" w:hAnsi="宋体" w:eastAsia="宋体" w:cs="宋体"/>
          <w:bCs/>
          <w:color w:val="auto"/>
          <w:kern w:val="0"/>
          <w:sz w:val="21"/>
          <w:szCs w:val="21"/>
          <w:highlight w:val="none"/>
          <w:lang w:bidi="ar"/>
        </w:rPr>
        <w:t>不含税预算综合</w:t>
      </w:r>
      <w:r>
        <w:rPr>
          <w:rFonts w:hint="eastAsia" w:ascii="宋体" w:hAnsi="宋体" w:eastAsia="宋体" w:cs="宋体"/>
          <w:color w:val="auto"/>
          <w:kern w:val="0"/>
          <w:sz w:val="21"/>
          <w:szCs w:val="21"/>
          <w:highlight w:val="none"/>
          <w:lang w:bidi="ar"/>
        </w:rPr>
        <w:t>单价×当月该项实际服务</w:t>
      </w:r>
      <w:r>
        <w:rPr>
          <w:rFonts w:hint="eastAsia" w:ascii="宋体" w:hAnsi="宋体" w:eastAsia="宋体" w:cs="宋体"/>
          <w:color w:val="auto"/>
          <w:kern w:val="0"/>
          <w:sz w:val="21"/>
          <w:szCs w:val="21"/>
          <w:highlight w:val="none"/>
          <w:lang w:val="en-US" w:eastAsia="zh-CN" w:bidi="ar"/>
        </w:rPr>
        <w:t>面积</w:t>
      </w:r>
      <w:r>
        <w:rPr>
          <w:rFonts w:hint="eastAsia" w:ascii="宋体" w:hAnsi="宋体" w:eastAsia="宋体" w:cs="宋体"/>
          <w:color w:val="auto"/>
          <w:kern w:val="0"/>
          <w:sz w:val="21"/>
          <w:szCs w:val="21"/>
          <w:highlight w:val="none"/>
          <w:lang w:bidi="ar"/>
        </w:rPr>
        <w:t>×中标折扣系数×当月考核评分占比（服务考核评分高于90%或以上的，则当月考核评分占比为1；如服务考核评分占比低于90%，则按照该月考核评分占比计算），实际服务</w:t>
      </w:r>
      <w:r>
        <w:rPr>
          <w:rFonts w:hint="eastAsia" w:ascii="宋体" w:hAnsi="宋体" w:eastAsia="宋体" w:cs="宋体"/>
          <w:color w:val="auto"/>
          <w:kern w:val="0"/>
          <w:sz w:val="21"/>
          <w:szCs w:val="21"/>
          <w:highlight w:val="none"/>
          <w:lang w:val="en-US" w:eastAsia="zh-CN" w:bidi="ar"/>
        </w:rPr>
        <w:t>面积</w:t>
      </w:r>
      <w:r>
        <w:rPr>
          <w:rFonts w:hint="eastAsia" w:ascii="宋体" w:hAnsi="宋体" w:eastAsia="宋体" w:cs="宋体"/>
          <w:color w:val="auto"/>
          <w:kern w:val="0"/>
          <w:sz w:val="21"/>
          <w:szCs w:val="21"/>
          <w:highlight w:val="none"/>
          <w:lang w:bidi="ar"/>
        </w:rPr>
        <w:t>以招标人确认为准。</w:t>
      </w:r>
    </w:p>
    <w:p w14:paraId="6083F98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3.招标人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含</w:t>
      </w:r>
      <w:r>
        <w:rPr>
          <w:rFonts w:hint="eastAsia" w:ascii="宋体" w:hAnsi="宋体" w:eastAsia="宋体" w:cs="宋体"/>
          <w:color w:val="auto"/>
          <w:kern w:val="0"/>
          <w:sz w:val="21"/>
          <w:szCs w:val="21"/>
          <w:highlight w:val="none"/>
          <w:lang w:bidi="ar"/>
        </w:rPr>
        <w:t>其权属分公司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每月根据考评结果情况支付实际服务费给</w:t>
      </w:r>
      <w:r>
        <w:rPr>
          <w:rFonts w:hint="eastAsia" w:ascii="宋体" w:hAnsi="宋体" w:eastAsia="宋体" w:cs="宋体"/>
          <w:color w:val="auto"/>
          <w:kern w:val="0"/>
          <w:sz w:val="21"/>
          <w:szCs w:val="21"/>
          <w:highlight w:val="none"/>
          <w:lang w:eastAsia="zh-CN" w:bidi="ar"/>
        </w:rPr>
        <w:t>服务单位：</w:t>
      </w:r>
    </w:p>
    <w:p w14:paraId="6FF11C1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bidi="ar"/>
        </w:rPr>
      </w:pPr>
    </w:p>
    <w:p w14:paraId="74C8B077">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eastAsia="zh-CN" w:bidi="ar"/>
        </w:rPr>
        <w:t>）当实际考核项目总分满分为100分，</w:t>
      </w:r>
      <w:r>
        <w:rPr>
          <w:rFonts w:hint="eastAsia" w:ascii="宋体" w:hAnsi="宋体" w:eastAsia="宋体" w:cs="宋体"/>
          <w:color w:val="auto"/>
          <w:kern w:val="0"/>
          <w:sz w:val="21"/>
          <w:szCs w:val="21"/>
          <w:highlight w:val="none"/>
          <w:lang w:bidi="ar"/>
        </w:rPr>
        <w:t>如招标人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含</w:t>
      </w:r>
      <w:r>
        <w:rPr>
          <w:rFonts w:hint="eastAsia" w:ascii="宋体" w:hAnsi="宋体" w:eastAsia="宋体" w:cs="宋体"/>
          <w:color w:val="auto"/>
          <w:kern w:val="0"/>
          <w:sz w:val="21"/>
          <w:szCs w:val="21"/>
          <w:highlight w:val="none"/>
          <w:lang w:bidi="ar"/>
        </w:rPr>
        <w:t>其权属分公司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对</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的服务考核评分达到90分或以上的，该月服务费全额支付；如招标人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含</w:t>
      </w:r>
      <w:r>
        <w:rPr>
          <w:rFonts w:hint="eastAsia" w:ascii="宋体" w:hAnsi="宋体" w:eastAsia="宋体" w:cs="宋体"/>
          <w:color w:val="auto"/>
          <w:kern w:val="0"/>
          <w:sz w:val="21"/>
          <w:szCs w:val="21"/>
          <w:highlight w:val="none"/>
          <w:lang w:bidi="ar"/>
        </w:rPr>
        <w:t>其权属分公司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对</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的服务考核评分不足90分的，该月实际支付的服务费=该月应支付服务费×当月考核评分占比；如发现累计两个月未达到60分时，且服务单位没有提供令招标人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含</w:t>
      </w:r>
      <w:r>
        <w:rPr>
          <w:rFonts w:hint="eastAsia" w:ascii="宋体" w:hAnsi="宋体" w:eastAsia="宋体" w:cs="宋体"/>
          <w:color w:val="auto"/>
          <w:kern w:val="0"/>
          <w:sz w:val="21"/>
          <w:szCs w:val="21"/>
          <w:highlight w:val="none"/>
          <w:lang w:bidi="ar"/>
        </w:rPr>
        <w:t>其权属分公司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认可的整改方案的，招标人有权单方解除合同。</w:t>
      </w:r>
    </w:p>
    <w:p w14:paraId="7D7DBF0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当实际考核项目总分满分不足100分，将考核分数按百分制进行折算（折算分数=实际得分/满分</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100），折算后高于</w:t>
      </w:r>
      <w:r>
        <w:rPr>
          <w:rFonts w:hint="eastAsia" w:ascii="宋体" w:hAnsi="宋体" w:eastAsia="宋体" w:cs="宋体"/>
          <w:color w:val="auto"/>
          <w:kern w:val="0"/>
          <w:szCs w:val="21"/>
          <w:highlight w:val="none"/>
          <w:lang w:val="en-US" w:eastAsia="zh-CN" w:bidi="ar"/>
        </w:rPr>
        <w:t>90%</w:t>
      </w:r>
      <w:r>
        <w:rPr>
          <w:rFonts w:hint="eastAsia" w:ascii="宋体" w:hAnsi="宋体" w:eastAsia="宋体" w:cs="宋体"/>
          <w:color w:val="auto"/>
          <w:kern w:val="0"/>
          <w:sz w:val="21"/>
          <w:szCs w:val="21"/>
          <w:highlight w:val="none"/>
          <w:lang w:eastAsia="zh-CN" w:bidi="ar"/>
        </w:rPr>
        <w:t>或以上的，该月服务费全额支付；</w:t>
      </w:r>
      <w:r>
        <w:rPr>
          <w:rFonts w:hint="eastAsia" w:ascii="宋体" w:hAnsi="宋体" w:eastAsia="宋体" w:cs="宋体"/>
          <w:kern w:val="0"/>
          <w:szCs w:val="21"/>
          <w:highlight w:val="none"/>
          <w:lang w:bidi="ar"/>
        </w:rPr>
        <w:t>如</w:t>
      </w:r>
      <w:r>
        <w:rPr>
          <w:rFonts w:hint="eastAsia" w:ascii="宋体" w:hAnsi="宋体" w:eastAsia="宋体" w:cs="宋体"/>
          <w:color w:val="auto"/>
          <w:kern w:val="0"/>
          <w:sz w:val="21"/>
          <w:szCs w:val="21"/>
          <w:highlight w:val="none"/>
          <w:lang w:bidi="ar"/>
        </w:rPr>
        <w:t>招标人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含</w:t>
      </w:r>
      <w:r>
        <w:rPr>
          <w:rFonts w:hint="eastAsia" w:ascii="宋体" w:hAnsi="宋体" w:eastAsia="宋体" w:cs="宋体"/>
          <w:color w:val="auto"/>
          <w:kern w:val="0"/>
          <w:sz w:val="21"/>
          <w:szCs w:val="21"/>
          <w:highlight w:val="none"/>
          <w:lang w:bidi="ar"/>
        </w:rPr>
        <w:t>其权属分公司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kern w:val="0"/>
          <w:szCs w:val="21"/>
          <w:highlight w:val="none"/>
          <w:lang w:bidi="ar"/>
        </w:rPr>
        <w:t>对</w:t>
      </w:r>
      <w:r>
        <w:rPr>
          <w:rFonts w:hint="eastAsia" w:ascii="宋体" w:hAnsi="宋体" w:eastAsia="宋体" w:cs="宋体"/>
          <w:kern w:val="0"/>
          <w:szCs w:val="21"/>
          <w:highlight w:val="none"/>
          <w:lang w:val="en-US" w:eastAsia="zh-CN" w:bidi="ar"/>
        </w:rPr>
        <w:t>服务单位</w:t>
      </w:r>
      <w:r>
        <w:rPr>
          <w:rFonts w:hint="eastAsia" w:ascii="宋体" w:hAnsi="宋体" w:eastAsia="宋体" w:cs="宋体"/>
          <w:kern w:val="0"/>
          <w:szCs w:val="21"/>
          <w:highlight w:val="none"/>
          <w:lang w:bidi="ar"/>
        </w:rPr>
        <w:t>的服务考核评分</w:t>
      </w:r>
      <w:r>
        <w:rPr>
          <w:rFonts w:hint="eastAsia" w:ascii="宋体" w:hAnsi="宋体" w:eastAsia="宋体" w:cs="宋体"/>
          <w:kern w:val="0"/>
          <w:szCs w:val="21"/>
          <w:highlight w:val="none"/>
          <w:lang w:val="en-US" w:eastAsia="zh-CN" w:bidi="ar"/>
        </w:rPr>
        <w:t>折算后</w:t>
      </w:r>
      <w:r>
        <w:rPr>
          <w:rFonts w:hint="eastAsia" w:ascii="宋体" w:hAnsi="宋体" w:eastAsia="宋体" w:cs="宋体"/>
          <w:kern w:val="0"/>
          <w:szCs w:val="21"/>
          <w:highlight w:val="none"/>
          <w:lang w:bidi="ar"/>
        </w:rPr>
        <w:t>不足</w:t>
      </w:r>
      <w:r>
        <w:rPr>
          <w:rFonts w:hint="eastAsia" w:ascii="宋体" w:hAnsi="宋体" w:eastAsia="宋体" w:cs="宋体"/>
          <w:color w:val="auto"/>
          <w:kern w:val="0"/>
          <w:szCs w:val="21"/>
          <w:highlight w:val="none"/>
          <w:lang w:val="en-US" w:eastAsia="zh-CN" w:bidi="ar"/>
        </w:rPr>
        <w:t>90%</w:t>
      </w:r>
      <w:r>
        <w:rPr>
          <w:rFonts w:hint="eastAsia" w:ascii="宋体" w:hAnsi="宋体" w:eastAsia="宋体" w:cs="宋体"/>
          <w:kern w:val="0"/>
          <w:szCs w:val="21"/>
          <w:highlight w:val="none"/>
          <w:lang w:bidi="ar"/>
        </w:rPr>
        <w:t>的，该月实际支付的服务费=该月应支付服务费×</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val="en-US" w:eastAsia="zh-CN" w:bidi="ar"/>
        </w:rPr>
        <w:t>折算分数/100</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bidi="ar"/>
        </w:rPr>
        <w:t>；如发现累计两个月</w:t>
      </w:r>
      <w:r>
        <w:rPr>
          <w:rFonts w:hint="eastAsia" w:ascii="宋体" w:hAnsi="宋体" w:eastAsia="宋体" w:cs="宋体"/>
          <w:kern w:val="0"/>
          <w:szCs w:val="21"/>
          <w:highlight w:val="none"/>
          <w:lang w:val="en-US" w:eastAsia="zh-CN" w:bidi="ar"/>
        </w:rPr>
        <w:t>折算后</w:t>
      </w:r>
      <w:r>
        <w:rPr>
          <w:rFonts w:hint="eastAsia" w:ascii="宋体" w:hAnsi="宋体" w:eastAsia="宋体" w:cs="宋体"/>
          <w:kern w:val="0"/>
          <w:szCs w:val="21"/>
          <w:highlight w:val="none"/>
          <w:lang w:bidi="ar"/>
        </w:rPr>
        <w:t>未达到60</w:t>
      </w:r>
      <w:r>
        <w:rPr>
          <w:rFonts w:hint="eastAsia" w:ascii="宋体" w:hAnsi="宋体" w:eastAsia="宋体" w:cs="宋体"/>
          <w:kern w:val="0"/>
          <w:szCs w:val="21"/>
          <w:highlight w:val="none"/>
          <w:lang w:val="en-US" w:eastAsia="zh-CN" w:bidi="ar"/>
        </w:rPr>
        <w:t>%</w:t>
      </w:r>
      <w:r>
        <w:rPr>
          <w:rFonts w:hint="eastAsia" w:ascii="宋体" w:hAnsi="宋体" w:eastAsia="宋体" w:cs="宋体"/>
          <w:kern w:val="0"/>
          <w:szCs w:val="21"/>
          <w:highlight w:val="none"/>
          <w:lang w:bidi="ar"/>
        </w:rPr>
        <w:t>时，且</w:t>
      </w:r>
      <w:r>
        <w:rPr>
          <w:rFonts w:hint="eastAsia" w:ascii="宋体" w:hAnsi="宋体" w:eastAsia="宋体" w:cs="宋体"/>
          <w:kern w:val="0"/>
          <w:szCs w:val="21"/>
          <w:highlight w:val="none"/>
          <w:lang w:val="en-US" w:eastAsia="zh-CN" w:bidi="ar"/>
        </w:rPr>
        <w:t>服务单位</w:t>
      </w:r>
      <w:r>
        <w:rPr>
          <w:rFonts w:hint="eastAsia" w:ascii="宋体" w:hAnsi="宋体" w:eastAsia="宋体" w:cs="宋体"/>
          <w:kern w:val="0"/>
          <w:szCs w:val="21"/>
          <w:highlight w:val="none"/>
          <w:lang w:bidi="ar"/>
        </w:rPr>
        <w:t>没有提供令</w:t>
      </w:r>
      <w:r>
        <w:rPr>
          <w:rFonts w:hint="eastAsia" w:ascii="宋体" w:hAnsi="宋体" w:eastAsia="宋体" w:cs="宋体"/>
          <w:color w:val="auto"/>
          <w:kern w:val="0"/>
          <w:sz w:val="21"/>
          <w:szCs w:val="21"/>
          <w:highlight w:val="none"/>
          <w:lang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Cs w:val="21"/>
          <w:highlight w:val="none"/>
          <w:lang w:bidi="ar"/>
        </w:rPr>
        <w:t>认可的整改方案的</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val="en-US" w:eastAsia="zh-CN" w:bidi="ar"/>
        </w:rPr>
        <w:t>招标人</w:t>
      </w:r>
      <w:r>
        <w:rPr>
          <w:rFonts w:hint="eastAsia" w:ascii="宋体" w:hAnsi="宋体" w:eastAsia="宋体" w:cs="宋体"/>
          <w:kern w:val="0"/>
          <w:szCs w:val="21"/>
          <w:highlight w:val="none"/>
          <w:lang w:bidi="ar"/>
        </w:rPr>
        <w:t>有权单方解除合同。</w:t>
      </w:r>
    </w:p>
    <w:p w14:paraId="4F364E2F">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4.承包期间所需水费（含污水处理费）由招标人或其权属分公司支付，所需设施维护费、垃圾处理费等由</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支付。按国家规定应由</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缴纳的各种费用已包含在合同价内，由</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负责向有关部门支付。</w:t>
      </w:r>
    </w:p>
    <w:p w14:paraId="619CD637">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上述结算费用，计算过程中按四舍五入的规则保留小数点后四位，确定支付金额后按四舍五入的规则保留小数点后两位。</w:t>
      </w:r>
    </w:p>
    <w:p w14:paraId="16A8AA71">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p>
    <w:p w14:paraId="07DB6DFD">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0"/>
          <w:sz w:val="21"/>
          <w:szCs w:val="21"/>
          <w:highlight w:val="none"/>
          <w:lang w:bidi="ar"/>
        </w:rPr>
        <w:t>五、工作要求</w:t>
      </w:r>
    </w:p>
    <w:p w14:paraId="37C20D7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（一）日常制度：</w:t>
      </w:r>
    </w:p>
    <w:p w14:paraId="0B41AF7F">
      <w:pPr>
        <w:keepNext w:val="0"/>
        <w:keepLines w:val="0"/>
        <w:pageBreakBefore w:val="0"/>
        <w:kinsoku/>
        <w:wordWrap/>
        <w:overflowPunct/>
        <w:topLinePunct w:val="0"/>
        <w:autoSpaceDE/>
        <w:autoSpaceDN/>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工作人员要按时上下班，上下班时间由</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报招标人或其权属分公司同意后实行</w:t>
      </w:r>
      <w:r>
        <w:rPr>
          <w:rFonts w:hint="eastAsia" w:ascii="宋体" w:hAnsi="宋体" w:eastAsia="宋体" w:cs="宋体"/>
          <w:color w:val="auto"/>
          <w:sz w:val="21"/>
          <w:szCs w:val="21"/>
          <w:highlight w:val="none"/>
        </w:rPr>
        <w:t>，</w:t>
      </w:r>
      <w:r>
        <w:rPr>
          <w:rFonts w:hint="eastAsia" w:ascii="宋体" w:hAnsi="宋体" w:eastAsia="宋体" w:cs="宋体"/>
          <w:color w:val="auto"/>
          <w:sz w:val="21"/>
          <w:szCs w:val="21"/>
          <w:highlight w:val="none"/>
          <w:lang w:val="en-US" w:eastAsia="zh-CN"/>
        </w:rPr>
        <w:t>服务单位</w:t>
      </w:r>
      <w:r>
        <w:rPr>
          <w:rFonts w:hint="eastAsia" w:ascii="宋体" w:hAnsi="宋体" w:eastAsia="宋体" w:cs="宋体"/>
          <w:color w:val="auto"/>
          <w:sz w:val="21"/>
          <w:szCs w:val="21"/>
          <w:highlight w:val="none"/>
        </w:rPr>
        <w:t>班前班后须清点人数。</w:t>
      </w:r>
    </w:p>
    <w:p w14:paraId="4D11FEA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工作人员要求：其中，涉及水面、池壁、池体清洁的男女员工</w:t>
      </w:r>
      <w:r>
        <w:rPr>
          <w:rFonts w:hint="eastAsia" w:ascii="宋体" w:hAnsi="宋体" w:eastAsia="宋体" w:cs="宋体"/>
          <w:color w:val="auto"/>
          <w:kern w:val="0"/>
          <w:sz w:val="21"/>
          <w:szCs w:val="21"/>
          <w:highlight w:val="none"/>
          <w:lang w:val="en-US" w:eastAsia="zh-CN" w:bidi="ar"/>
        </w:rPr>
        <w:t>需</w:t>
      </w:r>
      <w:r>
        <w:rPr>
          <w:rFonts w:hint="eastAsia" w:ascii="宋体" w:hAnsi="宋体" w:eastAsia="宋体" w:cs="宋体"/>
          <w:color w:val="auto"/>
          <w:kern w:val="0"/>
          <w:sz w:val="21"/>
          <w:szCs w:val="21"/>
          <w:highlight w:val="none"/>
          <w:lang w:bidi="ar"/>
        </w:rPr>
        <w:t>懂水性。所有员工穿统一工作服，不能出现如草帽乌黑、穿拖鞋、上下服装不统一等着装不整齐</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val="en-US" w:eastAsia="zh-CN" w:bidi="ar"/>
        </w:rPr>
        <w:t>情况</w:t>
      </w:r>
      <w:r>
        <w:rPr>
          <w:rFonts w:hint="eastAsia" w:ascii="宋体" w:hAnsi="宋体" w:eastAsia="宋体" w:cs="宋体"/>
          <w:color w:val="auto"/>
          <w:kern w:val="0"/>
          <w:sz w:val="21"/>
          <w:szCs w:val="21"/>
          <w:highlight w:val="none"/>
          <w:lang w:bidi="ar"/>
        </w:rPr>
        <w:t>。</w:t>
      </w:r>
    </w:p>
    <w:p w14:paraId="782344C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须向工作人员明确具有危险性的服务项目清单（包括但不限于：构筑物池面垃圾清理、构筑物池体清洗和清理杂草丛等），在开展危险作业前，必须按相关人员配置要求落实</w:t>
      </w:r>
      <w:r>
        <w:rPr>
          <w:rFonts w:hint="eastAsia" w:ascii="宋体" w:hAnsi="宋体" w:eastAsia="宋体" w:cs="宋体"/>
          <w:color w:val="auto"/>
          <w:kern w:val="0"/>
          <w:sz w:val="21"/>
          <w:szCs w:val="21"/>
          <w:highlight w:val="none"/>
          <w:lang w:val="en-US" w:eastAsia="zh-CN" w:bidi="ar"/>
        </w:rPr>
        <w:t>防护措施</w:t>
      </w:r>
      <w:r>
        <w:rPr>
          <w:rFonts w:hint="eastAsia" w:ascii="宋体" w:hAnsi="宋体" w:eastAsia="宋体" w:cs="宋体"/>
          <w:color w:val="auto"/>
          <w:kern w:val="0"/>
          <w:sz w:val="21"/>
          <w:szCs w:val="21"/>
          <w:highlight w:val="none"/>
          <w:lang w:bidi="ar"/>
        </w:rPr>
        <w:t>。</w:t>
      </w:r>
    </w:p>
    <w:p w14:paraId="23094CD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（二）清洁保洁：</w:t>
      </w:r>
    </w:p>
    <w:p w14:paraId="159F065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室内行政办公区（含办公楼、宿舍、食堂等）：每日至少清扫一次。包括但不限于办公室、会议室、接待室、饭堂、厨房、茶水间、洗手间、楼梯、电梯、顶层天花板、生活楼、宿舍楼、值班室、健身活动室及相关公共区域的清洁保洁工作。营业厅、领导办公室、会议室、接待室、厕所等公共区域，随时处理突发卫生情况。确保办公区干净整洁。</w:t>
      </w:r>
    </w:p>
    <w:p w14:paraId="5630E2A4">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路面（含大院、运动场、广场）每周至少保洁三次（如专家检查或水厂开放日等来访参观活动，按厂区要求进行保洁），保持路面洁净，无垃圾、积水、污迹。大院、停车场、广场、喷水池（如有）、运动场地面每周清洗一次。</w:t>
      </w:r>
    </w:p>
    <w:p w14:paraId="233E3B8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3.生产车间地面（包括地面以上4米的墙体蜘蛛网及灰尘、门窗、护栏等保洁）每周保洁两次，保持地面洁净，无垃圾，地面4米以内无蜘蛛网，门窗洁净。生产车间屋面（包括屋面排水渠、雨水立管疏通），每季度保洁一次，保持屋面清洁，无垃圾。生产车间（设施）外露管道，每季度保洁一次，保持管道清洁，无蜘蛛网。</w:t>
      </w:r>
    </w:p>
    <w:p w14:paraId="0BF0C42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4.取水口、格栅间、配水井、絮凝池、沉淀池、滤池等处的垃圾（含泥沙）每天清理外运出厂。垃圾桶要每周进行冲水消毒。</w:t>
      </w:r>
    </w:p>
    <w:p w14:paraId="706949C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5.取水口、格栅间、配水井、絮凝池、沉淀池、滤池等构筑物的楼梯、护栏（栏杆）、走道板、斜管、标识标牌以保持无积尘、蜘蛛网和鸟粪，每周拖、抹次数不少于1次。</w:t>
      </w:r>
    </w:p>
    <w:p w14:paraId="2A54CFF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6.取水口、格栅间、配水井、絮凝池、沉淀池、滤池等构筑物池内壁清洗需每周1-2次（具体以厂区需求为准）要求达到池壁干净，无积泥、青苔刮吸泥机支架应无蜘蛛网附着，虹吸管口无垃圾堆积，以免堵塞虹吸口。清洁集水槽及出水堰，要求无青苔、污泥附着。对于厂区池壁清洗、水面清洁有临时需求的，</w:t>
      </w:r>
      <w:r>
        <w:rPr>
          <w:rFonts w:hint="eastAsia" w:ascii="宋体" w:hAnsi="宋体" w:eastAsia="宋体" w:cs="宋体"/>
          <w:color w:val="auto"/>
          <w:kern w:val="0"/>
          <w:sz w:val="21"/>
          <w:szCs w:val="21"/>
          <w:highlight w:val="none"/>
          <w:lang w:val="en-US" w:eastAsia="zh-CN" w:bidi="ar"/>
        </w:rPr>
        <w:t>服务</w:t>
      </w:r>
      <w:r>
        <w:rPr>
          <w:rFonts w:hint="eastAsia" w:ascii="宋体" w:hAnsi="宋体" w:eastAsia="宋体" w:cs="宋体"/>
          <w:color w:val="auto"/>
          <w:kern w:val="0"/>
          <w:sz w:val="21"/>
          <w:szCs w:val="21"/>
          <w:highlight w:val="none"/>
          <w:lang w:bidi="ar"/>
        </w:rPr>
        <w:t>单位根据厂区需求做好清洗或配合工作。</w:t>
      </w:r>
    </w:p>
    <w:p w14:paraId="43C5F1A1">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7.招标人或其权属分公司进行絮凝池、沉淀池、滤池等构筑物放空大修时，</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应负责安排保洁人员用水带进行清理和冲洗池底、池壁和设备上的污泥及青苔，</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或</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委托的第三方单位外运垃圾须具备城市垃圾收集或倾倒的合法途径，并负责垃圾外运和承担相应的费用。冲洗设备时应按照招标人的要求进行。</w:t>
      </w:r>
    </w:p>
    <w:p w14:paraId="309FCDF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8.如有突击性的保洁任务时，</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应按时、按标准、按要求完成招标人所分配的保洁任务。</w:t>
      </w:r>
    </w:p>
    <w:p w14:paraId="468594C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9.保洁人员在清洁作业时，要遵守厂内的安全作业标准，尤其进行沉淀池、生物池清洁时，一定按要求佩戴安全带或穿救生衣，以免发生安全事故。</w:t>
      </w:r>
    </w:p>
    <w:p w14:paraId="1B1E164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10.负责生产区垃圾和办公区、宿舍区、食堂等生活区域的垃圾每天外运出厂。</w:t>
      </w:r>
    </w:p>
    <w:p w14:paraId="75A5F30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11.室外场地、道路、停车场等保持清洁无积尘、纸屑、树叶、烟头等杂物。</w:t>
      </w:r>
    </w:p>
    <w:p w14:paraId="5EE3A92F">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12.路灯、牌匾、宣传栏、标识标牌美观、整洁，无乱贴无污渍现象。</w:t>
      </w:r>
    </w:p>
    <w:p w14:paraId="2B4C321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13.所有清洁区域应达到无蚊、虫、老鼠、蛛网、果皮、烟头、纸屑，门、窗、墙面等经常打扫、清理，保持无</w:t>
      </w:r>
      <w:r>
        <w:rPr>
          <w:rFonts w:hint="eastAsia" w:ascii="宋体" w:hAnsi="宋体" w:eastAsia="宋体" w:cs="宋体"/>
          <w:color w:val="auto"/>
          <w:kern w:val="0"/>
          <w:sz w:val="21"/>
          <w:szCs w:val="21"/>
          <w:highlight w:val="none"/>
          <w:lang w:val="en-US" w:eastAsia="zh-CN" w:bidi="ar"/>
        </w:rPr>
        <w:t>污渍</w:t>
      </w:r>
      <w:r>
        <w:rPr>
          <w:rFonts w:hint="eastAsia" w:ascii="宋体" w:hAnsi="宋体" w:eastAsia="宋体" w:cs="宋体"/>
          <w:color w:val="auto"/>
          <w:kern w:val="0"/>
          <w:sz w:val="21"/>
          <w:szCs w:val="21"/>
          <w:highlight w:val="none"/>
          <w:lang w:bidi="ar"/>
        </w:rPr>
        <w:t>、积尘、积水。</w:t>
      </w:r>
    </w:p>
    <w:p w14:paraId="6CE6F000">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14.节假日，各服务点至少需清洁一次（办公区的公共区域需每日清扫一次），保证节假日期间，生产及办公场所整洁卫生。</w:t>
      </w:r>
    </w:p>
    <w:p w14:paraId="74A6D31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15.本项目清洁物资由</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自行配备，必须满足办公、生活区域保洁的要求。清洁物资包括但不限于</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清洁工具(车)盒、洗地车、水、百洁布、毛巾、扫帚、箕、清洁剂喷壶手刷、胶皮手套、玻璃刮、告示牌、垃圾袋、吸尘器、墩布(车)、梯子、全能清洁剂、玻璃洁洁剂、消毒酒精、铲刀、洁厕剂、洗手液、可降解垃圾袋、玻璃清洁剂、不锈钢清洁剂家居蜡、芳香球等。</w:t>
      </w:r>
    </w:p>
    <w:p w14:paraId="1583BFEE">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（三）绿化养护</w:t>
      </w:r>
      <w:r>
        <w:rPr>
          <w:rFonts w:hint="eastAsia" w:ascii="宋体" w:hAnsi="宋体" w:eastAsia="宋体" w:cs="宋体"/>
          <w:b/>
          <w:color w:val="auto"/>
          <w:kern w:val="0"/>
          <w:sz w:val="21"/>
          <w:szCs w:val="21"/>
          <w:highlight w:val="none"/>
          <w:lang w:bidi="ar"/>
        </w:rPr>
        <w:t>按二级</w:t>
      </w:r>
      <w:r>
        <w:rPr>
          <w:rFonts w:hint="eastAsia" w:ascii="宋体" w:hAnsi="宋体" w:eastAsia="宋体" w:cs="宋体"/>
          <w:color w:val="auto"/>
          <w:kern w:val="0"/>
          <w:sz w:val="21"/>
          <w:szCs w:val="21"/>
          <w:highlight w:val="none"/>
          <w:lang w:bidi="ar"/>
        </w:rPr>
        <w:t>养护质量标准（仅限市第三、四、六水厂及松山湖水厂）：</w:t>
      </w:r>
    </w:p>
    <w:p w14:paraId="39E8BB5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按照</w:t>
      </w:r>
      <w:r>
        <w:rPr>
          <w:rFonts w:hint="eastAsia" w:ascii="宋体" w:hAnsi="宋体" w:eastAsia="宋体" w:cs="宋体"/>
          <w:color w:val="auto"/>
          <w:kern w:val="0"/>
          <w:sz w:val="21"/>
          <w:szCs w:val="21"/>
          <w:highlight w:val="none"/>
          <w:lang w:val="en-US" w:eastAsia="zh-CN" w:bidi="ar"/>
        </w:rPr>
        <w:t>广东省</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城市绿地养护技术规范</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DB44/T268—2005的规定对绿地进行养护，制订较完善的养护技术方案，建有工种齐全和相对稳定的养护队伍，养护基本到位、得当，基本达到黄土不露天，绿地总体景观较好。</w:t>
      </w:r>
    </w:p>
    <w:p w14:paraId="643B0540">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2.园林植物</w:t>
      </w:r>
    </w:p>
    <w:p w14:paraId="65C886C0">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草坪植物叶片大小、色泽正常，基本无枯黄叶；其它植物新梢枝叶萌发正常，叶片大小和色泽正常，基本无枯枝败叶。新建植草坪的绿色期和覆盖率在一年内、其它新种植物的生长状况在两年内达到二级养护标准。</w:t>
      </w:r>
    </w:p>
    <w:p w14:paraId="67D055D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2.2乔木树冠基本完整，生长与开花结果正常；主侧枝分布基本合理，分枝点高度与树种特性基本相适应，分枝不影响游览及观景。基本无死株、缺株。</w:t>
      </w:r>
      <w:r>
        <w:rPr>
          <w:rFonts w:hint="eastAsia" w:ascii="宋体" w:hAnsi="宋体" w:eastAsia="宋体" w:cs="宋体"/>
          <w:color w:val="auto"/>
          <w:kern w:val="0"/>
          <w:sz w:val="21"/>
          <w:szCs w:val="21"/>
          <w:highlight w:val="none"/>
          <w:lang w:val="en-US" w:eastAsia="zh-CN" w:bidi="ar"/>
        </w:rPr>
        <w:t>人</w:t>
      </w:r>
      <w:r>
        <w:rPr>
          <w:rFonts w:hint="eastAsia" w:ascii="宋体" w:hAnsi="宋体" w:eastAsia="宋体" w:cs="宋体"/>
          <w:color w:val="auto"/>
          <w:kern w:val="0"/>
          <w:sz w:val="21"/>
          <w:szCs w:val="21"/>
          <w:highlight w:val="none"/>
          <w:lang w:bidi="ar"/>
        </w:rPr>
        <w:t>行道树的体量、高度基本保持一致，下缘线和分枝点高度的控制基本符合DB44/T268—2005的规定，倾斜率小于5%。</w:t>
      </w:r>
    </w:p>
    <w:p w14:paraId="58A8F64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2.3花灌木生长正常，株型完整，开花正常，花后修剪合理、及时。木本地被植物生长正常，覆盖率达到97%以上，基本无杂草，无死株、缺株。</w:t>
      </w:r>
    </w:p>
    <w:p w14:paraId="39539F0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2.4花坛、花带及绿篱轮廓基本清晰，线条基本整齐，无残缺，基本无杂草，修剪及时。</w:t>
      </w:r>
    </w:p>
    <w:p w14:paraId="2816516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2.5造型植物修剪合理，线条基本齐整、圆滑。规则式种植的造型植物，形状或体量基本保持一致；自然式种植的，形状和体量大小符合设计和景观的要求。</w:t>
      </w:r>
    </w:p>
    <w:p w14:paraId="3627981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藤本植物生长正常，开花适时，牵引合理，覆盖率不低于85%。藤本植物尚未到达棚顶或篱顶时，应设立支撑物并作牵引，以利其攀缠。当以建筑物墙（柱）体为攀缠对象时，应经常进行绑扎、整理。藤本植物的修剪应以促进分枝为主，加快覆盖和攀缠的速度；同时，剪除徒长枝和下垂枝。多年生的藤本植物应定期翻蔓，清除枯枝，疏删老弱藤蔓。</w:t>
      </w:r>
    </w:p>
    <w:p w14:paraId="62107F2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2.7草本花卉正常，株型完整，开花适时，开花时覆盖率达到90%以上，基本无杂草；花后需修剪的，得到合理修剪。</w:t>
      </w:r>
    </w:p>
    <w:p w14:paraId="65BD0D4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2.8草坪绿色期不少于250天，覆盖率不小于90%,杂草的覆盖率不超过3%,无积水，修剪合理。</w:t>
      </w:r>
    </w:p>
    <w:p w14:paraId="554C5CA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2.9水生植物生长旺盛，开花适时，生长范围符合景观要求。</w:t>
      </w:r>
    </w:p>
    <w:p w14:paraId="0678D7F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2.10绿篱生长旺盛，无死株，无明显断垄，无高草杂草，无明显病虫害发生。</w:t>
      </w:r>
    </w:p>
    <w:p w14:paraId="4F85604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2.11补植、改植于5天内完成。草坪补植或改植后一个月内覆盖率达到95%以上，其它植物补植或改植的成活率达到98%以上，补植乔木必须做好支撑。同时树木支撑根据树木生长情况适时进行“松绑”处理。</w:t>
      </w:r>
    </w:p>
    <w:p w14:paraId="36EEC61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bidi="ar"/>
        </w:rPr>
        <w:t>2.12病虫害控制及时、有效，被害植株不超过5%,被害叶片不超过植株叶片总量的3%。有害植物的危害得到及时治理，鼠害基本得到控制。同时注意防治红火蚁，选择使用高效、低毒、低残留、高质量的饵剂和粉剂为主，依据相关使用说明规范用药。</w:t>
      </w:r>
    </w:p>
    <w:p w14:paraId="7BABE4A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施肥要求：</w:t>
      </w:r>
      <w:r>
        <w:rPr>
          <w:rFonts w:hint="eastAsia" w:ascii="宋体" w:hAnsi="宋体" w:eastAsia="宋体" w:cs="宋体"/>
          <w:color w:val="auto"/>
          <w:kern w:val="0"/>
          <w:sz w:val="21"/>
          <w:szCs w:val="21"/>
          <w:highlight w:val="none"/>
          <w:lang w:val="en-US" w:eastAsia="zh-CN" w:bidi="ar"/>
        </w:rPr>
        <w:t>制定</w:t>
      </w:r>
      <w:r>
        <w:rPr>
          <w:rFonts w:hint="eastAsia" w:ascii="宋体" w:hAnsi="宋体" w:eastAsia="宋体" w:cs="宋体"/>
          <w:color w:val="auto"/>
          <w:kern w:val="0"/>
          <w:sz w:val="21"/>
          <w:szCs w:val="21"/>
          <w:highlight w:val="none"/>
          <w:lang w:bidi="ar"/>
        </w:rPr>
        <w:t>施肥</w:t>
      </w:r>
      <w:r>
        <w:rPr>
          <w:rFonts w:hint="eastAsia" w:ascii="宋体" w:hAnsi="宋体" w:eastAsia="宋体" w:cs="宋体"/>
          <w:color w:val="auto"/>
          <w:kern w:val="0"/>
          <w:sz w:val="21"/>
          <w:szCs w:val="21"/>
          <w:highlight w:val="none"/>
          <w:lang w:val="en-US" w:eastAsia="zh-CN" w:bidi="ar"/>
        </w:rPr>
        <w:t>工作计划。</w:t>
      </w:r>
      <w:r>
        <w:rPr>
          <w:rFonts w:hint="eastAsia" w:ascii="宋体" w:hAnsi="宋体" w:eastAsia="宋体" w:cs="宋体"/>
          <w:color w:val="auto"/>
          <w:kern w:val="0"/>
          <w:sz w:val="21"/>
          <w:szCs w:val="21"/>
          <w:highlight w:val="none"/>
          <w:lang w:bidi="ar"/>
        </w:rPr>
        <w:t>乔灌木每年不少于2次，2—3月和9—10月重点进行施肥，复合肥和基肥结合，每次2—3千克/株，对角埋施，新种、补种、生长势弱树木可适时适量多施；观花灌木每年不少于3次，每次0.5千克/株；草本花卉每年不少于4次，成片花卉每月撒施复合肥1次，每次0.15千克/平方米，每年根据其长势和覆盖率情况适当施基肥1—2次，每次0.5千克/平方米；绿篱每年撒施复合肥不少于2次，每次0.15千克/平方米，每年根据其长势和覆盖率情况适当施基肥1—2次，每次0.5千克/平方米；草地、地被每年不少于2次，每次施尿素0.1千克/平方米。</w:t>
      </w:r>
    </w:p>
    <w:p w14:paraId="44BC99A1">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淋水要求</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旱季一般乔木3—5天淋水1次，新补植乔木，淋好定根水后，1周内每天淋水1次；单丛灌木、成片花卉、绿篱一般2—3天淋水1次，补植后一周内每天淋水1次，施肥和补植需加强淋水；草地、地被一般每天淋水1次。雨季根据天气情况适当调节。</w:t>
      </w:r>
    </w:p>
    <w:p w14:paraId="55FB5151">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苗木修剪</w:t>
      </w:r>
    </w:p>
    <w:p w14:paraId="689BED6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1自然形乔木每年不少于1次，造型乔木每年不少于4次。主要修剪内膛枝、徒长枝、病虫枝、交叉枝、下垂枝、扭伤枝及枯枝烂头等。庭荫树的分枝点应随着树木生长逐步提高，树冠与树干高度的比例应在7：3至6：4之间。行道树在同一路段的分枝点高低、树高、冠幅大小应基本一致。</w:t>
      </w:r>
    </w:p>
    <w:p w14:paraId="5EB40B1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.2自然形灌木每年不少于1次，造型灌木每年不少6次。灌木修剪应促进枝繁叶茂、分布均匀。花灌木修剪要有利于短枝和花芽的形成，遵循“自下而上、先内后外、去弱留强、去老留新”的原则进行修剪。</w:t>
      </w:r>
    </w:p>
    <w:p w14:paraId="5886DD0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.3绿篱、模纹花坛修剪：绿篱、模纹花坛修剪每年不少于6次。</w:t>
      </w:r>
    </w:p>
    <w:p w14:paraId="3053B6B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4草坪修剪：结缕草属和狗牙根属草坪草每年不少于6次，假俭草属、地毯草属、钝叶草属草坪草不少于3次。结缕草属草修剪留茬高度1.3—5.0cm，地毯草属草修剪留茬高度2.5—5.0cm，假俭草属草修剪留茬高度2.5—5.0cm，钝叶草属草修剪留茬高度3.8—7.6cm，普通狗牙根修剪留茬高度1.3—3.8cm，杂种狗牙根修剪留茬高度0.6—2.5cm。</w:t>
      </w:r>
    </w:p>
    <w:p w14:paraId="50EE169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.5休眠期修剪以整形为主，可稍重剪，生长期修剪以调整树势为主，宜轻剪。修剪要避开树木伤流盛期。</w:t>
      </w:r>
    </w:p>
    <w:p w14:paraId="6F2BC94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5.6</w:t>
      </w:r>
      <w:r>
        <w:rPr>
          <w:rFonts w:hint="eastAsia" w:ascii="宋体" w:hAnsi="宋体" w:eastAsia="宋体" w:cs="宋体"/>
          <w:color w:val="auto"/>
          <w:kern w:val="0"/>
          <w:sz w:val="21"/>
          <w:szCs w:val="21"/>
          <w:highlight w:val="none"/>
          <w:lang w:bidi="ar"/>
        </w:rPr>
        <w:t>绿化修剪后的枯枝干叶等，在修剪当天及时清理运走，并及时清除灌木丛上的修剪枝，苗木落叶当天及时清扫保洁。</w:t>
      </w:r>
    </w:p>
    <w:p w14:paraId="6A609B63">
      <w:pPr>
        <w:keepNext w:val="0"/>
        <w:keepLines w:val="0"/>
        <w:pageBreakBefore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bidi="ar"/>
        </w:rPr>
      </w:pPr>
      <w:bookmarkStart w:id="452" w:name="OLE_LINK2"/>
      <w:r>
        <w:rPr>
          <w:rFonts w:hint="eastAsia" w:ascii="宋体" w:hAnsi="宋体" w:eastAsia="宋体" w:cs="宋体"/>
          <w:color w:val="auto"/>
          <w:kern w:val="0"/>
          <w:sz w:val="21"/>
          <w:szCs w:val="21"/>
          <w:highlight w:val="none"/>
          <w:lang w:val="en-US" w:eastAsia="zh-CN" w:bidi="ar"/>
        </w:rPr>
        <w:t>5.7制定苗木修剪计划并实施。</w:t>
      </w:r>
      <w:bookmarkEnd w:id="452"/>
    </w:p>
    <w:p w14:paraId="18DD233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浇灌</w:t>
      </w:r>
    </w:p>
    <w:p w14:paraId="79CC8A1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.1浇灌的实施应科学、合理、宜采用喷灌或滴灌等节水方式。对于花坛及道路分车带内植物，在干旱季节，可进行叶面喷水。在花芽分化时应适当控制浇灌量，以免园林植物徒长。</w:t>
      </w:r>
    </w:p>
    <w:p w14:paraId="3A0178F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.2日浇灌的时间应根据季节与气温决定，并注意控制水温与表土温差不宜太大，以免造成根系伤害。夏秋高温季节，浇灌应避开中午烈日，宜在10时之前或16时之后进行；冬季及早春，宜在10时至16时之间进行。</w:t>
      </w:r>
    </w:p>
    <w:p w14:paraId="3E60DF2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bidi="ar"/>
        </w:rPr>
        <w:t>.3喷灌时应确保喷水的有效范围与园林植物的种植范围一致。</w:t>
      </w:r>
    </w:p>
    <w:p w14:paraId="67396FD4">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安全作业</w:t>
      </w:r>
    </w:p>
    <w:p w14:paraId="601D5824">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截除较大的树枝、藤蔓或砍伐清除枯死的树体时，应预先制定施工方案和应急预案，采取必要的安全措施。砍伐或清除枯死树体，应严格依次按照先锯除侧枝和主枝，再分段锯除主干、后挖除树兜和回填种植土的操作程序作业。（砍伐城市树木必须经城市人民政府城市绿化行政主管部门批准。）</w:t>
      </w:r>
    </w:p>
    <w:p w14:paraId="300F0BA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规范开展高空作业工作，高空作业要使用升降车，不得站在车辆车厢、驾驶舱顶部或攀爬树木进行修剪，各单位要严格执行“双报备”、高处作业做到“五个必须”（必须培训持证上岗、必须实行作业审批、必须做好个人防护、必须落实工程措施、必须安排专人监护）。道路树木修剪作业时要做好安全防护措施，占道作业时要做好警示标志及雪糕筒的摆放。</w:t>
      </w:r>
    </w:p>
    <w:p w14:paraId="46D5C428">
      <w:pPr>
        <w:keepNext w:val="0"/>
        <w:keepLines w:val="0"/>
        <w:pageBreakBefore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bidi="ar"/>
        </w:rPr>
      </w:pPr>
      <w:r>
        <w:rPr>
          <w:rFonts w:hint="eastAsia" w:ascii="宋体" w:hAnsi="宋体" w:eastAsia="宋体" w:cs="宋体"/>
          <w:color w:val="auto"/>
          <w:sz w:val="21"/>
          <w:szCs w:val="21"/>
          <w:highlight w:val="none"/>
          <w:lang w:bidi="ar"/>
        </w:rPr>
        <w:t>（四）绿化养护</w:t>
      </w:r>
      <w:r>
        <w:rPr>
          <w:rFonts w:hint="eastAsia" w:ascii="宋体" w:hAnsi="宋体" w:eastAsia="宋体" w:cs="宋体"/>
          <w:b/>
          <w:color w:val="auto"/>
          <w:sz w:val="21"/>
          <w:szCs w:val="21"/>
          <w:highlight w:val="none"/>
          <w:lang w:bidi="ar"/>
        </w:rPr>
        <w:t>按三级</w:t>
      </w:r>
      <w:r>
        <w:rPr>
          <w:rFonts w:hint="eastAsia" w:ascii="宋体" w:hAnsi="宋体" w:eastAsia="宋体" w:cs="宋体"/>
          <w:color w:val="auto"/>
          <w:sz w:val="21"/>
          <w:szCs w:val="21"/>
          <w:highlight w:val="none"/>
          <w:lang w:bidi="ar"/>
        </w:rPr>
        <w:t>养护质量标准（其余水厂及分公司）：</w:t>
      </w:r>
    </w:p>
    <w:p w14:paraId="30527CB1">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按照DB44/T268—2005的规定对绿地进行养护，制订较完善的养护技术方案，建有工种齐全和相对稳定的养护队伍，养护基本到位、得当，基本达到黄土不露天，绿地总体景观较好。</w:t>
      </w:r>
    </w:p>
    <w:p w14:paraId="26A8C10F">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2.园林植物</w:t>
      </w:r>
    </w:p>
    <w:p w14:paraId="650DD65F">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val="en-US" w:eastAsia="zh-CN" w:bidi="ar"/>
        </w:rPr>
        <w:t>2.1草坪植物叶片大小、色泽正常，基本无枯黄叶；其它植物新梢枝叶萌发正常，叶片大小和色泽正常，基本无枯枝败叶。新建植草坪的绿色期和覆盖率在一年内、其它新种植物的生长状况在两年内达到三级养护标准。</w:t>
      </w:r>
    </w:p>
    <w:p w14:paraId="227A517F">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2.2</w:t>
      </w:r>
      <w:r>
        <w:rPr>
          <w:rFonts w:hint="eastAsia" w:ascii="宋体" w:hAnsi="宋体" w:eastAsia="宋体" w:cs="宋体"/>
          <w:color w:val="auto"/>
          <w:kern w:val="0"/>
          <w:sz w:val="21"/>
          <w:szCs w:val="21"/>
          <w:highlight w:val="none"/>
          <w:lang w:bidi="ar"/>
        </w:rPr>
        <w:t>乔木树冠基本完整，生长与开花结果正常；分枝</w:t>
      </w:r>
      <w:r>
        <w:rPr>
          <w:rFonts w:hint="eastAsia" w:ascii="宋体" w:hAnsi="宋体" w:eastAsia="宋体" w:cs="宋体"/>
          <w:color w:val="auto"/>
          <w:kern w:val="0"/>
          <w:sz w:val="21"/>
          <w:szCs w:val="21"/>
          <w:highlight w:val="none"/>
          <w:lang w:val="en-US" w:eastAsia="zh-CN" w:bidi="ar"/>
        </w:rPr>
        <w:t>基本</w:t>
      </w:r>
      <w:r>
        <w:rPr>
          <w:rFonts w:hint="eastAsia" w:ascii="宋体" w:hAnsi="宋体" w:eastAsia="宋体" w:cs="宋体"/>
          <w:color w:val="auto"/>
          <w:kern w:val="0"/>
          <w:sz w:val="21"/>
          <w:szCs w:val="21"/>
          <w:highlight w:val="none"/>
          <w:lang w:bidi="ar"/>
        </w:rPr>
        <w:t>不影响游览及观景。行道树的倾斜率小于</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w:t>
      </w:r>
    </w:p>
    <w:p w14:paraId="7D355807">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2.3</w:t>
      </w:r>
      <w:r>
        <w:rPr>
          <w:rFonts w:hint="eastAsia" w:ascii="宋体" w:hAnsi="宋体" w:eastAsia="宋体" w:cs="宋体"/>
          <w:color w:val="auto"/>
          <w:kern w:val="0"/>
          <w:sz w:val="21"/>
          <w:szCs w:val="21"/>
          <w:highlight w:val="none"/>
          <w:lang w:bidi="ar"/>
        </w:rPr>
        <w:t>花灌木生长</w:t>
      </w:r>
      <w:r>
        <w:rPr>
          <w:rFonts w:hint="eastAsia" w:ascii="宋体" w:hAnsi="宋体" w:eastAsia="宋体" w:cs="宋体"/>
          <w:color w:val="auto"/>
          <w:kern w:val="0"/>
          <w:sz w:val="21"/>
          <w:szCs w:val="21"/>
          <w:highlight w:val="none"/>
          <w:lang w:val="en-US" w:eastAsia="zh-CN" w:bidi="ar"/>
        </w:rPr>
        <w:t>发育基本</w:t>
      </w:r>
      <w:r>
        <w:rPr>
          <w:rFonts w:hint="eastAsia" w:ascii="宋体" w:hAnsi="宋体" w:eastAsia="宋体" w:cs="宋体"/>
          <w:color w:val="auto"/>
          <w:kern w:val="0"/>
          <w:sz w:val="21"/>
          <w:szCs w:val="21"/>
          <w:highlight w:val="none"/>
          <w:lang w:bidi="ar"/>
        </w:rPr>
        <w:t>正常，木本地被覆盖率达到9</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%以上。</w:t>
      </w:r>
    </w:p>
    <w:p w14:paraId="2300E1A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2.4</w:t>
      </w:r>
      <w:r>
        <w:rPr>
          <w:rFonts w:hint="eastAsia" w:ascii="宋体" w:hAnsi="宋体" w:eastAsia="宋体" w:cs="宋体"/>
          <w:color w:val="auto"/>
          <w:kern w:val="0"/>
          <w:sz w:val="21"/>
          <w:szCs w:val="21"/>
          <w:highlight w:val="none"/>
          <w:lang w:bidi="ar"/>
        </w:rPr>
        <w:t>花坛、花带及绿篱基本无残缺，</w:t>
      </w:r>
      <w:r>
        <w:rPr>
          <w:rFonts w:hint="eastAsia" w:ascii="宋体" w:hAnsi="宋体" w:eastAsia="宋体" w:cs="宋体"/>
          <w:color w:val="auto"/>
          <w:kern w:val="0"/>
          <w:sz w:val="21"/>
          <w:szCs w:val="21"/>
          <w:highlight w:val="none"/>
          <w:lang w:val="en-US" w:eastAsia="zh-CN" w:bidi="ar"/>
        </w:rPr>
        <w:t>杂草覆盖率小于5%，无死株、缺株</w:t>
      </w:r>
      <w:r>
        <w:rPr>
          <w:rFonts w:hint="eastAsia" w:ascii="宋体" w:hAnsi="宋体" w:eastAsia="宋体" w:cs="宋体"/>
          <w:color w:val="auto"/>
          <w:kern w:val="0"/>
          <w:sz w:val="21"/>
          <w:szCs w:val="21"/>
          <w:highlight w:val="none"/>
          <w:lang w:bidi="ar"/>
        </w:rPr>
        <w:t>。</w:t>
      </w:r>
    </w:p>
    <w:p w14:paraId="0398EBA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2.5</w:t>
      </w:r>
      <w:r>
        <w:rPr>
          <w:rFonts w:hint="eastAsia" w:ascii="宋体" w:hAnsi="宋体" w:eastAsia="宋体" w:cs="宋体"/>
          <w:color w:val="auto"/>
          <w:kern w:val="0"/>
          <w:sz w:val="21"/>
          <w:szCs w:val="21"/>
          <w:highlight w:val="none"/>
          <w:lang w:bidi="ar"/>
        </w:rPr>
        <w:t>造型植物修剪</w:t>
      </w:r>
      <w:r>
        <w:rPr>
          <w:rFonts w:hint="eastAsia" w:ascii="宋体" w:hAnsi="宋体" w:eastAsia="宋体" w:cs="宋体"/>
          <w:color w:val="auto"/>
          <w:kern w:val="0"/>
          <w:sz w:val="21"/>
          <w:szCs w:val="21"/>
          <w:highlight w:val="none"/>
          <w:lang w:val="en-US" w:eastAsia="zh-CN" w:bidi="ar"/>
        </w:rPr>
        <w:t>基本</w:t>
      </w:r>
      <w:r>
        <w:rPr>
          <w:rFonts w:hint="eastAsia" w:ascii="宋体" w:hAnsi="宋体" w:eastAsia="宋体" w:cs="宋体"/>
          <w:color w:val="auto"/>
          <w:kern w:val="0"/>
          <w:sz w:val="21"/>
          <w:szCs w:val="21"/>
          <w:highlight w:val="none"/>
          <w:lang w:bidi="ar"/>
        </w:rPr>
        <w:t>合理。规则式种植的造型植物，形状或体量</w:t>
      </w:r>
      <w:r>
        <w:rPr>
          <w:rFonts w:hint="eastAsia" w:ascii="宋体" w:hAnsi="宋体" w:eastAsia="宋体" w:cs="宋体"/>
          <w:color w:val="auto"/>
          <w:kern w:val="0"/>
          <w:sz w:val="21"/>
          <w:szCs w:val="21"/>
          <w:highlight w:val="none"/>
          <w:lang w:val="en-US" w:eastAsia="zh-CN" w:bidi="ar"/>
        </w:rPr>
        <w:t>大致</w:t>
      </w:r>
      <w:r>
        <w:rPr>
          <w:rFonts w:hint="eastAsia" w:ascii="宋体" w:hAnsi="宋体" w:eastAsia="宋体" w:cs="宋体"/>
          <w:color w:val="auto"/>
          <w:kern w:val="0"/>
          <w:sz w:val="21"/>
          <w:szCs w:val="21"/>
          <w:highlight w:val="none"/>
          <w:lang w:bidi="ar"/>
        </w:rPr>
        <w:t>一致；自然式种植的，形状和体量</w:t>
      </w:r>
      <w:r>
        <w:rPr>
          <w:rFonts w:hint="eastAsia" w:ascii="宋体" w:hAnsi="宋体" w:eastAsia="宋体" w:cs="宋体"/>
          <w:color w:val="auto"/>
          <w:kern w:val="0"/>
          <w:sz w:val="21"/>
          <w:szCs w:val="21"/>
          <w:highlight w:val="none"/>
          <w:lang w:val="en-US" w:eastAsia="zh-CN" w:bidi="ar"/>
        </w:rPr>
        <w:t>基本</w:t>
      </w:r>
      <w:r>
        <w:rPr>
          <w:rFonts w:hint="eastAsia" w:ascii="宋体" w:hAnsi="宋体" w:eastAsia="宋体" w:cs="宋体"/>
          <w:color w:val="auto"/>
          <w:kern w:val="0"/>
          <w:sz w:val="21"/>
          <w:szCs w:val="21"/>
          <w:highlight w:val="none"/>
          <w:lang w:bidi="ar"/>
        </w:rPr>
        <w:t>大小符合设计和景观的要求。</w:t>
      </w:r>
    </w:p>
    <w:p w14:paraId="14BC05C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2.6</w:t>
      </w:r>
      <w:r>
        <w:rPr>
          <w:rFonts w:hint="eastAsia" w:ascii="宋体" w:hAnsi="宋体" w:eastAsia="宋体" w:cs="宋体"/>
          <w:color w:val="auto"/>
          <w:kern w:val="0"/>
          <w:sz w:val="21"/>
          <w:szCs w:val="21"/>
          <w:highlight w:val="none"/>
          <w:lang w:bidi="ar"/>
        </w:rPr>
        <w:t>藤本植物生长正常，开花适时，牵引合理，覆盖率不低于8</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藤本植物尚未到达棚顶或篱顶时，应设立支撑物并作牵引，以利其攀缠。当以建筑物墙（柱）体为攀缠对象时，应经常进行绑扎、整理。藤本植物的修剪应以促进分枝为主，加快覆盖和攀缠的速度；同时，剪除徒长枝和下垂枝。多年生的藤本植物应定期翻蔓，清除枯枝，疏删老弱藤蔓。</w:t>
      </w:r>
    </w:p>
    <w:p w14:paraId="09195F7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2.7</w:t>
      </w:r>
      <w:r>
        <w:rPr>
          <w:rFonts w:hint="eastAsia" w:ascii="宋体" w:hAnsi="宋体" w:eastAsia="宋体" w:cs="宋体"/>
          <w:color w:val="auto"/>
          <w:kern w:val="0"/>
          <w:sz w:val="21"/>
          <w:szCs w:val="21"/>
          <w:highlight w:val="none"/>
          <w:lang w:bidi="ar"/>
        </w:rPr>
        <w:t>草本花卉</w:t>
      </w:r>
      <w:r>
        <w:rPr>
          <w:rFonts w:hint="eastAsia" w:ascii="宋体" w:hAnsi="宋体" w:eastAsia="宋体" w:cs="宋体"/>
          <w:color w:val="auto"/>
          <w:kern w:val="0"/>
          <w:sz w:val="21"/>
          <w:szCs w:val="21"/>
          <w:highlight w:val="none"/>
          <w:lang w:val="en-US" w:eastAsia="zh-CN" w:bidi="ar"/>
        </w:rPr>
        <w:t>基本</w:t>
      </w:r>
      <w:r>
        <w:rPr>
          <w:rFonts w:hint="eastAsia" w:ascii="宋体" w:hAnsi="宋体" w:eastAsia="宋体" w:cs="宋体"/>
          <w:color w:val="auto"/>
          <w:kern w:val="0"/>
          <w:sz w:val="21"/>
          <w:szCs w:val="21"/>
          <w:highlight w:val="none"/>
          <w:lang w:bidi="ar"/>
        </w:rPr>
        <w:t>正常，株型</w:t>
      </w:r>
      <w:r>
        <w:rPr>
          <w:rFonts w:hint="eastAsia" w:ascii="宋体" w:hAnsi="宋体" w:eastAsia="宋体" w:cs="宋体"/>
          <w:color w:val="auto"/>
          <w:kern w:val="0"/>
          <w:sz w:val="21"/>
          <w:szCs w:val="21"/>
          <w:highlight w:val="none"/>
          <w:lang w:val="en-US" w:eastAsia="zh-CN" w:bidi="ar"/>
        </w:rPr>
        <w:t>基本</w:t>
      </w:r>
      <w:r>
        <w:rPr>
          <w:rFonts w:hint="eastAsia" w:ascii="宋体" w:hAnsi="宋体" w:eastAsia="宋体" w:cs="宋体"/>
          <w:color w:val="auto"/>
          <w:kern w:val="0"/>
          <w:sz w:val="21"/>
          <w:szCs w:val="21"/>
          <w:highlight w:val="none"/>
          <w:lang w:bidi="ar"/>
        </w:rPr>
        <w:t>完整，开花时覆盖率达到</w:t>
      </w:r>
      <w:r>
        <w:rPr>
          <w:rFonts w:hint="eastAsia" w:ascii="宋体" w:hAnsi="宋体" w:eastAsia="宋体" w:cs="宋体"/>
          <w:color w:val="auto"/>
          <w:kern w:val="0"/>
          <w:sz w:val="21"/>
          <w:szCs w:val="21"/>
          <w:highlight w:val="none"/>
          <w:lang w:val="en-US" w:eastAsia="zh-CN" w:bidi="ar"/>
        </w:rPr>
        <w:t>8</w:t>
      </w:r>
      <w:r>
        <w:rPr>
          <w:rFonts w:hint="eastAsia" w:ascii="宋体" w:hAnsi="宋体" w:eastAsia="宋体" w:cs="宋体"/>
          <w:color w:val="auto"/>
          <w:kern w:val="0"/>
          <w:sz w:val="21"/>
          <w:szCs w:val="21"/>
          <w:highlight w:val="none"/>
          <w:lang w:bidi="ar"/>
        </w:rPr>
        <w:t>0%以上，</w:t>
      </w:r>
      <w:r>
        <w:rPr>
          <w:rFonts w:hint="eastAsia" w:ascii="宋体" w:hAnsi="宋体" w:eastAsia="宋体" w:cs="宋体"/>
          <w:color w:val="auto"/>
          <w:kern w:val="0"/>
          <w:sz w:val="21"/>
          <w:szCs w:val="21"/>
          <w:highlight w:val="none"/>
          <w:lang w:val="en-US" w:eastAsia="zh-CN" w:bidi="ar"/>
        </w:rPr>
        <w:t>杂草覆盖率小于5%</w:t>
      </w:r>
      <w:r>
        <w:rPr>
          <w:rFonts w:hint="eastAsia" w:ascii="宋体" w:hAnsi="宋体" w:eastAsia="宋体" w:cs="宋体"/>
          <w:color w:val="auto"/>
          <w:kern w:val="0"/>
          <w:sz w:val="21"/>
          <w:szCs w:val="21"/>
          <w:highlight w:val="none"/>
          <w:lang w:bidi="ar"/>
        </w:rPr>
        <w:t>；花后需修剪的，</w:t>
      </w:r>
      <w:r>
        <w:rPr>
          <w:rFonts w:hint="eastAsia" w:ascii="宋体" w:hAnsi="宋体" w:eastAsia="宋体" w:cs="宋体"/>
          <w:color w:val="auto"/>
          <w:kern w:val="0"/>
          <w:sz w:val="21"/>
          <w:szCs w:val="21"/>
          <w:highlight w:val="none"/>
          <w:lang w:val="en-US" w:eastAsia="zh-CN" w:bidi="ar"/>
        </w:rPr>
        <w:t>基本</w:t>
      </w:r>
      <w:r>
        <w:rPr>
          <w:rFonts w:hint="eastAsia" w:ascii="宋体" w:hAnsi="宋体" w:eastAsia="宋体" w:cs="宋体"/>
          <w:color w:val="auto"/>
          <w:kern w:val="0"/>
          <w:sz w:val="21"/>
          <w:szCs w:val="21"/>
          <w:highlight w:val="none"/>
          <w:lang w:bidi="ar"/>
        </w:rPr>
        <w:t>得到修剪。</w:t>
      </w:r>
    </w:p>
    <w:p w14:paraId="0543992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2.8</w:t>
      </w:r>
      <w:r>
        <w:rPr>
          <w:rFonts w:hint="eastAsia" w:ascii="宋体" w:hAnsi="宋体" w:eastAsia="宋体" w:cs="宋体"/>
          <w:color w:val="auto"/>
          <w:kern w:val="0"/>
          <w:sz w:val="21"/>
          <w:szCs w:val="21"/>
          <w:highlight w:val="none"/>
          <w:lang w:bidi="ar"/>
        </w:rPr>
        <w:t>草坪绿色期不少于</w:t>
      </w:r>
      <w:r>
        <w:rPr>
          <w:rFonts w:hint="eastAsia" w:ascii="宋体" w:hAnsi="宋体" w:eastAsia="宋体" w:cs="宋体"/>
          <w:color w:val="auto"/>
          <w:kern w:val="0"/>
          <w:sz w:val="21"/>
          <w:szCs w:val="21"/>
          <w:highlight w:val="none"/>
          <w:lang w:val="en-US" w:eastAsia="zh-CN" w:bidi="ar"/>
        </w:rPr>
        <w:t>23</w:t>
      </w:r>
      <w:r>
        <w:rPr>
          <w:rFonts w:hint="eastAsia" w:ascii="宋体" w:hAnsi="宋体" w:eastAsia="宋体" w:cs="宋体"/>
          <w:color w:val="auto"/>
          <w:kern w:val="0"/>
          <w:sz w:val="21"/>
          <w:szCs w:val="21"/>
          <w:highlight w:val="none"/>
          <w:lang w:bidi="ar"/>
        </w:rPr>
        <w:t>0天，覆盖率不小于</w:t>
      </w:r>
      <w:r>
        <w:rPr>
          <w:rFonts w:hint="eastAsia" w:ascii="宋体" w:hAnsi="宋体" w:eastAsia="宋体" w:cs="宋体"/>
          <w:color w:val="auto"/>
          <w:kern w:val="0"/>
          <w:sz w:val="21"/>
          <w:szCs w:val="21"/>
          <w:highlight w:val="none"/>
          <w:lang w:val="en-US" w:eastAsia="zh-CN" w:bidi="ar"/>
        </w:rPr>
        <w:t>85</w:t>
      </w:r>
      <w:r>
        <w:rPr>
          <w:rFonts w:hint="eastAsia" w:ascii="宋体" w:hAnsi="宋体" w:eastAsia="宋体" w:cs="宋体"/>
          <w:color w:val="auto"/>
          <w:kern w:val="0"/>
          <w:sz w:val="21"/>
          <w:szCs w:val="21"/>
          <w:highlight w:val="none"/>
          <w:lang w:bidi="ar"/>
        </w:rPr>
        <w:t>%,杂草的覆盖率不超过</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w:t>
      </w:r>
      <w:r>
        <w:rPr>
          <w:rFonts w:hint="eastAsia" w:ascii="宋体" w:hAnsi="宋体" w:eastAsia="宋体" w:cs="宋体"/>
          <w:color w:val="auto"/>
          <w:kern w:val="0"/>
          <w:sz w:val="21"/>
          <w:szCs w:val="21"/>
          <w:highlight w:val="none"/>
          <w:lang w:val="en-US" w:eastAsia="zh-CN" w:bidi="ar"/>
        </w:rPr>
        <w:t>草坪表面</w:t>
      </w:r>
      <w:r>
        <w:rPr>
          <w:rFonts w:hint="eastAsia" w:ascii="宋体" w:hAnsi="宋体" w:eastAsia="宋体" w:cs="宋体"/>
          <w:color w:val="auto"/>
          <w:kern w:val="0"/>
          <w:sz w:val="21"/>
          <w:szCs w:val="21"/>
          <w:highlight w:val="none"/>
          <w:lang w:bidi="ar"/>
        </w:rPr>
        <w:t>无积水。</w:t>
      </w:r>
    </w:p>
    <w:p w14:paraId="32A3FC0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2.9</w:t>
      </w:r>
      <w:r>
        <w:rPr>
          <w:rFonts w:hint="eastAsia" w:ascii="宋体" w:hAnsi="宋体" w:eastAsia="宋体" w:cs="宋体"/>
          <w:color w:val="auto"/>
          <w:kern w:val="0"/>
          <w:sz w:val="21"/>
          <w:szCs w:val="21"/>
          <w:highlight w:val="none"/>
          <w:lang w:bidi="ar"/>
        </w:rPr>
        <w:t>水生植物生长</w:t>
      </w:r>
      <w:r>
        <w:rPr>
          <w:rFonts w:hint="eastAsia" w:ascii="宋体" w:hAnsi="宋体" w:eastAsia="宋体" w:cs="宋体"/>
          <w:color w:val="auto"/>
          <w:kern w:val="0"/>
          <w:sz w:val="21"/>
          <w:szCs w:val="21"/>
          <w:highlight w:val="none"/>
          <w:lang w:val="en-US" w:eastAsia="zh-CN" w:bidi="ar"/>
        </w:rPr>
        <w:t>基本正常</w:t>
      </w:r>
      <w:r>
        <w:rPr>
          <w:rFonts w:hint="eastAsia" w:ascii="宋体" w:hAnsi="宋体" w:eastAsia="宋体" w:cs="宋体"/>
          <w:color w:val="auto"/>
          <w:kern w:val="0"/>
          <w:sz w:val="21"/>
          <w:szCs w:val="21"/>
          <w:highlight w:val="none"/>
          <w:lang w:bidi="ar"/>
        </w:rPr>
        <w:t>，开花适时。</w:t>
      </w:r>
    </w:p>
    <w:p w14:paraId="6D6CED5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2.10</w:t>
      </w:r>
      <w:r>
        <w:rPr>
          <w:rFonts w:hint="eastAsia" w:ascii="宋体" w:hAnsi="宋体" w:eastAsia="宋体" w:cs="宋体"/>
          <w:color w:val="auto"/>
          <w:kern w:val="0"/>
          <w:sz w:val="21"/>
          <w:szCs w:val="21"/>
          <w:highlight w:val="none"/>
          <w:lang w:bidi="ar"/>
        </w:rPr>
        <w:t>绿篱生长</w:t>
      </w:r>
      <w:r>
        <w:rPr>
          <w:rFonts w:hint="eastAsia" w:ascii="宋体" w:hAnsi="宋体" w:eastAsia="宋体" w:cs="宋体"/>
          <w:color w:val="auto"/>
          <w:kern w:val="0"/>
          <w:sz w:val="21"/>
          <w:szCs w:val="21"/>
          <w:highlight w:val="none"/>
          <w:lang w:val="en-US" w:eastAsia="zh-CN" w:bidi="ar"/>
        </w:rPr>
        <w:t>基本正常</w:t>
      </w:r>
      <w:r>
        <w:rPr>
          <w:rFonts w:hint="eastAsia" w:ascii="宋体" w:hAnsi="宋体" w:eastAsia="宋体" w:cs="宋体"/>
          <w:color w:val="auto"/>
          <w:kern w:val="0"/>
          <w:sz w:val="21"/>
          <w:szCs w:val="21"/>
          <w:highlight w:val="none"/>
          <w:lang w:bidi="ar"/>
        </w:rPr>
        <w:t>，无死株，无明显断垄，无高草杂草，无明显病虫害发生。</w:t>
      </w:r>
    </w:p>
    <w:p w14:paraId="616930C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2.11</w:t>
      </w:r>
      <w:r>
        <w:rPr>
          <w:rFonts w:hint="eastAsia" w:ascii="宋体" w:hAnsi="宋体" w:eastAsia="宋体" w:cs="宋体"/>
          <w:color w:val="auto"/>
          <w:kern w:val="0"/>
          <w:sz w:val="21"/>
          <w:szCs w:val="21"/>
          <w:highlight w:val="none"/>
          <w:lang w:bidi="ar"/>
        </w:rPr>
        <w:t>补植、改植于</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天内完成。草坪补植或改植后一个月内覆盖率达到9</w:t>
      </w:r>
      <w:r>
        <w:rPr>
          <w:rFonts w:hint="eastAsia" w:ascii="宋体" w:hAnsi="宋体" w:eastAsia="宋体" w:cs="宋体"/>
          <w:color w:val="auto"/>
          <w:kern w:val="0"/>
          <w:sz w:val="21"/>
          <w:szCs w:val="21"/>
          <w:highlight w:val="none"/>
          <w:lang w:val="en-US" w:eastAsia="zh-CN" w:bidi="ar"/>
        </w:rPr>
        <w:t>0</w:t>
      </w:r>
      <w:r>
        <w:rPr>
          <w:rFonts w:hint="eastAsia" w:ascii="宋体" w:hAnsi="宋体" w:eastAsia="宋体" w:cs="宋体"/>
          <w:color w:val="auto"/>
          <w:kern w:val="0"/>
          <w:sz w:val="21"/>
          <w:szCs w:val="21"/>
          <w:highlight w:val="none"/>
          <w:lang w:bidi="ar"/>
        </w:rPr>
        <w:t>%以上，其它植物补植或改植的成活率达到9</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%以上，补植乔木必须做好支撑。同时树木支撑根据树木生长情况适时进行“松绑”处理。</w:t>
      </w:r>
    </w:p>
    <w:p w14:paraId="6C0BE25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2.12</w:t>
      </w:r>
      <w:r>
        <w:rPr>
          <w:rFonts w:hint="eastAsia" w:ascii="宋体" w:hAnsi="宋体" w:eastAsia="宋体" w:cs="宋体"/>
          <w:color w:val="auto"/>
          <w:kern w:val="0"/>
          <w:sz w:val="21"/>
          <w:szCs w:val="21"/>
          <w:highlight w:val="none"/>
          <w:lang w:bidi="ar"/>
        </w:rPr>
        <w:t>病虫害控制及时、有效，被害植株不超过</w:t>
      </w: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%,被害叶片不超过植株叶片总量的</w:t>
      </w: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%。同时注意防治红火蚁，选择使用高效、低毒、低残留、高质量的饵剂和粉剂为主，依据相关使用说明规范用药。</w:t>
      </w:r>
    </w:p>
    <w:p w14:paraId="68E830F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施肥要求：乔灌木每年不少于</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次，2—3月和9—10月重点进行施肥，复合肥和基肥结合，每次2—3千克/株，对角埋施，新种、补种、生长势弱树木可适时适量多施；观花灌木每年不少于</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次，每次0.5千克/株；草本花卉每年不少于</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次，成片花卉每月撒施复合肥1次，每次0.15千克/平方米，每年根据其长势和覆盖率情况适当施基肥1—2次，每次0.5千克/平方米；绿篱每年撒施复合肥不少于2次，每次0.15千克/平方米，每年根据其长势和覆盖率情况适当施基肥1—2次，每次0.5千克/平方米；草地、地被每年不少于</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次，每次施尿素0.1千克/平方米。</w:t>
      </w:r>
    </w:p>
    <w:p w14:paraId="76B755A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淋水要求</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旱季一般乔木</w:t>
      </w:r>
      <w:r>
        <w:rPr>
          <w:rFonts w:hint="eastAsia" w:ascii="宋体" w:hAnsi="宋体" w:eastAsia="宋体" w:cs="宋体"/>
          <w:color w:val="auto"/>
          <w:kern w:val="0"/>
          <w:sz w:val="21"/>
          <w:szCs w:val="21"/>
          <w:highlight w:val="none"/>
          <w:lang w:val="en-US" w:eastAsia="zh-CN" w:bidi="ar"/>
        </w:rPr>
        <w:t>5-6</w:t>
      </w:r>
      <w:r>
        <w:rPr>
          <w:rFonts w:hint="eastAsia" w:ascii="宋体" w:hAnsi="宋体" w:eastAsia="宋体" w:cs="宋体"/>
          <w:color w:val="auto"/>
          <w:kern w:val="0"/>
          <w:sz w:val="21"/>
          <w:szCs w:val="21"/>
          <w:highlight w:val="none"/>
          <w:lang w:bidi="ar"/>
        </w:rPr>
        <w:t>天淋水1次，新补植乔木，淋好定根水后，1周内每天淋水1次；单丛灌木、成片花卉、绿篱一般</w:t>
      </w:r>
      <w:r>
        <w:rPr>
          <w:rFonts w:hint="eastAsia" w:ascii="宋体" w:hAnsi="宋体" w:eastAsia="宋体" w:cs="宋体"/>
          <w:color w:val="auto"/>
          <w:kern w:val="0"/>
          <w:sz w:val="21"/>
          <w:szCs w:val="21"/>
          <w:highlight w:val="none"/>
          <w:lang w:val="en-US" w:eastAsia="zh-CN" w:bidi="ar"/>
        </w:rPr>
        <w:t>3-4</w:t>
      </w:r>
      <w:r>
        <w:rPr>
          <w:rFonts w:hint="eastAsia" w:ascii="宋体" w:hAnsi="宋体" w:eastAsia="宋体" w:cs="宋体"/>
          <w:color w:val="auto"/>
          <w:kern w:val="0"/>
          <w:sz w:val="21"/>
          <w:szCs w:val="21"/>
          <w:highlight w:val="none"/>
          <w:lang w:bidi="ar"/>
        </w:rPr>
        <w:t>天淋水1次，补植后一周内每天淋水1次，施肥和补植需加强淋水；草地、地被一般每天淋水1次。雨季根据天气情况适当调节。</w:t>
      </w:r>
    </w:p>
    <w:p w14:paraId="5968C1A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w:t>
      </w:r>
      <w:r>
        <w:rPr>
          <w:rFonts w:hint="eastAsia" w:ascii="宋体" w:hAnsi="宋体" w:eastAsia="宋体" w:cs="宋体"/>
          <w:color w:val="auto"/>
          <w:kern w:val="0"/>
          <w:sz w:val="21"/>
          <w:szCs w:val="21"/>
          <w:highlight w:val="none"/>
          <w:lang w:bidi="ar"/>
        </w:rPr>
        <w:t>苗木修剪</w:t>
      </w:r>
    </w:p>
    <w:p w14:paraId="5B34BF5E">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5.1</w:t>
      </w:r>
      <w:r>
        <w:rPr>
          <w:rFonts w:hint="eastAsia" w:ascii="宋体" w:hAnsi="宋体" w:eastAsia="宋体" w:cs="宋体"/>
          <w:color w:val="auto"/>
          <w:kern w:val="0"/>
          <w:sz w:val="21"/>
          <w:szCs w:val="21"/>
          <w:highlight w:val="none"/>
          <w:lang w:bidi="ar"/>
        </w:rPr>
        <w:t>自然形乔木每年不少于1次，造型乔木每年不少于</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次。主要修剪内膛枝、徒长枝、病虫枝、交叉枝、下垂枝、扭伤枝及枯枝烂头等。庭荫树的分枝点应随着树木生长逐步提高，树冠与树干高度的比例应在7：3至6：4之间。行道树在同一路段的分枝点高低、树高、冠幅大小应基本一致。</w:t>
      </w:r>
    </w:p>
    <w:p w14:paraId="44BECBA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5.2</w:t>
      </w:r>
      <w:r>
        <w:rPr>
          <w:rFonts w:hint="eastAsia" w:ascii="宋体" w:hAnsi="宋体" w:eastAsia="宋体" w:cs="宋体"/>
          <w:color w:val="auto"/>
          <w:kern w:val="0"/>
          <w:sz w:val="21"/>
          <w:szCs w:val="21"/>
          <w:highlight w:val="none"/>
          <w:lang w:bidi="ar"/>
        </w:rPr>
        <w:t>自然形灌木每年不少于1次，造型灌木每年不少</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次。灌木修剪应促进枝繁叶茂、分布均匀。花灌木修剪要有利于短枝和花芽的形成，遵循“自下而上、先内后外、去弱留强、去老留新”的原则进行修剪。</w:t>
      </w:r>
    </w:p>
    <w:p w14:paraId="70B5508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5.3</w:t>
      </w:r>
      <w:r>
        <w:rPr>
          <w:rFonts w:hint="eastAsia" w:ascii="宋体" w:hAnsi="宋体" w:eastAsia="宋体" w:cs="宋体"/>
          <w:color w:val="auto"/>
          <w:kern w:val="0"/>
          <w:sz w:val="21"/>
          <w:szCs w:val="21"/>
          <w:highlight w:val="none"/>
          <w:lang w:bidi="ar"/>
        </w:rPr>
        <w:t>绿篱、模纹花坛修剪：绿篱、模纹花坛修剪每年不少于</w:t>
      </w:r>
      <w:r>
        <w:rPr>
          <w:rFonts w:hint="eastAsia" w:ascii="宋体" w:hAnsi="宋体" w:eastAsia="宋体" w:cs="宋体"/>
          <w:color w:val="auto"/>
          <w:kern w:val="0"/>
          <w:sz w:val="21"/>
          <w:szCs w:val="21"/>
          <w:highlight w:val="none"/>
          <w:lang w:val="en-US" w:eastAsia="zh-CN" w:bidi="ar"/>
        </w:rPr>
        <w:t>4</w:t>
      </w:r>
      <w:r>
        <w:rPr>
          <w:rFonts w:hint="eastAsia" w:ascii="宋体" w:hAnsi="宋体" w:eastAsia="宋体" w:cs="宋体"/>
          <w:color w:val="auto"/>
          <w:kern w:val="0"/>
          <w:sz w:val="21"/>
          <w:szCs w:val="21"/>
          <w:highlight w:val="none"/>
          <w:lang w:bidi="ar"/>
        </w:rPr>
        <w:t>次。</w:t>
      </w:r>
    </w:p>
    <w:p w14:paraId="1D0A945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5.4</w:t>
      </w:r>
      <w:r>
        <w:rPr>
          <w:rFonts w:hint="eastAsia" w:ascii="宋体" w:hAnsi="宋体" w:eastAsia="宋体" w:cs="宋体"/>
          <w:color w:val="auto"/>
          <w:kern w:val="0"/>
          <w:sz w:val="21"/>
          <w:szCs w:val="21"/>
          <w:highlight w:val="none"/>
          <w:lang w:bidi="ar"/>
        </w:rPr>
        <w:t>草坪修剪：结缕草属和狗牙根属草坪草每年不少于</w:t>
      </w:r>
      <w:r>
        <w:rPr>
          <w:rFonts w:hint="eastAsia" w:ascii="宋体" w:hAnsi="宋体" w:eastAsia="宋体" w:cs="宋体"/>
          <w:color w:val="auto"/>
          <w:kern w:val="0"/>
          <w:sz w:val="21"/>
          <w:szCs w:val="21"/>
          <w:highlight w:val="none"/>
          <w:lang w:val="en-US" w:eastAsia="zh-CN" w:bidi="ar"/>
        </w:rPr>
        <w:t>3</w:t>
      </w:r>
      <w:r>
        <w:rPr>
          <w:rFonts w:hint="eastAsia" w:ascii="宋体" w:hAnsi="宋体" w:eastAsia="宋体" w:cs="宋体"/>
          <w:color w:val="auto"/>
          <w:kern w:val="0"/>
          <w:sz w:val="21"/>
          <w:szCs w:val="21"/>
          <w:highlight w:val="none"/>
          <w:lang w:bidi="ar"/>
        </w:rPr>
        <w:t>次，假俭草属、地毯草属、钝叶草属草坪草不少于</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次。结缕草属草修剪留茬高度1.3—5.0cm，地毯草属草修剪留茬高度2.5—5.0cm，假俭草属草修剪留茬高度2.5—5.0cm，钝叶草属草修剪留茬高度3.8—7.6cm，普通狗牙根修剪留茬高度1.3—3.8cm，杂种狗牙根修剪留茬高度0.6—2.5cm。</w:t>
      </w:r>
    </w:p>
    <w:p w14:paraId="31EEDA6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5.5</w:t>
      </w:r>
      <w:r>
        <w:rPr>
          <w:rFonts w:hint="eastAsia" w:ascii="宋体" w:hAnsi="宋体" w:eastAsia="宋体" w:cs="宋体"/>
          <w:color w:val="auto"/>
          <w:kern w:val="0"/>
          <w:sz w:val="21"/>
          <w:szCs w:val="21"/>
          <w:highlight w:val="none"/>
          <w:lang w:bidi="ar"/>
        </w:rPr>
        <w:t>休眠期修剪以整形为主，可稍重剪，生长期修剪以调整树势为主，宜轻剪。修剪要避开树木伤流盛期。</w:t>
      </w:r>
    </w:p>
    <w:p w14:paraId="7273E38F">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5.6</w:t>
      </w:r>
      <w:r>
        <w:rPr>
          <w:rFonts w:hint="eastAsia" w:ascii="宋体" w:hAnsi="宋体" w:eastAsia="宋体" w:cs="宋体"/>
          <w:color w:val="auto"/>
          <w:kern w:val="0"/>
          <w:sz w:val="21"/>
          <w:szCs w:val="21"/>
          <w:highlight w:val="none"/>
          <w:lang w:bidi="ar"/>
        </w:rPr>
        <w:t>绿化修剪后的枯枝干叶等，在修剪当天及时清理运走，并及时清除灌木丛上的修剪枝，苗木落叶当天及时清扫保洁。</w:t>
      </w:r>
    </w:p>
    <w:p w14:paraId="13B2451B">
      <w:pPr>
        <w:keepNext w:val="0"/>
        <w:keepLines w:val="0"/>
        <w:pageBreakBefore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color w:val="auto"/>
          <w:sz w:val="21"/>
          <w:szCs w:val="21"/>
          <w:highlight w:val="none"/>
          <w:lang w:val="en-US" w:eastAsia="zh-CN"/>
        </w:rPr>
      </w:pPr>
      <w:r>
        <w:rPr>
          <w:rFonts w:hint="eastAsia" w:ascii="宋体" w:hAnsi="宋体" w:eastAsia="宋体" w:cs="宋体"/>
          <w:color w:val="auto"/>
          <w:kern w:val="0"/>
          <w:sz w:val="21"/>
          <w:szCs w:val="21"/>
          <w:highlight w:val="none"/>
          <w:lang w:val="en-US" w:eastAsia="zh-CN" w:bidi="ar"/>
        </w:rPr>
        <w:t>5.7制定苗木修剪计划并实施。</w:t>
      </w:r>
    </w:p>
    <w:p w14:paraId="231343A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bidi="ar"/>
        </w:rPr>
        <w:t>浇灌</w:t>
      </w:r>
    </w:p>
    <w:p w14:paraId="4C72B08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6.1</w:t>
      </w:r>
      <w:r>
        <w:rPr>
          <w:rFonts w:hint="eastAsia" w:ascii="宋体" w:hAnsi="宋体" w:eastAsia="宋体" w:cs="宋体"/>
          <w:color w:val="auto"/>
          <w:kern w:val="0"/>
          <w:sz w:val="21"/>
          <w:szCs w:val="21"/>
          <w:highlight w:val="none"/>
          <w:lang w:bidi="ar"/>
        </w:rPr>
        <w:t>浇灌的实施应科学、合理、宜采用喷灌或滴灌等节水方式。对于花坛及道路分车带内植物，在干旱季节，可进行叶面喷水。在花芽分化时应适当控制浇灌量，以免园林植物徒长。</w:t>
      </w:r>
    </w:p>
    <w:p w14:paraId="587C74F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6.2</w:t>
      </w:r>
      <w:r>
        <w:rPr>
          <w:rFonts w:hint="eastAsia" w:ascii="宋体" w:hAnsi="宋体" w:eastAsia="宋体" w:cs="宋体"/>
          <w:color w:val="auto"/>
          <w:kern w:val="0"/>
          <w:sz w:val="21"/>
          <w:szCs w:val="21"/>
          <w:highlight w:val="none"/>
          <w:lang w:bidi="ar"/>
        </w:rPr>
        <w:t>日浇灌的时间应根据季节与气温决定，并注意控制水温与表土温差不宜太大，以免造成根系伤害。夏秋高温季节，浇灌应避开中午烈日，宜在10时之前或16时之后进行；冬季及早春，宜在10时至16时之间进行。</w:t>
      </w:r>
    </w:p>
    <w:p w14:paraId="721B560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6.3</w:t>
      </w:r>
      <w:r>
        <w:rPr>
          <w:rFonts w:hint="eastAsia" w:ascii="宋体" w:hAnsi="宋体" w:eastAsia="宋体" w:cs="宋体"/>
          <w:color w:val="auto"/>
          <w:kern w:val="0"/>
          <w:sz w:val="21"/>
          <w:szCs w:val="21"/>
          <w:highlight w:val="none"/>
          <w:lang w:bidi="ar"/>
        </w:rPr>
        <w:t>喷灌时应确保喷水的有效范围与园林植物的种植范围一致。</w:t>
      </w:r>
    </w:p>
    <w:p w14:paraId="6EDAB4E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bidi="ar"/>
        </w:rPr>
        <w:t>安全作业</w:t>
      </w:r>
    </w:p>
    <w:p w14:paraId="1ECC826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7.1</w:t>
      </w:r>
      <w:r>
        <w:rPr>
          <w:rFonts w:hint="eastAsia" w:ascii="宋体" w:hAnsi="宋体" w:eastAsia="宋体" w:cs="宋体"/>
          <w:color w:val="auto"/>
          <w:kern w:val="0"/>
          <w:sz w:val="21"/>
          <w:szCs w:val="21"/>
          <w:highlight w:val="none"/>
          <w:lang w:bidi="ar"/>
        </w:rPr>
        <w:t>截除较大的树枝、藤蔓或砍伐清除枯死的树体时，应预先制定施工方案和应急预案，采取必要的安全措施。砍伐或清除枯死树体，应严格依次按照先锯除侧枝和主枝，再分段锯除主干、后挖除树兜和回填种植土的操作程序作业。（砍伐城市树木必须经城市人民政府城市绿化行政主管部门批准。）</w:t>
      </w:r>
    </w:p>
    <w:p w14:paraId="50CB3E3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 w:val="21"/>
          <w:szCs w:val="21"/>
          <w:highlight w:val="none"/>
          <w:lang w:val="en-US" w:eastAsia="zh-CN" w:bidi="ar"/>
        </w:rPr>
        <w:t>7.2</w:t>
      </w:r>
      <w:r>
        <w:rPr>
          <w:rFonts w:hint="eastAsia" w:ascii="宋体" w:hAnsi="宋体" w:eastAsia="宋体" w:cs="宋体"/>
          <w:color w:val="auto"/>
          <w:kern w:val="0"/>
          <w:sz w:val="21"/>
          <w:szCs w:val="21"/>
          <w:highlight w:val="none"/>
          <w:lang w:bidi="ar"/>
        </w:rPr>
        <w:t>规范开展高空作业工作，高空作业要使用升降车，不得站在车辆车厢、驾驶舱顶部或攀爬树木进行修剪，各单位要严格执行“双报备”、高处作业做到“五个必须”（必须培训持证上岗、必须实行作业审批、必须做好个人防护、必须落实工程措施、必须安排专人监护）。道路树木修剪作业时要做好安全防护措施，占道作业时要做好警示标志及雪糕筒的摆放。</w:t>
      </w:r>
    </w:p>
    <w:p w14:paraId="1A65818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（五）除“四害”及灭蚁防治服务：</w:t>
      </w:r>
    </w:p>
    <w:p w14:paraId="2B6D589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1.</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必须具备“四害”消杀及白蚁防治服务相关的经验。</w:t>
      </w:r>
    </w:p>
    <w:p w14:paraId="687406C0">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应该自备除“四害”和白蚁防治等方面的工具，配备除“四害”和白蚁防治项目负责人一名与招标人</w:t>
      </w:r>
      <w:r>
        <w:rPr>
          <w:rFonts w:hint="eastAsia" w:ascii="宋体" w:hAnsi="宋体" w:eastAsia="宋体" w:cs="宋体"/>
          <w:color w:val="auto"/>
          <w:kern w:val="0"/>
          <w:sz w:val="21"/>
          <w:szCs w:val="21"/>
          <w:highlight w:val="none"/>
          <w:lang w:val="en-US" w:eastAsia="zh-CN" w:bidi="ar"/>
        </w:rPr>
        <w:t>或其权属分公司</w:t>
      </w:r>
      <w:r>
        <w:rPr>
          <w:rFonts w:hint="eastAsia" w:ascii="宋体" w:hAnsi="宋体" w:eastAsia="宋体" w:cs="宋体"/>
          <w:color w:val="auto"/>
          <w:kern w:val="0"/>
          <w:sz w:val="21"/>
          <w:szCs w:val="21"/>
          <w:highlight w:val="none"/>
          <w:lang w:bidi="ar"/>
        </w:rPr>
        <w:t>联系，并提供联系方式，应</w:t>
      </w:r>
      <w:r>
        <w:rPr>
          <w:rFonts w:hint="eastAsia" w:ascii="宋体" w:hAnsi="宋体" w:eastAsia="宋体" w:cs="宋体"/>
          <w:color w:val="auto"/>
          <w:kern w:val="0"/>
          <w:sz w:val="21"/>
          <w:szCs w:val="21"/>
          <w:highlight w:val="none"/>
          <w:lang w:val="en-US" w:eastAsia="zh-CN" w:bidi="ar"/>
        </w:rPr>
        <w:t>对</w:t>
      </w:r>
      <w:r>
        <w:rPr>
          <w:rFonts w:hint="eastAsia" w:ascii="宋体" w:hAnsi="宋体" w:eastAsia="宋体" w:cs="宋体"/>
          <w:color w:val="auto"/>
          <w:kern w:val="0"/>
          <w:sz w:val="21"/>
          <w:szCs w:val="21"/>
          <w:highlight w:val="none"/>
          <w:lang w:bidi="ar"/>
        </w:rPr>
        <w:t>突发事件发生；项目负责人需取得除“四害”和《建筑白蚁防治技术从业人员职业培训合格证书》，其他管理人员需取得相关上岗证。</w:t>
      </w:r>
    </w:p>
    <w:p w14:paraId="7D83446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必须注重科学用药，不能使用假药、国家禁用的药物。所使用的药物必须符合国家相关规定或行业标准。</w:t>
      </w:r>
    </w:p>
    <w:p w14:paraId="7FA2AEA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有完整的病媒生物预防控制操作规程，其中灭蚊、灭鼠、灭蟑螂、灭蝇达到国家除“四害”标准，并具有完善的事故应急方案。</w:t>
      </w:r>
    </w:p>
    <w:p w14:paraId="1F963E74">
      <w:pPr>
        <w:keepNext w:val="0"/>
        <w:keepLines w:val="0"/>
        <w:pageBreakBefore w:val="0"/>
        <w:kinsoku/>
        <w:wordWrap/>
        <w:overflowPunct/>
        <w:topLinePunct w:val="0"/>
        <w:autoSpaceDE w:val="0"/>
        <w:autoSpaceDN w:val="0"/>
        <w:bidi w:val="0"/>
        <w:adjustRightInd/>
        <w:snapToGrid/>
        <w:spacing w:line="360" w:lineRule="auto"/>
        <w:jc w:val="left"/>
        <w:textAlignment w:val="auto"/>
        <w:outlineLvl w:val="9"/>
        <w:rPr>
          <w:rFonts w:hint="eastAsia" w:ascii="宋体" w:hAnsi="宋体" w:eastAsia="宋体" w:cs="宋体"/>
          <w:b/>
          <w:color w:val="auto"/>
          <w:kern w:val="0"/>
          <w:sz w:val="21"/>
          <w:szCs w:val="21"/>
          <w:highlight w:val="none"/>
          <w:lang w:bidi="ar"/>
        </w:rPr>
      </w:pPr>
    </w:p>
    <w:p w14:paraId="459F5C34">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0"/>
          <w:sz w:val="21"/>
          <w:szCs w:val="21"/>
          <w:highlight w:val="none"/>
          <w:lang w:bidi="ar"/>
        </w:rPr>
        <w:t>六、人员配置要求</w:t>
      </w:r>
      <w:r>
        <w:rPr>
          <w:rFonts w:hint="eastAsia" w:ascii="宋体" w:hAnsi="宋体" w:eastAsia="宋体" w:cs="宋体"/>
          <w:b/>
          <w:color w:val="auto"/>
          <w:kern w:val="0"/>
          <w:sz w:val="21"/>
          <w:szCs w:val="21"/>
          <w:highlight w:val="none"/>
          <w:lang w:val="en-US" w:eastAsia="zh-CN" w:bidi="ar"/>
        </w:rPr>
        <w:t xml:space="preserve"> </w:t>
      </w:r>
    </w:p>
    <w:p w14:paraId="2C6770A6">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1、清洁保洁和绿化养护人员要求身体健康无残疾。合同期内人员配置</w:t>
      </w:r>
      <w:r>
        <w:rPr>
          <w:rFonts w:hint="eastAsia" w:ascii="宋体" w:hAnsi="宋体" w:eastAsia="宋体" w:cs="宋体"/>
          <w:b/>
          <w:color w:val="auto"/>
          <w:kern w:val="0"/>
          <w:sz w:val="21"/>
          <w:szCs w:val="21"/>
          <w:highlight w:val="none"/>
          <w:u w:val="single"/>
          <w:lang w:val="en-US" w:eastAsia="zh-CN" w:bidi="ar"/>
        </w:rPr>
        <w:t>251</w:t>
      </w:r>
      <w:r>
        <w:rPr>
          <w:rFonts w:hint="eastAsia" w:ascii="宋体" w:hAnsi="宋体" w:eastAsia="宋体" w:cs="宋体"/>
          <w:b/>
          <w:color w:val="auto"/>
          <w:kern w:val="0"/>
          <w:sz w:val="21"/>
          <w:szCs w:val="21"/>
          <w:highlight w:val="none"/>
          <w:lang w:bidi="ar"/>
        </w:rPr>
        <w:t>人（其中清洁保洁人员</w:t>
      </w:r>
      <w:r>
        <w:rPr>
          <w:rFonts w:hint="eastAsia" w:ascii="宋体" w:hAnsi="宋体" w:eastAsia="宋体" w:cs="宋体"/>
          <w:b/>
          <w:color w:val="auto"/>
          <w:kern w:val="0"/>
          <w:sz w:val="21"/>
          <w:szCs w:val="21"/>
          <w:highlight w:val="none"/>
          <w:lang w:val="en-US" w:eastAsia="zh-CN" w:bidi="ar"/>
        </w:rPr>
        <w:t>163</w:t>
      </w:r>
      <w:r>
        <w:rPr>
          <w:rFonts w:hint="eastAsia" w:ascii="宋体" w:hAnsi="宋体" w:eastAsia="宋体" w:cs="宋体"/>
          <w:b/>
          <w:color w:val="auto"/>
          <w:kern w:val="0"/>
          <w:sz w:val="21"/>
          <w:szCs w:val="21"/>
          <w:highlight w:val="none"/>
          <w:lang w:bidi="ar"/>
        </w:rPr>
        <w:t>人，</w:t>
      </w:r>
      <w:r>
        <w:rPr>
          <w:rFonts w:hint="eastAsia" w:ascii="宋体" w:hAnsi="宋体" w:eastAsia="宋体" w:cs="宋体"/>
          <w:b/>
          <w:color w:val="auto"/>
          <w:kern w:val="0"/>
          <w:sz w:val="21"/>
          <w:szCs w:val="21"/>
          <w:highlight w:val="none"/>
          <w:lang w:val="en-US" w:eastAsia="zh-CN" w:bidi="ar"/>
        </w:rPr>
        <w:t>绿化养护88</w:t>
      </w:r>
      <w:r>
        <w:rPr>
          <w:rFonts w:hint="eastAsia" w:ascii="宋体" w:hAnsi="宋体" w:eastAsia="宋体" w:cs="宋体"/>
          <w:b/>
          <w:color w:val="auto"/>
          <w:kern w:val="0"/>
          <w:sz w:val="21"/>
          <w:szCs w:val="21"/>
          <w:highlight w:val="none"/>
          <w:lang w:bidi="ar"/>
        </w:rPr>
        <w:t>人）。每个</w:t>
      </w:r>
      <w:r>
        <w:rPr>
          <w:rFonts w:hint="eastAsia" w:ascii="宋体" w:hAnsi="宋体" w:eastAsia="宋体" w:cs="宋体"/>
          <w:b/>
          <w:color w:val="auto"/>
          <w:kern w:val="0"/>
          <w:sz w:val="21"/>
          <w:szCs w:val="21"/>
          <w:highlight w:val="none"/>
          <w:lang w:val="en-US" w:eastAsia="zh-CN" w:bidi="ar"/>
        </w:rPr>
        <w:t>服务点</w:t>
      </w:r>
      <w:r>
        <w:rPr>
          <w:rFonts w:hint="eastAsia" w:ascii="宋体" w:hAnsi="宋体" w:eastAsia="宋体" w:cs="宋体"/>
          <w:b/>
          <w:color w:val="auto"/>
          <w:kern w:val="0"/>
          <w:sz w:val="21"/>
          <w:szCs w:val="21"/>
          <w:highlight w:val="none"/>
          <w:lang w:bidi="ar"/>
        </w:rPr>
        <w:t>具体配置人数，</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可根据各个</w:t>
      </w:r>
      <w:r>
        <w:rPr>
          <w:rFonts w:hint="eastAsia" w:ascii="宋体" w:hAnsi="宋体" w:eastAsia="宋体" w:cs="宋体"/>
          <w:b/>
          <w:color w:val="auto"/>
          <w:kern w:val="0"/>
          <w:sz w:val="21"/>
          <w:szCs w:val="21"/>
          <w:highlight w:val="none"/>
          <w:lang w:val="en-US" w:eastAsia="zh-CN" w:bidi="ar"/>
        </w:rPr>
        <w:t>服务点</w:t>
      </w:r>
      <w:r>
        <w:rPr>
          <w:rFonts w:hint="eastAsia" w:ascii="宋体" w:hAnsi="宋体" w:eastAsia="宋体" w:cs="宋体"/>
          <w:b/>
          <w:color w:val="auto"/>
          <w:kern w:val="0"/>
          <w:sz w:val="21"/>
          <w:szCs w:val="21"/>
          <w:highlight w:val="none"/>
          <w:lang w:bidi="ar"/>
        </w:rPr>
        <w:t>的机械化程度，在保证满足服务质量的前提下，经招标人或其权属分公司书面同意，可允许该</w:t>
      </w:r>
      <w:r>
        <w:rPr>
          <w:rFonts w:hint="eastAsia" w:ascii="宋体" w:hAnsi="宋体" w:eastAsia="宋体" w:cs="宋体"/>
          <w:b/>
          <w:color w:val="auto"/>
          <w:kern w:val="0"/>
          <w:sz w:val="21"/>
          <w:szCs w:val="21"/>
          <w:highlight w:val="none"/>
          <w:lang w:val="en-US" w:eastAsia="zh-CN" w:bidi="ar"/>
        </w:rPr>
        <w:t>服务点</w:t>
      </w:r>
      <w:r>
        <w:rPr>
          <w:rFonts w:hint="eastAsia" w:ascii="宋体" w:hAnsi="宋体" w:eastAsia="宋体" w:cs="宋体"/>
          <w:b/>
          <w:color w:val="auto"/>
          <w:kern w:val="0"/>
          <w:sz w:val="21"/>
          <w:szCs w:val="21"/>
          <w:highlight w:val="none"/>
          <w:lang w:bidi="ar"/>
        </w:rPr>
        <w:t>人员配置进行优化。</w:t>
      </w:r>
    </w:p>
    <w:p w14:paraId="5FAEEC11">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val="en-US" w:eastAsia="zh-CN" w:bidi="ar"/>
        </w:rPr>
      </w:pPr>
      <w:r>
        <w:rPr>
          <w:rFonts w:hint="eastAsia" w:ascii="宋体" w:hAnsi="宋体" w:eastAsia="宋体" w:cs="宋体"/>
          <w:b/>
          <w:color w:val="auto"/>
          <w:kern w:val="0"/>
          <w:sz w:val="21"/>
          <w:szCs w:val="21"/>
          <w:highlight w:val="none"/>
          <w:lang w:bidi="ar"/>
        </w:rPr>
        <w:t>各</w:t>
      </w:r>
      <w:r>
        <w:rPr>
          <w:rFonts w:hint="eastAsia" w:ascii="宋体" w:hAnsi="宋体" w:eastAsia="宋体" w:cs="宋体"/>
          <w:b/>
          <w:color w:val="auto"/>
          <w:kern w:val="0"/>
          <w:sz w:val="21"/>
          <w:szCs w:val="21"/>
          <w:highlight w:val="none"/>
          <w:lang w:val="en-US" w:eastAsia="zh-CN" w:bidi="ar"/>
        </w:rPr>
        <w:t>服务点</w:t>
      </w:r>
      <w:r>
        <w:rPr>
          <w:rFonts w:hint="eastAsia" w:ascii="宋体" w:hAnsi="宋体" w:eastAsia="宋体" w:cs="宋体"/>
          <w:b/>
          <w:color w:val="auto"/>
          <w:kern w:val="0"/>
          <w:sz w:val="21"/>
          <w:szCs w:val="21"/>
          <w:highlight w:val="none"/>
          <w:lang w:bidi="ar"/>
        </w:rPr>
        <w:t>人员配置情况</w:t>
      </w:r>
      <w:r>
        <w:rPr>
          <w:rFonts w:hint="eastAsia" w:ascii="宋体" w:hAnsi="宋体" w:eastAsia="宋体" w:cs="宋体"/>
          <w:b/>
          <w:color w:val="auto"/>
          <w:kern w:val="0"/>
          <w:sz w:val="21"/>
          <w:szCs w:val="21"/>
          <w:highlight w:val="none"/>
          <w:lang w:val="en-US" w:eastAsia="zh-CN" w:bidi="ar"/>
        </w:rPr>
        <w:t>具体如下</w:t>
      </w:r>
      <w:r>
        <w:rPr>
          <w:rFonts w:hint="eastAsia" w:ascii="宋体" w:hAnsi="宋体" w:eastAsia="宋体" w:cs="宋体"/>
          <w:b/>
          <w:color w:val="auto"/>
          <w:kern w:val="0"/>
          <w:sz w:val="21"/>
          <w:szCs w:val="21"/>
          <w:highlight w:val="none"/>
          <w:lang w:bidi="ar"/>
        </w:rPr>
        <w:t>：（制水分公司</w:t>
      </w:r>
      <w:r>
        <w:rPr>
          <w:rFonts w:hint="eastAsia" w:ascii="宋体" w:hAnsi="宋体" w:eastAsia="宋体" w:cs="宋体"/>
          <w:b/>
          <w:color w:val="auto"/>
          <w:kern w:val="0"/>
          <w:sz w:val="21"/>
          <w:szCs w:val="21"/>
          <w:highlight w:val="none"/>
          <w:lang w:val="en-US" w:eastAsia="zh-CN" w:bidi="ar"/>
        </w:rPr>
        <w:t>208</w:t>
      </w:r>
      <w:r>
        <w:rPr>
          <w:rFonts w:hint="eastAsia" w:ascii="宋体" w:hAnsi="宋体" w:eastAsia="宋体" w:cs="宋体"/>
          <w:b/>
          <w:color w:val="auto"/>
          <w:kern w:val="0"/>
          <w:sz w:val="21"/>
          <w:szCs w:val="21"/>
          <w:highlight w:val="none"/>
          <w:lang w:bidi="ar"/>
        </w:rPr>
        <w:t>人，属地分公司</w:t>
      </w:r>
      <w:r>
        <w:rPr>
          <w:rFonts w:hint="eastAsia" w:ascii="宋体" w:hAnsi="宋体" w:eastAsia="宋体" w:cs="宋体"/>
          <w:b/>
          <w:color w:val="auto"/>
          <w:kern w:val="0"/>
          <w:sz w:val="21"/>
          <w:szCs w:val="21"/>
          <w:highlight w:val="none"/>
          <w:lang w:val="en-US" w:eastAsia="zh-CN" w:bidi="ar"/>
        </w:rPr>
        <w:t>43</w:t>
      </w:r>
      <w:r>
        <w:rPr>
          <w:rFonts w:hint="eastAsia" w:ascii="宋体" w:hAnsi="宋体" w:eastAsia="宋体" w:cs="宋体"/>
          <w:b/>
          <w:color w:val="auto"/>
          <w:kern w:val="0"/>
          <w:sz w:val="21"/>
          <w:szCs w:val="21"/>
          <w:highlight w:val="none"/>
          <w:lang w:bidi="ar"/>
        </w:rPr>
        <w:t>人）</w:t>
      </w:r>
    </w:p>
    <w:p w14:paraId="3331F5A0">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bCs w:val="0"/>
          <w:color w:val="auto"/>
          <w:sz w:val="21"/>
          <w:szCs w:val="21"/>
          <w:highlight w:val="none"/>
          <w:lang w:val="en-US" w:eastAsia="zh-CN"/>
        </w:rPr>
      </w:pPr>
      <w:r>
        <w:rPr>
          <w:rFonts w:hint="eastAsia" w:ascii="宋体" w:hAnsi="宋体" w:eastAsia="宋体" w:cs="宋体"/>
          <w:b/>
          <w:bCs w:val="0"/>
          <w:color w:val="auto"/>
          <w:sz w:val="21"/>
          <w:szCs w:val="21"/>
          <w:highlight w:val="none"/>
          <w:lang w:val="en-US" w:eastAsia="zh-CN"/>
        </w:rPr>
        <w:t>制水分公司：</w:t>
      </w:r>
      <w:r>
        <w:rPr>
          <w:rFonts w:hint="eastAsia" w:hAnsi="宋体" w:cs="宋体"/>
          <w:b/>
          <w:bCs w:val="0"/>
          <w:color w:val="auto"/>
          <w:sz w:val="21"/>
          <w:szCs w:val="21"/>
          <w:highlight w:val="none"/>
          <w:lang w:val="en-US" w:eastAsia="zh-CN"/>
        </w:rPr>
        <w:t>208</w:t>
      </w:r>
      <w:r>
        <w:rPr>
          <w:rFonts w:hint="eastAsia" w:ascii="宋体" w:hAnsi="宋体" w:eastAsia="宋体" w:cs="宋体"/>
          <w:b/>
          <w:bCs w:val="0"/>
          <w:color w:val="auto"/>
          <w:sz w:val="21"/>
          <w:szCs w:val="21"/>
          <w:highlight w:val="none"/>
          <w:lang w:val="en-US" w:eastAsia="zh-CN"/>
        </w:rPr>
        <w:t>人。其中：</w:t>
      </w:r>
      <w:r>
        <w:rPr>
          <w:rFonts w:hint="eastAsia" w:hAnsi="宋体" w:cs="宋体"/>
          <w:b/>
          <w:bCs w:val="0"/>
          <w:color w:val="auto"/>
          <w:sz w:val="21"/>
          <w:szCs w:val="21"/>
          <w:highlight w:val="none"/>
          <w:lang w:val="en-US" w:eastAsia="zh-CN"/>
        </w:rPr>
        <w:t>122</w:t>
      </w:r>
      <w:r>
        <w:rPr>
          <w:rFonts w:hint="eastAsia" w:ascii="宋体" w:hAnsi="宋体" w:eastAsia="宋体" w:cs="宋体"/>
          <w:b/>
          <w:bCs w:val="0"/>
          <w:color w:val="auto"/>
          <w:sz w:val="21"/>
          <w:szCs w:val="21"/>
          <w:highlight w:val="none"/>
          <w:lang w:val="en-US" w:eastAsia="zh-CN"/>
        </w:rPr>
        <w:t>名保洁，</w:t>
      </w:r>
      <w:r>
        <w:rPr>
          <w:rFonts w:hint="eastAsia" w:hAnsi="宋体" w:cs="宋体"/>
          <w:b/>
          <w:bCs w:val="0"/>
          <w:color w:val="auto"/>
          <w:sz w:val="21"/>
          <w:szCs w:val="21"/>
          <w:highlight w:val="none"/>
          <w:lang w:val="en-US" w:eastAsia="zh-CN"/>
        </w:rPr>
        <w:t>86</w:t>
      </w:r>
      <w:r>
        <w:rPr>
          <w:rFonts w:hint="eastAsia" w:ascii="宋体" w:hAnsi="宋体" w:eastAsia="宋体" w:cs="宋体"/>
          <w:b/>
          <w:bCs w:val="0"/>
          <w:color w:val="auto"/>
          <w:sz w:val="21"/>
          <w:szCs w:val="21"/>
          <w:highlight w:val="none"/>
          <w:lang w:val="en-US" w:eastAsia="zh-CN"/>
        </w:rPr>
        <w:t>名绿化</w:t>
      </w:r>
    </w:p>
    <w:p w14:paraId="179503C2">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ascii="宋体" w:hAnsi="宋体" w:eastAsia="宋体" w:cs="宋体"/>
          <w:b/>
          <w:color w:val="auto"/>
          <w:sz w:val="21"/>
          <w:szCs w:val="21"/>
          <w:highlight w:val="none"/>
        </w:rPr>
        <w:t>）制水分公司市第</w:t>
      </w:r>
      <w:r>
        <w:rPr>
          <w:rFonts w:hint="eastAsia" w:ascii="宋体" w:hAnsi="宋体" w:eastAsia="宋体" w:cs="宋体"/>
          <w:b/>
          <w:color w:val="auto"/>
          <w:sz w:val="21"/>
          <w:szCs w:val="21"/>
          <w:highlight w:val="none"/>
          <w:lang w:val="en-US" w:eastAsia="zh-CN"/>
        </w:rPr>
        <w:t>二</w:t>
      </w:r>
      <w:r>
        <w:rPr>
          <w:rFonts w:hint="eastAsia" w:ascii="宋体" w:hAnsi="宋体" w:eastAsia="宋体" w:cs="宋体"/>
          <w:b/>
          <w:color w:val="auto"/>
          <w:sz w:val="21"/>
          <w:szCs w:val="21"/>
          <w:highlight w:val="none"/>
        </w:rPr>
        <w:t>水厂及子项目配置清洁保洁和绿化养护人员合计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hAnsi="宋体" w:cs="宋体"/>
          <w:b/>
          <w:color w:val="auto"/>
          <w:sz w:val="21"/>
          <w:szCs w:val="21"/>
          <w:highlight w:val="none"/>
          <w:u w:val="single"/>
          <w:lang w:val="en-US" w:eastAsia="zh-CN"/>
        </w:rPr>
        <w:t>0</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78342D54">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ascii="宋体" w:hAnsi="宋体" w:eastAsia="宋体" w:cs="宋体"/>
          <w:b/>
          <w:color w:val="auto"/>
          <w:sz w:val="21"/>
          <w:szCs w:val="21"/>
          <w:highlight w:val="none"/>
        </w:rPr>
        <w:t>）制水分公司市第三水厂及子项目配置</w:t>
      </w:r>
      <w:r>
        <w:rPr>
          <w:rFonts w:hint="eastAsia" w:hAnsi="宋体" w:cs="宋体"/>
          <w:b/>
          <w:color w:val="auto"/>
          <w:sz w:val="21"/>
          <w:szCs w:val="21"/>
          <w:highlight w:val="none"/>
          <w:lang w:val="en-US" w:eastAsia="zh-CN"/>
        </w:rPr>
        <w:t>清洁保洁和</w:t>
      </w:r>
      <w:r>
        <w:rPr>
          <w:rFonts w:hint="eastAsia" w:ascii="宋体" w:hAnsi="宋体" w:eastAsia="宋体" w:cs="宋体"/>
          <w:b/>
          <w:color w:val="auto"/>
          <w:sz w:val="21"/>
          <w:szCs w:val="21"/>
          <w:highlight w:val="none"/>
        </w:rPr>
        <w:t>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13</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7</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53932A4B">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3</w:t>
      </w:r>
      <w:r>
        <w:rPr>
          <w:rFonts w:hint="eastAsia" w:ascii="宋体" w:hAnsi="宋体" w:eastAsia="宋体" w:cs="宋体"/>
          <w:b/>
          <w:color w:val="auto"/>
          <w:sz w:val="21"/>
          <w:szCs w:val="21"/>
          <w:highlight w:val="none"/>
        </w:rPr>
        <w:t>）制水分公司市第四水厂及子项目配置清洁保洁和绿化养护人员合计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12</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8</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23ABE653">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4</w:t>
      </w:r>
      <w:r>
        <w:rPr>
          <w:rFonts w:hint="eastAsia" w:ascii="宋体" w:hAnsi="宋体" w:eastAsia="宋体" w:cs="宋体"/>
          <w:b/>
          <w:color w:val="auto"/>
          <w:sz w:val="21"/>
          <w:szCs w:val="21"/>
          <w:highlight w:val="none"/>
        </w:rPr>
        <w:t>）制水分公司市第</w:t>
      </w:r>
      <w:r>
        <w:rPr>
          <w:rFonts w:hint="eastAsia" w:ascii="宋体" w:hAnsi="宋体" w:eastAsia="宋体" w:cs="宋体"/>
          <w:b/>
          <w:color w:val="auto"/>
          <w:sz w:val="21"/>
          <w:szCs w:val="21"/>
          <w:highlight w:val="none"/>
          <w:lang w:val="en-US" w:eastAsia="zh-CN"/>
        </w:rPr>
        <w:t>五</w:t>
      </w:r>
      <w:r>
        <w:rPr>
          <w:rFonts w:hint="eastAsia" w:ascii="宋体" w:hAnsi="宋体" w:eastAsia="宋体" w:cs="宋体"/>
          <w:b/>
          <w:color w:val="auto"/>
          <w:sz w:val="21"/>
          <w:szCs w:val="21"/>
          <w:highlight w:val="none"/>
        </w:rPr>
        <w:t>水厂及子项目配置清洁保洁和绿化养护人员合计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BD4896F">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5</w:t>
      </w:r>
      <w:r>
        <w:rPr>
          <w:rFonts w:hint="eastAsia" w:ascii="宋体" w:hAnsi="宋体" w:eastAsia="宋体" w:cs="宋体"/>
          <w:b/>
          <w:color w:val="auto"/>
          <w:sz w:val="21"/>
          <w:szCs w:val="21"/>
          <w:highlight w:val="none"/>
        </w:rPr>
        <w:t>）制水分公司市第六水厂配置清洁保洁和绿化养护人员合计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9</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F227042">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6</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东城水厂及子项目</w:t>
      </w:r>
      <w:r>
        <w:rPr>
          <w:rFonts w:hint="eastAsia" w:ascii="宋体" w:hAnsi="宋体" w:eastAsia="宋体" w:cs="宋体"/>
          <w:b/>
          <w:color w:val="auto"/>
          <w:sz w:val="21"/>
          <w:szCs w:val="21"/>
          <w:highlight w:val="none"/>
        </w:rPr>
        <w:t>配置清洁保洁和绿化养护人员合计</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8</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0EEF6C58">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7</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万江水厂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6</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2FA3E56">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8</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高埗水厂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5</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0</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F95AD00">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9</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石碣水厂</w:t>
      </w:r>
      <w:r>
        <w:rPr>
          <w:rFonts w:hint="eastAsia" w:ascii="宋体" w:hAnsi="宋体" w:eastAsia="宋体" w:cs="宋体"/>
          <w:b/>
          <w:color w:val="auto"/>
          <w:sz w:val="21"/>
          <w:szCs w:val="21"/>
          <w:highlight w:val="none"/>
        </w:rPr>
        <w:t>及子项目配置清洁保洁和绿化养护人员合计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6</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5</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098249B">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10</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石龙西湖水厂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5</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 xml:space="preserve">3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7C691B3">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hAnsi="宋体" w:cs="宋体"/>
          <w:b/>
          <w:color w:val="auto"/>
          <w:sz w:val="21"/>
          <w:szCs w:val="21"/>
          <w:highlight w:val="none"/>
          <w:lang w:val="en-US" w:eastAsia="zh-CN"/>
        </w:rPr>
        <w:t>1</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石龙黄州水厂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5</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CBA59E5">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石排水厂</w:t>
      </w:r>
      <w:r>
        <w:rPr>
          <w:rFonts w:hint="eastAsia" w:ascii="宋体" w:hAnsi="宋体" w:eastAsia="宋体" w:cs="宋体"/>
          <w:b/>
          <w:color w:val="auto"/>
          <w:sz w:val="21"/>
          <w:szCs w:val="21"/>
          <w:highlight w:val="none"/>
        </w:rPr>
        <w:t>及子项目配置清洁保洁和绿化养护人员合计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6</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5235F280">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hAnsi="宋体" w:cs="宋体"/>
          <w:b/>
          <w:color w:val="auto"/>
          <w:sz w:val="21"/>
          <w:szCs w:val="21"/>
          <w:highlight w:val="none"/>
          <w:lang w:val="en-US" w:eastAsia="zh-CN"/>
        </w:rPr>
        <w:t>3</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大岭山长湖水厂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2</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2BB9658">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大岭山金鸡咀水厂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2</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0A1835A5">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塘厦中心水厂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6</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D153EA4">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塘厦凤凰水厂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7</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78E7BB9">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w:t>
      </w:r>
      <w:r>
        <w:rPr>
          <w:rFonts w:hint="eastAsia"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塘厦虾公岩水厂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4</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78408DEE">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18</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塘厦牛眠埔水厂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6</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538178D6">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19</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凤岗第一水厂及子项目</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5</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2705CB8B">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hAnsi="宋体" w:cs="宋体"/>
          <w:b/>
          <w:color w:val="auto"/>
          <w:sz w:val="21"/>
          <w:szCs w:val="21"/>
          <w:highlight w:val="none"/>
          <w:lang w:val="en-US" w:eastAsia="zh-CN"/>
        </w:rPr>
        <w:t>0</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凤岗第二水厂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6</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4</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78F42B6C">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hAnsi="宋体" w:cs="宋体"/>
          <w:b/>
          <w:color w:val="auto"/>
          <w:sz w:val="21"/>
          <w:szCs w:val="21"/>
          <w:highlight w:val="none"/>
          <w:lang w:val="en-US" w:eastAsia="zh-CN"/>
        </w:rPr>
        <w:t>1</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樟木头簕竹排水厂及子项目</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7</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6</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6AB141ED">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hAnsi="宋体" w:cs="宋体"/>
          <w:b/>
          <w:color w:val="auto"/>
          <w:sz w:val="21"/>
          <w:szCs w:val="21"/>
          <w:highlight w:val="none"/>
          <w:lang w:val="en-US" w:eastAsia="zh-CN"/>
        </w:rPr>
        <w:t>2</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黄江水厂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5</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71AAB012">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hAnsi="宋体" w:cs="宋体"/>
          <w:b/>
          <w:color w:val="auto"/>
          <w:sz w:val="21"/>
          <w:szCs w:val="21"/>
          <w:highlight w:val="none"/>
          <w:lang w:val="en-US" w:eastAsia="zh-CN"/>
        </w:rPr>
        <w:t>3</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谢岗第三水厂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5</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150BD120">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hAnsi="宋体" w:cs="宋体"/>
          <w:b/>
          <w:color w:val="auto"/>
          <w:sz w:val="21"/>
          <w:szCs w:val="21"/>
          <w:highlight w:val="none"/>
          <w:lang w:val="en-US" w:eastAsia="zh-CN"/>
        </w:rPr>
        <w:t>4</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谢岗第二水厂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2</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29B061C9">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hAnsi="宋体" w:cs="宋体"/>
          <w:b/>
          <w:color w:val="auto"/>
          <w:sz w:val="21"/>
          <w:szCs w:val="21"/>
          <w:highlight w:val="none"/>
          <w:lang w:val="en-US" w:eastAsia="zh-CN"/>
        </w:rPr>
        <w:t>5</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横沥水厂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5</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7ACF2173">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hAnsi="宋体" w:cs="宋体"/>
          <w:b/>
          <w:color w:val="auto"/>
          <w:sz w:val="21"/>
          <w:szCs w:val="21"/>
          <w:highlight w:val="none"/>
          <w:lang w:val="en-US" w:eastAsia="zh-CN"/>
        </w:rPr>
        <w:t>6</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企石水厂及子项目</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4</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4EFA03A">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w:t>
      </w:r>
      <w:r>
        <w:rPr>
          <w:rFonts w:hint="eastAsia" w:hAnsi="宋体" w:cs="宋体"/>
          <w:b/>
          <w:color w:val="auto"/>
          <w:sz w:val="21"/>
          <w:szCs w:val="21"/>
          <w:highlight w:val="none"/>
          <w:lang w:val="en-US" w:eastAsia="zh-CN"/>
        </w:rPr>
        <w:t>7</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桥头第二水厂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4</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3</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43912FEF">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28</w:t>
      </w:r>
      <w:r>
        <w:rPr>
          <w:rFonts w:hint="eastAsia" w:ascii="宋体" w:hAnsi="宋体" w:eastAsia="宋体" w:cs="宋体"/>
          <w:b/>
          <w:color w:val="auto"/>
          <w:sz w:val="21"/>
          <w:szCs w:val="21"/>
          <w:highlight w:val="none"/>
        </w:rPr>
        <w:t>）制水分公司</w:t>
      </w:r>
      <w:r>
        <w:rPr>
          <w:rFonts w:hint="eastAsia" w:ascii="宋体" w:hAnsi="宋体" w:eastAsia="宋体" w:cs="宋体"/>
          <w:b/>
          <w:color w:val="auto"/>
          <w:sz w:val="21"/>
          <w:szCs w:val="21"/>
          <w:highlight w:val="none"/>
          <w:lang w:val="en-US" w:eastAsia="zh-CN"/>
        </w:rPr>
        <w:t>桥头第三水厂</w:t>
      </w:r>
      <w:r>
        <w:rPr>
          <w:rFonts w:hint="eastAsia" w:ascii="宋体" w:hAnsi="宋体" w:eastAsia="宋体" w:cs="宋体"/>
          <w:b/>
          <w:color w:val="auto"/>
          <w:sz w:val="21"/>
          <w:szCs w:val="21"/>
          <w:highlight w:val="none"/>
        </w:rPr>
        <w:t>配置清洁保洁和绿化养护人员合计</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4</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工作人员数量）。其中，清洁保洁人员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人，绿化养护人员</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人。</w:t>
      </w:r>
    </w:p>
    <w:p w14:paraId="3F769BCD">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29</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bidi="ar"/>
        </w:rPr>
        <w:t>制水分公司松山湖水厂配置清洁保洁和绿化养护人员合计</w:t>
      </w:r>
      <w:r>
        <w:rPr>
          <w:rFonts w:hint="eastAsia" w:ascii="宋体" w:hAnsi="宋体" w:eastAsia="宋体" w:cs="宋体"/>
          <w:b/>
          <w:color w:val="auto"/>
          <w:sz w:val="21"/>
          <w:szCs w:val="21"/>
          <w:highlight w:val="none"/>
          <w:u w:val="single"/>
          <w:lang w:val="en-US" w:eastAsia="zh-CN" w:bidi="ar"/>
        </w:rPr>
        <w:t xml:space="preserve"> </w:t>
      </w:r>
      <w:r>
        <w:rPr>
          <w:rFonts w:hint="eastAsia" w:hAnsi="宋体" w:cs="宋体"/>
          <w:b/>
          <w:color w:val="auto"/>
          <w:sz w:val="21"/>
          <w:szCs w:val="21"/>
          <w:highlight w:val="none"/>
          <w:u w:val="single"/>
          <w:lang w:val="en-US" w:eastAsia="zh-CN" w:bidi="ar"/>
        </w:rPr>
        <w:t xml:space="preserve">25 </w:t>
      </w:r>
      <w:r>
        <w:rPr>
          <w:rFonts w:hint="eastAsia" w:ascii="宋体" w:hAnsi="宋体" w:eastAsia="宋体" w:cs="宋体"/>
          <w:b/>
          <w:color w:val="auto"/>
          <w:sz w:val="21"/>
          <w:szCs w:val="21"/>
          <w:highlight w:val="none"/>
          <w:lang w:bidi="ar"/>
        </w:rPr>
        <w:t>名（指服务于本子项目的</w:t>
      </w:r>
      <w:r>
        <w:rPr>
          <w:rFonts w:hint="eastAsia" w:ascii="宋体" w:hAnsi="宋体" w:eastAsia="宋体" w:cs="宋体"/>
          <w:b/>
          <w:color w:val="auto"/>
          <w:sz w:val="21"/>
          <w:szCs w:val="21"/>
          <w:highlight w:val="none"/>
          <w:lang w:eastAsia="zh-CN" w:bidi="ar"/>
        </w:rPr>
        <w:t>服务单位</w:t>
      </w:r>
      <w:r>
        <w:rPr>
          <w:rFonts w:hint="eastAsia" w:ascii="宋体" w:hAnsi="宋体" w:eastAsia="宋体" w:cs="宋体"/>
          <w:b/>
          <w:color w:val="auto"/>
          <w:sz w:val="21"/>
          <w:szCs w:val="21"/>
          <w:highlight w:val="none"/>
          <w:lang w:bidi="ar"/>
        </w:rPr>
        <w:t>工作人员数量）。其中，清洁保洁人员</w:t>
      </w:r>
      <w:r>
        <w:rPr>
          <w:rFonts w:hint="eastAsia" w:ascii="宋体" w:hAnsi="宋体" w:eastAsia="宋体" w:cs="宋体"/>
          <w:b/>
          <w:color w:val="auto"/>
          <w:sz w:val="21"/>
          <w:szCs w:val="21"/>
          <w:highlight w:val="none"/>
          <w:u w:val="single"/>
          <w:lang w:bidi="ar"/>
        </w:rPr>
        <w:t xml:space="preserve"> </w:t>
      </w:r>
      <w:r>
        <w:rPr>
          <w:rFonts w:hint="eastAsia" w:hAnsi="宋体" w:cs="宋体"/>
          <w:b/>
          <w:color w:val="auto"/>
          <w:sz w:val="21"/>
          <w:szCs w:val="21"/>
          <w:highlight w:val="none"/>
          <w:u w:val="single"/>
          <w:lang w:val="en-US" w:eastAsia="zh-CN" w:bidi="ar"/>
        </w:rPr>
        <w:t>20</w:t>
      </w:r>
      <w:r>
        <w:rPr>
          <w:rFonts w:hint="eastAsia" w:ascii="宋体" w:hAnsi="宋体" w:eastAsia="宋体" w:cs="宋体"/>
          <w:b/>
          <w:color w:val="auto"/>
          <w:sz w:val="21"/>
          <w:szCs w:val="21"/>
          <w:highlight w:val="none"/>
          <w:u w:val="single"/>
          <w:lang w:bidi="ar"/>
        </w:rPr>
        <w:t xml:space="preserve"> </w:t>
      </w:r>
      <w:r>
        <w:rPr>
          <w:rFonts w:hint="eastAsia" w:ascii="宋体" w:hAnsi="宋体" w:eastAsia="宋体" w:cs="宋体"/>
          <w:b/>
          <w:color w:val="auto"/>
          <w:sz w:val="21"/>
          <w:szCs w:val="21"/>
          <w:highlight w:val="none"/>
          <w:lang w:bidi="ar"/>
        </w:rPr>
        <w:t>人，绿化养护人员</w:t>
      </w:r>
      <w:r>
        <w:rPr>
          <w:rFonts w:hint="eastAsia" w:ascii="宋体" w:hAnsi="宋体" w:eastAsia="宋体" w:cs="宋体"/>
          <w:b/>
          <w:color w:val="auto"/>
          <w:sz w:val="21"/>
          <w:szCs w:val="21"/>
          <w:highlight w:val="none"/>
          <w:u w:val="single"/>
          <w:lang w:bidi="ar"/>
        </w:rPr>
        <w:t xml:space="preserve"> </w:t>
      </w:r>
      <w:r>
        <w:rPr>
          <w:rFonts w:hint="eastAsia" w:ascii="宋体" w:hAnsi="宋体" w:eastAsia="宋体" w:cs="宋体"/>
          <w:b/>
          <w:color w:val="auto"/>
          <w:sz w:val="21"/>
          <w:szCs w:val="21"/>
          <w:highlight w:val="none"/>
          <w:u w:val="single"/>
          <w:lang w:val="en-US" w:eastAsia="zh-CN" w:bidi="ar"/>
        </w:rPr>
        <w:t>5</w:t>
      </w:r>
      <w:r>
        <w:rPr>
          <w:rFonts w:hint="eastAsia" w:ascii="宋体" w:hAnsi="宋体" w:eastAsia="宋体" w:cs="宋体"/>
          <w:b/>
          <w:color w:val="auto"/>
          <w:sz w:val="21"/>
          <w:szCs w:val="21"/>
          <w:highlight w:val="none"/>
          <w:u w:val="single"/>
          <w:lang w:bidi="ar"/>
        </w:rPr>
        <w:t xml:space="preserve"> </w:t>
      </w:r>
      <w:r>
        <w:rPr>
          <w:rFonts w:hint="eastAsia" w:ascii="宋体" w:hAnsi="宋体" w:eastAsia="宋体" w:cs="宋体"/>
          <w:b/>
          <w:color w:val="auto"/>
          <w:sz w:val="21"/>
          <w:szCs w:val="21"/>
          <w:highlight w:val="none"/>
          <w:lang w:bidi="ar"/>
        </w:rPr>
        <w:t>人</w:t>
      </w:r>
      <w:r>
        <w:rPr>
          <w:rFonts w:hint="eastAsia" w:ascii="宋体" w:hAnsi="宋体" w:eastAsia="宋体" w:cs="宋体"/>
          <w:b/>
          <w:color w:val="auto"/>
          <w:sz w:val="21"/>
          <w:szCs w:val="21"/>
          <w:highlight w:val="none"/>
        </w:rPr>
        <w:t>。</w:t>
      </w:r>
    </w:p>
    <w:p w14:paraId="3780E1C9">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sz w:val="21"/>
          <w:szCs w:val="21"/>
          <w:highlight w:val="none"/>
        </w:rPr>
        <w:t>（</w:t>
      </w:r>
      <w:r>
        <w:rPr>
          <w:rFonts w:hint="eastAsia" w:hAnsi="宋体" w:cs="宋体"/>
          <w:b/>
          <w:color w:val="auto"/>
          <w:sz w:val="21"/>
          <w:szCs w:val="21"/>
          <w:highlight w:val="none"/>
          <w:lang w:val="en-US" w:eastAsia="zh-CN"/>
        </w:rPr>
        <w:t>30</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bidi="ar"/>
        </w:rPr>
        <w:t>制水分公司</w:t>
      </w:r>
      <w:r>
        <w:rPr>
          <w:rFonts w:hint="eastAsia" w:ascii="宋体" w:hAnsi="宋体" w:eastAsia="宋体" w:cs="宋体"/>
          <w:b/>
          <w:color w:val="auto"/>
          <w:sz w:val="21"/>
          <w:szCs w:val="21"/>
          <w:highlight w:val="none"/>
          <w:lang w:val="en-US" w:eastAsia="zh-CN" w:bidi="ar"/>
        </w:rPr>
        <w:t>芦花坑</w:t>
      </w:r>
      <w:r>
        <w:rPr>
          <w:rFonts w:hint="eastAsia" w:ascii="宋体" w:hAnsi="宋体" w:eastAsia="宋体" w:cs="宋体"/>
          <w:b/>
          <w:color w:val="auto"/>
          <w:sz w:val="21"/>
          <w:szCs w:val="21"/>
          <w:highlight w:val="none"/>
          <w:lang w:bidi="ar"/>
        </w:rPr>
        <w:t>水厂配置清洁保洁和绿化养护人员合计</w:t>
      </w:r>
      <w:r>
        <w:rPr>
          <w:rFonts w:hint="eastAsia" w:ascii="宋体" w:hAnsi="宋体" w:eastAsia="宋体" w:cs="宋体"/>
          <w:b/>
          <w:color w:val="auto"/>
          <w:sz w:val="21"/>
          <w:szCs w:val="21"/>
          <w:highlight w:val="none"/>
          <w:u w:val="single"/>
          <w:lang w:val="en-US" w:eastAsia="zh-CN" w:bidi="ar"/>
        </w:rPr>
        <w:t xml:space="preserve"> </w:t>
      </w:r>
      <w:r>
        <w:rPr>
          <w:rFonts w:hint="eastAsia" w:hAnsi="宋体" w:cs="宋体"/>
          <w:b/>
          <w:color w:val="auto"/>
          <w:sz w:val="21"/>
          <w:szCs w:val="21"/>
          <w:highlight w:val="none"/>
          <w:u w:val="single"/>
          <w:lang w:val="en-US" w:eastAsia="zh-CN" w:bidi="ar"/>
        </w:rPr>
        <w:t xml:space="preserve">16 </w:t>
      </w:r>
      <w:r>
        <w:rPr>
          <w:rFonts w:hint="eastAsia" w:ascii="宋体" w:hAnsi="宋体" w:eastAsia="宋体" w:cs="宋体"/>
          <w:b/>
          <w:color w:val="auto"/>
          <w:sz w:val="21"/>
          <w:szCs w:val="21"/>
          <w:highlight w:val="none"/>
          <w:lang w:bidi="ar"/>
        </w:rPr>
        <w:t>名（指服务于本子项目的</w:t>
      </w:r>
      <w:r>
        <w:rPr>
          <w:rFonts w:hint="eastAsia" w:ascii="宋体" w:hAnsi="宋体" w:eastAsia="宋体" w:cs="宋体"/>
          <w:b/>
          <w:color w:val="auto"/>
          <w:sz w:val="21"/>
          <w:szCs w:val="21"/>
          <w:highlight w:val="none"/>
          <w:lang w:eastAsia="zh-CN" w:bidi="ar"/>
        </w:rPr>
        <w:t>服务单位</w:t>
      </w:r>
      <w:r>
        <w:rPr>
          <w:rFonts w:hint="eastAsia" w:ascii="宋体" w:hAnsi="宋体" w:eastAsia="宋体" w:cs="宋体"/>
          <w:b/>
          <w:color w:val="auto"/>
          <w:sz w:val="21"/>
          <w:szCs w:val="21"/>
          <w:highlight w:val="none"/>
          <w:lang w:bidi="ar"/>
        </w:rPr>
        <w:t>工作人员数量）。其中，清洁保洁人员</w:t>
      </w:r>
      <w:r>
        <w:rPr>
          <w:rFonts w:hint="eastAsia" w:ascii="宋体" w:hAnsi="宋体" w:eastAsia="宋体" w:cs="宋体"/>
          <w:b/>
          <w:color w:val="auto"/>
          <w:sz w:val="21"/>
          <w:szCs w:val="21"/>
          <w:highlight w:val="none"/>
          <w:u w:val="single"/>
          <w:lang w:bidi="ar"/>
        </w:rPr>
        <w:t xml:space="preserve"> </w:t>
      </w:r>
      <w:r>
        <w:rPr>
          <w:rFonts w:hint="eastAsia" w:hAnsi="宋体" w:cs="宋体"/>
          <w:b/>
          <w:color w:val="auto"/>
          <w:sz w:val="21"/>
          <w:szCs w:val="21"/>
          <w:highlight w:val="none"/>
          <w:u w:val="single"/>
          <w:lang w:val="en-US" w:eastAsia="zh-CN" w:bidi="ar"/>
        </w:rPr>
        <w:t>16</w:t>
      </w:r>
      <w:r>
        <w:rPr>
          <w:rFonts w:hint="eastAsia" w:ascii="宋体" w:hAnsi="宋体" w:eastAsia="宋体" w:cs="宋体"/>
          <w:b/>
          <w:color w:val="auto"/>
          <w:sz w:val="21"/>
          <w:szCs w:val="21"/>
          <w:highlight w:val="none"/>
          <w:u w:val="single"/>
          <w:lang w:bidi="ar"/>
        </w:rPr>
        <w:t xml:space="preserve"> </w:t>
      </w:r>
      <w:r>
        <w:rPr>
          <w:rFonts w:hint="eastAsia" w:ascii="宋体" w:hAnsi="宋体" w:eastAsia="宋体" w:cs="宋体"/>
          <w:b/>
          <w:color w:val="auto"/>
          <w:sz w:val="21"/>
          <w:szCs w:val="21"/>
          <w:highlight w:val="none"/>
          <w:lang w:bidi="ar"/>
        </w:rPr>
        <w:t>人，绿化养护人员</w:t>
      </w:r>
      <w:r>
        <w:rPr>
          <w:rFonts w:hint="eastAsia" w:ascii="宋体" w:hAnsi="宋体" w:eastAsia="宋体" w:cs="宋体"/>
          <w:b/>
          <w:color w:val="auto"/>
          <w:sz w:val="21"/>
          <w:szCs w:val="21"/>
          <w:highlight w:val="none"/>
          <w:u w:val="single"/>
          <w:lang w:bidi="ar"/>
        </w:rPr>
        <w:t xml:space="preserve"> </w:t>
      </w:r>
      <w:r>
        <w:rPr>
          <w:rFonts w:hint="eastAsia" w:ascii="宋体" w:hAnsi="宋体" w:eastAsia="宋体" w:cs="宋体"/>
          <w:b/>
          <w:color w:val="auto"/>
          <w:sz w:val="21"/>
          <w:szCs w:val="21"/>
          <w:highlight w:val="none"/>
          <w:u w:val="single"/>
          <w:lang w:val="en-US" w:eastAsia="zh-CN" w:bidi="ar"/>
        </w:rPr>
        <w:t>0</w:t>
      </w:r>
      <w:r>
        <w:rPr>
          <w:rFonts w:hint="eastAsia" w:ascii="宋体" w:hAnsi="宋体" w:eastAsia="宋体" w:cs="宋体"/>
          <w:b/>
          <w:color w:val="auto"/>
          <w:sz w:val="21"/>
          <w:szCs w:val="21"/>
          <w:highlight w:val="none"/>
          <w:u w:val="single"/>
          <w:lang w:bidi="ar"/>
        </w:rPr>
        <w:t xml:space="preserve"> </w:t>
      </w:r>
      <w:r>
        <w:rPr>
          <w:rFonts w:hint="eastAsia" w:ascii="宋体" w:hAnsi="宋体" w:eastAsia="宋体" w:cs="宋体"/>
          <w:b/>
          <w:color w:val="auto"/>
          <w:sz w:val="21"/>
          <w:szCs w:val="21"/>
          <w:highlight w:val="none"/>
          <w:lang w:bidi="ar"/>
        </w:rPr>
        <w:t>人</w:t>
      </w:r>
      <w:r>
        <w:rPr>
          <w:rFonts w:hint="eastAsia" w:ascii="宋体" w:hAnsi="宋体" w:eastAsia="宋体" w:cs="宋体"/>
          <w:b/>
          <w:color w:val="auto"/>
          <w:sz w:val="21"/>
          <w:szCs w:val="21"/>
          <w:highlight w:val="none"/>
        </w:rPr>
        <w:t>。</w:t>
      </w:r>
    </w:p>
    <w:p w14:paraId="3D3CB76B">
      <w:pPr>
        <w:keepNext w:val="0"/>
        <w:keepLines w:val="0"/>
        <w:pageBreakBefore w:val="0"/>
        <w:kinsoku/>
        <w:wordWrap/>
        <w:overflowPunct/>
        <w:topLinePunct w:val="0"/>
        <w:bidi w:val="0"/>
        <w:adjustRightInd/>
        <w:snapToGrid/>
        <w:spacing w:line="360" w:lineRule="auto"/>
        <w:ind w:firstLine="422" w:firstLineChars="200"/>
        <w:textAlignment w:val="auto"/>
        <w:outlineLvl w:val="9"/>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属地分公司：43人。其中：41名保洁，2名绿化</w:t>
      </w:r>
    </w:p>
    <w:p w14:paraId="34ABAAE7">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1</w:t>
      </w:r>
      <w:r>
        <w:rPr>
          <w:rFonts w:hint="eastAsia" w:ascii="宋体" w:hAnsi="宋体" w:eastAsia="宋体" w:cs="宋体"/>
          <w:b/>
          <w:color w:val="auto"/>
          <w:kern w:val="0"/>
          <w:sz w:val="21"/>
          <w:szCs w:val="21"/>
          <w:highlight w:val="none"/>
          <w:lang w:bidi="ar"/>
        </w:rPr>
        <w:t>）莞城（南城）分公司办公楼配置清洁保洁</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single"/>
          <w:lang w:val="en-US" w:eastAsia="zh-CN" w:bidi="ar"/>
        </w:rPr>
        <w:t>4</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lang w:bidi="ar"/>
        </w:rPr>
        <w:t>名（指服务于本子项目的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1BD7F20F">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2</w:t>
      </w:r>
      <w:r>
        <w:rPr>
          <w:rFonts w:hint="eastAsia" w:ascii="宋体" w:hAnsi="宋体" w:eastAsia="宋体" w:cs="宋体"/>
          <w:b/>
          <w:color w:val="auto"/>
          <w:kern w:val="0"/>
          <w:sz w:val="21"/>
          <w:szCs w:val="21"/>
          <w:highlight w:val="none"/>
          <w:lang w:bidi="ar"/>
        </w:rPr>
        <w:t>）东城分公司办公楼配置清洁保洁</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single"/>
          <w:lang w:val="en-US" w:eastAsia="zh-CN" w:bidi="ar"/>
        </w:rPr>
        <w:t>3</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lang w:bidi="ar"/>
        </w:rPr>
        <w:t>名（指服务于本子项目的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132CBF18">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）万江分公司办公楼配置清洁保洁</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single"/>
          <w:lang w:val="en-US" w:eastAsia="zh-CN" w:bidi="ar"/>
        </w:rPr>
        <w:t>2</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lang w:bidi="ar"/>
        </w:rPr>
        <w:t>名（指服务于本子项目的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5E7A5BDD">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4</w:t>
      </w:r>
      <w:r>
        <w:rPr>
          <w:rFonts w:hint="eastAsia" w:ascii="宋体" w:hAnsi="宋体" w:eastAsia="宋体" w:cs="宋体"/>
          <w:b/>
          <w:color w:val="auto"/>
          <w:kern w:val="0"/>
          <w:sz w:val="21"/>
          <w:szCs w:val="21"/>
          <w:highlight w:val="none"/>
          <w:lang w:bidi="ar"/>
        </w:rPr>
        <w:t>）松山湖分公司办公楼配置清洁保洁</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single"/>
          <w:lang w:val="en-US" w:eastAsia="zh-CN" w:bidi="ar"/>
        </w:rPr>
        <w:t>1</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lang w:bidi="ar"/>
        </w:rPr>
        <w:t>名（指服务于本子项目的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735FE983">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5</w:t>
      </w:r>
      <w:r>
        <w:rPr>
          <w:rFonts w:hint="eastAsia" w:ascii="宋体" w:hAnsi="宋体" w:eastAsia="宋体" w:cs="宋体"/>
          <w:b/>
          <w:color w:val="auto"/>
          <w:kern w:val="0"/>
          <w:sz w:val="21"/>
          <w:szCs w:val="21"/>
          <w:highlight w:val="none"/>
          <w:lang w:bidi="ar"/>
        </w:rPr>
        <w:t>）高埗分公司新厂区办公楼配置清洁保洁</w:t>
      </w:r>
      <w:r>
        <w:rPr>
          <w:rFonts w:hint="eastAsia" w:ascii="宋体" w:hAnsi="宋体" w:eastAsia="宋体" w:cs="宋体"/>
          <w:b/>
          <w:color w:val="auto"/>
          <w:kern w:val="0"/>
          <w:sz w:val="21"/>
          <w:szCs w:val="21"/>
          <w:highlight w:val="none"/>
          <w:u w:val="single"/>
          <w:lang w:val="en-US" w:eastAsia="zh-CN" w:bidi="ar"/>
        </w:rPr>
        <w:t xml:space="preserve"> 1</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lang w:bidi="ar"/>
        </w:rPr>
        <w:t>名（指服务于本子项目的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65664221">
      <w:pPr>
        <w:keepNext w:val="0"/>
        <w:keepLines w:val="0"/>
        <w:pageBreakBefore w:val="0"/>
        <w:kinsoku/>
        <w:wordWrap/>
        <w:overflowPunct/>
        <w:topLinePunct w:val="0"/>
        <w:bidi w:val="0"/>
        <w:adjustRightInd/>
        <w:snapToGrid/>
        <w:spacing w:line="360" w:lineRule="auto"/>
        <w:ind w:firstLine="422" w:firstLineChars="200"/>
        <w:textAlignment w:val="auto"/>
        <w:rPr>
          <w:rFonts w:hint="eastAsia" w:ascii="宋体" w:hAnsi="宋体" w:eastAsia="宋体" w:cs="宋体"/>
          <w:color w:val="auto"/>
          <w:sz w:val="21"/>
          <w:szCs w:val="21"/>
          <w:highlight w:val="none"/>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6</w:t>
      </w: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石碣</w:t>
      </w:r>
      <w:r>
        <w:rPr>
          <w:rFonts w:hint="eastAsia" w:ascii="宋体" w:hAnsi="宋体" w:eastAsia="宋体" w:cs="宋体"/>
          <w:b/>
          <w:color w:val="auto"/>
          <w:kern w:val="0"/>
          <w:sz w:val="21"/>
          <w:szCs w:val="21"/>
          <w:highlight w:val="none"/>
          <w:lang w:bidi="ar"/>
        </w:rPr>
        <w:t>分公司</w:t>
      </w:r>
      <w:r>
        <w:rPr>
          <w:rFonts w:hint="eastAsia" w:ascii="宋体" w:hAnsi="宋体" w:eastAsia="宋体" w:cs="宋体"/>
          <w:b/>
          <w:color w:val="auto"/>
          <w:kern w:val="0"/>
          <w:sz w:val="21"/>
          <w:szCs w:val="21"/>
          <w:highlight w:val="none"/>
          <w:lang w:val="en-US" w:eastAsia="zh-CN" w:bidi="ar"/>
        </w:rPr>
        <w:t>办公楼</w:t>
      </w:r>
      <w:r>
        <w:rPr>
          <w:rFonts w:hint="eastAsia" w:ascii="宋体" w:hAnsi="宋体" w:eastAsia="宋体" w:cs="宋体"/>
          <w:b/>
          <w:color w:val="auto"/>
          <w:kern w:val="0"/>
          <w:sz w:val="21"/>
          <w:szCs w:val="21"/>
          <w:highlight w:val="none"/>
          <w:lang w:bidi="ar"/>
        </w:rPr>
        <w:t>配置清洁保洁</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single"/>
          <w:lang w:val="en-US" w:eastAsia="zh-CN" w:bidi="ar"/>
        </w:rPr>
        <w:t>1</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lang w:bidi="ar"/>
        </w:rPr>
        <w:t>名（指服务于本子项目的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3FE103A3">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7</w:t>
      </w:r>
      <w:r>
        <w:rPr>
          <w:rFonts w:hint="eastAsia" w:ascii="宋体" w:hAnsi="宋体" w:eastAsia="宋体" w:cs="宋体"/>
          <w:b/>
          <w:color w:val="auto"/>
          <w:kern w:val="0"/>
          <w:sz w:val="21"/>
          <w:szCs w:val="21"/>
          <w:highlight w:val="none"/>
          <w:lang w:bidi="ar"/>
        </w:rPr>
        <w:t>）石龙分公司</w:t>
      </w:r>
      <w:r>
        <w:rPr>
          <w:rFonts w:hint="eastAsia" w:ascii="宋体" w:hAnsi="宋体" w:eastAsia="宋体" w:cs="宋体"/>
          <w:b/>
          <w:color w:val="auto"/>
          <w:kern w:val="0"/>
          <w:sz w:val="21"/>
          <w:szCs w:val="21"/>
          <w:highlight w:val="none"/>
          <w:lang w:val="en-US" w:eastAsia="zh-CN" w:bidi="ar"/>
        </w:rPr>
        <w:t>办公楼及仓库</w:t>
      </w:r>
      <w:r>
        <w:rPr>
          <w:rFonts w:hint="eastAsia" w:ascii="宋体" w:hAnsi="宋体" w:eastAsia="宋体" w:cs="宋体"/>
          <w:b/>
          <w:color w:val="auto"/>
          <w:kern w:val="0"/>
          <w:sz w:val="21"/>
          <w:szCs w:val="21"/>
          <w:highlight w:val="none"/>
          <w:lang w:bidi="ar"/>
        </w:rPr>
        <w:t>配置清洁保洁</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single"/>
          <w:lang w:val="en-US" w:eastAsia="zh-CN" w:bidi="ar"/>
        </w:rPr>
        <w:t>1</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lang w:bidi="ar"/>
        </w:rPr>
        <w:t>名（指服务于本子项目的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4B07E648">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8</w:t>
      </w:r>
      <w:r>
        <w:rPr>
          <w:rFonts w:hint="eastAsia" w:ascii="宋体" w:hAnsi="宋体" w:eastAsia="宋体" w:cs="宋体"/>
          <w:b/>
          <w:color w:val="auto"/>
          <w:kern w:val="0"/>
          <w:sz w:val="21"/>
          <w:szCs w:val="21"/>
          <w:highlight w:val="none"/>
          <w:lang w:bidi="ar"/>
        </w:rPr>
        <w:t>）石排分公司办公楼配置清洁保洁</w:t>
      </w:r>
      <w:r>
        <w:rPr>
          <w:rFonts w:hint="eastAsia" w:ascii="宋体" w:hAnsi="宋体" w:eastAsia="宋体" w:cs="宋体"/>
          <w:b/>
          <w:color w:val="auto"/>
          <w:kern w:val="0"/>
          <w:sz w:val="21"/>
          <w:szCs w:val="21"/>
          <w:highlight w:val="none"/>
          <w:u w:val="single"/>
          <w:lang w:val="en-US" w:eastAsia="zh-CN" w:bidi="ar"/>
        </w:rPr>
        <w:t xml:space="preserve"> 1 </w:t>
      </w:r>
      <w:r>
        <w:rPr>
          <w:rFonts w:hint="eastAsia" w:ascii="宋体" w:hAnsi="宋体" w:eastAsia="宋体" w:cs="宋体"/>
          <w:b/>
          <w:color w:val="auto"/>
          <w:kern w:val="0"/>
          <w:sz w:val="21"/>
          <w:szCs w:val="21"/>
          <w:highlight w:val="none"/>
          <w:lang w:bidi="ar"/>
        </w:rPr>
        <w:t>名（指服务于本子项目的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6A491746">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9</w:t>
      </w:r>
      <w:r>
        <w:rPr>
          <w:rFonts w:hint="eastAsia" w:ascii="宋体" w:hAnsi="宋体" w:eastAsia="宋体" w:cs="宋体"/>
          <w:b/>
          <w:color w:val="auto"/>
          <w:kern w:val="0"/>
          <w:sz w:val="21"/>
          <w:szCs w:val="21"/>
          <w:highlight w:val="none"/>
          <w:lang w:bidi="ar"/>
        </w:rPr>
        <w:t>）茶山分公司办公区配置清洁保洁</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single"/>
          <w:lang w:val="en-US" w:eastAsia="zh-CN" w:bidi="ar"/>
        </w:rPr>
        <w:t>2</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lang w:bidi="ar"/>
        </w:rPr>
        <w:t>名（指服务于本子项目的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1B462602">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10</w:t>
      </w:r>
      <w:r>
        <w:rPr>
          <w:rFonts w:hint="eastAsia" w:ascii="宋体" w:hAnsi="宋体" w:eastAsia="宋体" w:cs="宋体"/>
          <w:b/>
          <w:color w:val="auto"/>
          <w:kern w:val="0"/>
          <w:sz w:val="21"/>
          <w:szCs w:val="21"/>
          <w:highlight w:val="none"/>
          <w:lang w:bidi="ar"/>
        </w:rPr>
        <w:t>）寮步分公司办公楼配置清洁保洁</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single"/>
          <w:lang w:val="en-US" w:eastAsia="zh-CN" w:bidi="ar"/>
        </w:rPr>
        <w:t xml:space="preserve">3 </w:t>
      </w:r>
      <w:r>
        <w:rPr>
          <w:rFonts w:hint="eastAsia" w:ascii="宋体" w:hAnsi="宋体" w:eastAsia="宋体" w:cs="宋体"/>
          <w:b/>
          <w:color w:val="auto"/>
          <w:kern w:val="0"/>
          <w:sz w:val="21"/>
          <w:szCs w:val="21"/>
          <w:highlight w:val="none"/>
          <w:lang w:bidi="ar"/>
        </w:rPr>
        <w:t>名（指服务于本子项目的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65B18121">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11</w:t>
      </w:r>
      <w:r>
        <w:rPr>
          <w:rFonts w:hint="eastAsia" w:ascii="宋体" w:hAnsi="宋体" w:eastAsia="宋体" w:cs="宋体"/>
          <w:b/>
          <w:color w:val="auto"/>
          <w:kern w:val="0"/>
          <w:sz w:val="21"/>
          <w:szCs w:val="21"/>
          <w:highlight w:val="none"/>
          <w:lang w:bidi="ar"/>
        </w:rPr>
        <w:t>）望牛墩分公司办公楼</w:t>
      </w:r>
      <w:r>
        <w:rPr>
          <w:rFonts w:hint="eastAsia" w:ascii="宋体" w:hAnsi="宋体" w:eastAsia="宋体" w:cs="宋体"/>
          <w:b/>
          <w:color w:val="auto"/>
          <w:kern w:val="0"/>
          <w:sz w:val="21"/>
          <w:szCs w:val="21"/>
          <w:highlight w:val="none"/>
          <w:lang w:val="en-US" w:eastAsia="zh-CN" w:bidi="ar"/>
        </w:rPr>
        <w:t>及营业厅</w:t>
      </w:r>
      <w:r>
        <w:rPr>
          <w:rFonts w:hint="eastAsia" w:ascii="宋体" w:hAnsi="宋体" w:eastAsia="宋体" w:cs="宋体"/>
          <w:b/>
          <w:color w:val="auto"/>
          <w:kern w:val="0"/>
          <w:sz w:val="21"/>
          <w:szCs w:val="21"/>
          <w:highlight w:val="none"/>
          <w:lang w:bidi="ar"/>
        </w:rPr>
        <w:t>配置清洁保洁</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single"/>
          <w:lang w:val="en-US" w:eastAsia="zh-CN" w:bidi="ar"/>
        </w:rPr>
        <w:t>1</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lang w:bidi="ar"/>
        </w:rPr>
        <w:t>名</w:t>
      </w:r>
      <w:r>
        <w:rPr>
          <w:rFonts w:hint="eastAsia" w:ascii="宋体" w:hAnsi="宋体" w:eastAsia="宋体" w:cs="宋体"/>
          <w:b/>
          <w:color w:val="auto"/>
          <w:kern w:val="0"/>
          <w:sz w:val="21"/>
          <w:szCs w:val="21"/>
          <w:highlight w:val="none"/>
          <w:lang w:eastAsia="zh-CN" w:bidi="ar"/>
        </w:rPr>
        <w:t>，</w:t>
      </w:r>
      <w:r>
        <w:rPr>
          <w:rFonts w:hint="eastAsia" w:ascii="宋体" w:hAnsi="宋体" w:eastAsia="宋体" w:cs="宋体"/>
          <w:b/>
          <w:color w:val="auto"/>
          <w:kern w:val="0"/>
          <w:sz w:val="21"/>
          <w:szCs w:val="21"/>
          <w:highlight w:val="none"/>
          <w:lang w:bidi="ar"/>
        </w:rPr>
        <w:t>办公楼绿化养护人员</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single"/>
          <w:lang w:val="en-US" w:eastAsia="zh-CN" w:bidi="ar"/>
        </w:rPr>
        <w:t>1</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none"/>
          <w:lang w:val="en-US" w:eastAsia="zh-CN" w:bidi="ar"/>
        </w:rPr>
        <w:t>名</w:t>
      </w:r>
      <w:r>
        <w:rPr>
          <w:rFonts w:hint="eastAsia" w:ascii="宋体" w:hAnsi="宋体" w:eastAsia="宋体" w:cs="宋体"/>
          <w:b/>
          <w:color w:val="auto"/>
          <w:kern w:val="0"/>
          <w:sz w:val="21"/>
          <w:szCs w:val="21"/>
          <w:highlight w:val="none"/>
          <w:lang w:bidi="ar"/>
        </w:rPr>
        <w:t>。（指服务于本子项目的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7E184034">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（1</w:t>
      </w:r>
      <w:r>
        <w:rPr>
          <w:rFonts w:hint="eastAsia" w:ascii="宋体" w:hAnsi="宋体" w:eastAsia="宋体" w:cs="宋体"/>
          <w:b/>
          <w:color w:val="auto"/>
          <w:kern w:val="0"/>
          <w:sz w:val="21"/>
          <w:szCs w:val="21"/>
          <w:highlight w:val="none"/>
          <w:lang w:val="en-US" w:eastAsia="zh-CN" w:bidi="ar"/>
        </w:rPr>
        <w:t>2</w:t>
      </w:r>
      <w:r>
        <w:rPr>
          <w:rFonts w:hint="eastAsia" w:ascii="宋体" w:hAnsi="宋体" w:eastAsia="宋体" w:cs="宋体"/>
          <w:b/>
          <w:color w:val="auto"/>
          <w:kern w:val="0"/>
          <w:sz w:val="21"/>
          <w:szCs w:val="21"/>
          <w:highlight w:val="none"/>
          <w:lang w:bidi="ar"/>
        </w:rPr>
        <w:t>）洪梅分公司办公楼配置清洁保洁</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single"/>
          <w:lang w:val="en-US" w:eastAsia="zh-CN" w:bidi="ar"/>
        </w:rPr>
        <w:t>1</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lang w:bidi="ar"/>
        </w:rPr>
        <w:t>名（指服务于本子项目的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05E98D76">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13</w:t>
      </w:r>
      <w:r>
        <w:rPr>
          <w:rFonts w:hint="eastAsia" w:ascii="宋体" w:hAnsi="宋体" w:eastAsia="宋体" w:cs="宋体"/>
          <w:b/>
          <w:color w:val="auto"/>
          <w:kern w:val="0"/>
          <w:sz w:val="21"/>
          <w:szCs w:val="21"/>
          <w:highlight w:val="none"/>
          <w:lang w:bidi="ar"/>
        </w:rPr>
        <w:t>）麻涌分公司办公楼配置清洁保洁</w:t>
      </w:r>
      <w:r>
        <w:rPr>
          <w:rFonts w:hint="eastAsia" w:ascii="宋体" w:hAnsi="宋体" w:eastAsia="宋体" w:cs="宋体"/>
          <w:b/>
          <w:color w:val="auto"/>
          <w:kern w:val="0"/>
          <w:sz w:val="21"/>
          <w:szCs w:val="21"/>
          <w:highlight w:val="none"/>
          <w:u w:val="single"/>
          <w:lang w:val="en-US" w:eastAsia="zh-CN" w:bidi="ar"/>
        </w:rPr>
        <w:t xml:space="preserve"> 1 </w:t>
      </w:r>
      <w:r>
        <w:rPr>
          <w:rFonts w:hint="eastAsia" w:ascii="宋体" w:hAnsi="宋体" w:eastAsia="宋体" w:cs="宋体"/>
          <w:b/>
          <w:color w:val="auto"/>
          <w:kern w:val="0"/>
          <w:sz w:val="21"/>
          <w:szCs w:val="21"/>
          <w:highlight w:val="none"/>
          <w:lang w:bidi="ar"/>
        </w:rPr>
        <w:t>名（指服务于本子项目的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5849906B">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14</w:t>
      </w:r>
      <w:r>
        <w:rPr>
          <w:rFonts w:hint="eastAsia" w:ascii="宋体" w:hAnsi="宋体" w:eastAsia="宋体" w:cs="宋体"/>
          <w:b/>
          <w:color w:val="auto"/>
          <w:kern w:val="0"/>
          <w:sz w:val="21"/>
          <w:szCs w:val="21"/>
          <w:highlight w:val="none"/>
          <w:lang w:bidi="ar"/>
        </w:rPr>
        <w:t>）道滘分公司办公楼配置清洁保洁</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single"/>
          <w:lang w:val="en-US" w:eastAsia="zh-CN" w:bidi="ar"/>
        </w:rPr>
        <w:t>1</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lang w:bidi="ar"/>
        </w:rPr>
        <w:t>名（指服务于本子项目的</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工作人员数量）。</w:t>
      </w:r>
    </w:p>
    <w:p w14:paraId="19999AB6">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15</w:t>
      </w:r>
      <w:r>
        <w:rPr>
          <w:rFonts w:hint="eastAsia" w:ascii="宋体" w:hAnsi="宋体" w:eastAsia="宋体" w:cs="宋体"/>
          <w:b/>
          <w:color w:val="auto"/>
          <w:sz w:val="21"/>
          <w:szCs w:val="21"/>
          <w:highlight w:val="none"/>
        </w:rPr>
        <w:t>）中堂分公司办公楼配置清洁保洁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w:t>
      </w:r>
    </w:p>
    <w:p w14:paraId="5387655C">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16</w:t>
      </w:r>
      <w:r>
        <w:rPr>
          <w:rFonts w:hint="eastAsia" w:ascii="宋体" w:hAnsi="宋体" w:eastAsia="宋体" w:cs="宋体"/>
          <w:b/>
          <w:color w:val="auto"/>
          <w:sz w:val="21"/>
          <w:szCs w:val="21"/>
          <w:highlight w:val="none"/>
        </w:rPr>
        <w:t>）沙田分公司本部办公楼配置清洁保洁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w:t>
      </w:r>
    </w:p>
    <w:p w14:paraId="19F1131A">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17</w:t>
      </w:r>
      <w:r>
        <w:rPr>
          <w:rFonts w:hint="eastAsia" w:ascii="宋体" w:hAnsi="宋体" w:eastAsia="宋体" w:cs="宋体"/>
          <w:b/>
          <w:color w:val="auto"/>
          <w:sz w:val="21"/>
          <w:szCs w:val="21"/>
          <w:highlight w:val="none"/>
        </w:rPr>
        <w:t>）厚街分公司本部办公楼配置清洁保洁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w:t>
      </w:r>
    </w:p>
    <w:p w14:paraId="0022CF7E">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18</w:t>
      </w:r>
      <w:r>
        <w:rPr>
          <w:rFonts w:hint="eastAsia" w:ascii="宋体" w:hAnsi="宋体" w:eastAsia="宋体" w:cs="宋体"/>
          <w:b/>
          <w:color w:val="auto"/>
          <w:sz w:val="21"/>
          <w:szCs w:val="21"/>
          <w:highlight w:val="none"/>
        </w:rPr>
        <w:t>）厚街分公司东部加压站配置清洁保洁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w:t>
      </w:r>
      <w:r>
        <w:rPr>
          <w:rFonts w:hint="eastAsia" w:ascii="宋体" w:hAnsi="宋体" w:eastAsia="宋体" w:cs="宋体"/>
          <w:b/>
          <w:color w:val="auto"/>
          <w:sz w:val="21"/>
          <w:szCs w:val="21"/>
          <w:highlight w:val="none"/>
          <w:lang w:eastAsia="zh-CN"/>
        </w:rPr>
        <w:t>，</w:t>
      </w:r>
      <w:r>
        <w:rPr>
          <w:rFonts w:hint="eastAsia" w:ascii="宋体" w:hAnsi="宋体" w:eastAsia="宋体" w:cs="宋体"/>
          <w:b/>
          <w:color w:val="auto"/>
          <w:kern w:val="0"/>
          <w:sz w:val="21"/>
          <w:szCs w:val="21"/>
          <w:highlight w:val="none"/>
          <w:lang w:bidi="ar"/>
        </w:rPr>
        <w:t>绿化养护人员</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single"/>
          <w:lang w:val="en-US" w:eastAsia="zh-CN" w:bidi="ar"/>
        </w:rPr>
        <w:t>1</w:t>
      </w:r>
      <w:r>
        <w:rPr>
          <w:rFonts w:hint="eastAsia" w:ascii="宋体" w:hAnsi="宋体" w:eastAsia="宋体" w:cs="宋体"/>
          <w:b/>
          <w:color w:val="auto"/>
          <w:kern w:val="0"/>
          <w:sz w:val="21"/>
          <w:szCs w:val="21"/>
          <w:highlight w:val="none"/>
          <w:u w:val="single"/>
          <w:lang w:bidi="ar"/>
        </w:rPr>
        <w:t xml:space="preserve"> </w:t>
      </w:r>
      <w:r>
        <w:rPr>
          <w:rFonts w:hint="eastAsia" w:ascii="宋体" w:hAnsi="宋体" w:eastAsia="宋体" w:cs="宋体"/>
          <w:b/>
          <w:color w:val="auto"/>
          <w:kern w:val="0"/>
          <w:sz w:val="21"/>
          <w:szCs w:val="21"/>
          <w:highlight w:val="none"/>
          <w:u w:val="none"/>
          <w:lang w:val="en-US" w:eastAsia="zh-CN" w:bidi="ar"/>
        </w:rPr>
        <w:t>名</w:t>
      </w: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sz w:val="21"/>
          <w:szCs w:val="21"/>
          <w:highlight w:val="none"/>
        </w:rPr>
        <w:t>（指服务于本子项目的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w:t>
      </w:r>
    </w:p>
    <w:p w14:paraId="5F28F6A6">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19</w:t>
      </w:r>
      <w:r>
        <w:rPr>
          <w:rFonts w:hint="eastAsia" w:ascii="宋体" w:hAnsi="宋体" w:eastAsia="宋体" w:cs="宋体"/>
          <w:b/>
          <w:color w:val="auto"/>
          <w:sz w:val="21"/>
          <w:szCs w:val="21"/>
          <w:highlight w:val="none"/>
        </w:rPr>
        <w:t>）凤岗分公司办公楼配置清洁保洁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w:t>
      </w:r>
    </w:p>
    <w:p w14:paraId="0A38438C">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20</w:t>
      </w:r>
      <w:r>
        <w:rPr>
          <w:rFonts w:hint="eastAsia" w:ascii="宋体" w:hAnsi="宋体" w:eastAsia="宋体" w:cs="宋体"/>
          <w:b/>
          <w:color w:val="auto"/>
          <w:sz w:val="21"/>
          <w:szCs w:val="21"/>
          <w:highlight w:val="none"/>
        </w:rPr>
        <w:t>）凤岗分公司供水服务中心配置清洁保洁</w:t>
      </w:r>
      <w:r>
        <w:rPr>
          <w:rFonts w:hint="eastAsia" w:ascii="宋体" w:hAnsi="宋体" w:eastAsia="宋体" w:cs="宋体"/>
          <w:b/>
          <w:color w:val="auto"/>
          <w:sz w:val="21"/>
          <w:szCs w:val="21"/>
          <w:highlight w:val="none"/>
          <w:u w:val="single"/>
        </w:rPr>
        <w:t xml:space="preserve"> 1</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w:t>
      </w:r>
    </w:p>
    <w:p w14:paraId="2B54A69A">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21</w:t>
      </w:r>
      <w:r>
        <w:rPr>
          <w:rFonts w:hint="eastAsia" w:ascii="宋体" w:hAnsi="宋体" w:eastAsia="宋体" w:cs="宋体"/>
          <w:b/>
          <w:color w:val="auto"/>
          <w:sz w:val="21"/>
          <w:szCs w:val="21"/>
          <w:highlight w:val="none"/>
        </w:rPr>
        <w:t>）樟木头分公司办公楼</w:t>
      </w:r>
      <w:r>
        <w:rPr>
          <w:rFonts w:hint="eastAsia" w:ascii="宋体" w:hAnsi="宋体" w:eastAsia="宋体" w:cs="宋体"/>
          <w:b/>
          <w:color w:val="auto"/>
          <w:sz w:val="21"/>
          <w:szCs w:val="21"/>
          <w:highlight w:val="none"/>
          <w:lang w:val="en-US" w:eastAsia="zh-CN"/>
        </w:rPr>
        <w:t>及子项目</w:t>
      </w:r>
      <w:r>
        <w:rPr>
          <w:rFonts w:hint="eastAsia" w:ascii="宋体" w:hAnsi="宋体" w:eastAsia="宋体" w:cs="宋体"/>
          <w:b/>
          <w:color w:val="auto"/>
          <w:sz w:val="21"/>
          <w:szCs w:val="21"/>
          <w:highlight w:val="none"/>
        </w:rPr>
        <w:t>配置清洁保洁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w:t>
      </w:r>
    </w:p>
    <w:p w14:paraId="35E55303">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22</w:t>
      </w:r>
      <w:r>
        <w:rPr>
          <w:rFonts w:hint="eastAsia" w:ascii="宋体" w:hAnsi="宋体" w:eastAsia="宋体" w:cs="宋体"/>
          <w:b/>
          <w:color w:val="auto"/>
          <w:sz w:val="21"/>
          <w:szCs w:val="21"/>
          <w:highlight w:val="none"/>
        </w:rPr>
        <w:t>）黄江分公司办公楼配置清洁保洁</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w:t>
      </w:r>
    </w:p>
    <w:p w14:paraId="66065A19">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23</w:t>
      </w:r>
      <w:r>
        <w:rPr>
          <w:rFonts w:hint="eastAsia" w:ascii="宋体" w:hAnsi="宋体" w:eastAsia="宋体" w:cs="宋体"/>
          <w:b/>
          <w:color w:val="auto"/>
          <w:sz w:val="21"/>
          <w:szCs w:val="21"/>
          <w:highlight w:val="none"/>
        </w:rPr>
        <w:t>）谢岗分公司办公楼配置清洁保洁</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u w:val="single"/>
          <w:lang w:val="en-US" w:eastAsia="zh-CN"/>
        </w:rPr>
        <w:t>1</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w:t>
      </w:r>
    </w:p>
    <w:p w14:paraId="39E586EF">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24</w:t>
      </w:r>
      <w:r>
        <w:rPr>
          <w:rFonts w:hint="eastAsia" w:ascii="宋体" w:hAnsi="宋体" w:eastAsia="宋体" w:cs="宋体"/>
          <w:b/>
          <w:color w:val="auto"/>
          <w:sz w:val="21"/>
          <w:szCs w:val="21"/>
          <w:highlight w:val="none"/>
        </w:rPr>
        <w:t>）东坑分公司办公楼配置清洁保洁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w:t>
      </w:r>
    </w:p>
    <w:p w14:paraId="7C185E84">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25</w:t>
      </w:r>
      <w:r>
        <w:rPr>
          <w:rFonts w:hint="eastAsia" w:ascii="宋体" w:hAnsi="宋体" w:eastAsia="宋体" w:cs="宋体"/>
          <w:b/>
          <w:color w:val="auto"/>
          <w:sz w:val="21"/>
          <w:szCs w:val="21"/>
          <w:highlight w:val="none"/>
        </w:rPr>
        <w:t>）横沥分公司办公楼配置清洁保洁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w:t>
      </w:r>
    </w:p>
    <w:p w14:paraId="49464AA9">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26</w:t>
      </w:r>
      <w:r>
        <w:rPr>
          <w:rFonts w:hint="eastAsia" w:ascii="宋体" w:hAnsi="宋体" w:eastAsia="宋体" w:cs="宋体"/>
          <w:b/>
          <w:color w:val="auto"/>
          <w:sz w:val="21"/>
          <w:szCs w:val="21"/>
          <w:highlight w:val="none"/>
        </w:rPr>
        <w:t>）企石分公司办公楼配置清洁保洁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w:t>
      </w:r>
    </w:p>
    <w:p w14:paraId="0F9E986A">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27</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桥头</w:t>
      </w:r>
      <w:r>
        <w:rPr>
          <w:rFonts w:hint="eastAsia" w:ascii="宋体" w:hAnsi="宋体" w:eastAsia="宋体" w:cs="宋体"/>
          <w:b/>
          <w:color w:val="auto"/>
          <w:sz w:val="21"/>
          <w:szCs w:val="21"/>
          <w:highlight w:val="none"/>
        </w:rPr>
        <w:t>分公司办公楼配置清洁保洁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1</w:t>
      </w:r>
      <w:r>
        <w:rPr>
          <w:rFonts w:hint="eastAsia" w:hAnsi="宋体" w:cs="宋体"/>
          <w:b/>
          <w:color w:val="auto"/>
          <w:sz w:val="21"/>
          <w:szCs w:val="21"/>
          <w:highlight w:val="none"/>
          <w:u w:val="single"/>
          <w:lang w:val="en-US" w:eastAsia="zh-CN"/>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w:t>
      </w:r>
    </w:p>
    <w:p w14:paraId="470BBBEA">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28</w:t>
      </w:r>
      <w:r>
        <w:rPr>
          <w:rFonts w:hint="eastAsia" w:ascii="宋体" w:hAnsi="宋体" w:eastAsia="宋体" w:cs="宋体"/>
          <w:b/>
          <w:color w:val="auto"/>
          <w:sz w:val="21"/>
          <w:szCs w:val="21"/>
          <w:highlight w:val="none"/>
        </w:rPr>
        <w:t>）</w:t>
      </w:r>
      <w:r>
        <w:rPr>
          <w:rFonts w:hint="eastAsia" w:ascii="宋体" w:hAnsi="宋体" w:eastAsia="宋体" w:cs="宋体"/>
          <w:b/>
          <w:color w:val="auto"/>
          <w:sz w:val="21"/>
          <w:szCs w:val="21"/>
          <w:highlight w:val="none"/>
          <w:lang w:val="en-US" w:eastAsia="zh-CN"/>
        </w:rPr>
        <w:t>虎门分公司芦花坑水厂</w:t>
      </w:r>
      <w:r>
        <w:rPr>
          <w:rFonts w:hint="eastAsia" w:ascii="宋体" w:hAnsi="宋体" w:eastAsia="宋体" w:cs="宋体"/>
          <w:b/>
          <w:color w:val="auto"/>
          <w:sz w:val="21"/>
          <w:szCs w:val="21"/>
          <w:highlight w:val="none"/>
        </w:rPr>
        <w:t>配置清洁保洁</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u w:val="single"/>
          <w:lang w:val="en-US" w:eastAsia="zh-CN"/>
        </w:rPr>
        <w:t>2</w:t>
      </w:r>
      <w:r>
        <w:rPr>
          <w:rFonts w:hint="eastAsia" w:ascii="宋体" w:hAnsi="宋体" w:eastAsia="宋体" w:cs="宋体"/>
          <w:b/>
          <w:color w:val="auto"/>
          <w:sz w:val="21"/>
          <w:szCs w:val="21"/>
          <w:highlight w:val="none"/>
          <w:u w:val="single"/>
        </w:rPr>
        <w:t xml:space="preserve"> </w:t>
      </w:r>
      <w:r>
        <w:rPr>
          <w:rFonts w:hint="eastAsia" w:ascii="宋体" w:hAnsi="宋体" w:eastAsia="宋体" w:cs="宋体"/>
          <w:b/>
          <w:color w:val="auto"/>
          <w:sz w:val="21"/>
          <w:szCs w:val="21"/>
          <w:highlight w:val="none"/>
        </w:rPr>
        <w:t>名（指服务于本子项目的</w:t>
      </w:r>
      <w:r>
        <w:rPr>
          <w:rFonts w:hint="eastAsia" w:ascii="宋体" w:hAnsi="宋体" w:eastAsia="宋体" w:cs="宋体"/>
          <w:b/>
          <w:color w:val="auto"/>
          <w:sz w:val="21"/>
          <w:szCs w:val="21"/>
          <w:highlight w:val="none"/>
          <w:lang w:eastAsia="zh-CN"/>
        </w:rPr>
        <w:t>服务单位</w:t>
      </w:r>
      <w:r>
        <w:rPr>
          <w:rFonts w:hint="eastAsia" w:ascii="宋体" w:hAnsi="宋体" w:eastAsia="宋体" w:cs="宋体"/>
          <w:b/>
          <w:color w:val="auto"/>
          <w:sz w:val="21"/>
          <w:szCs w:val="21"/>
          <w:highlight w:val="none"/>
        </w:rPr>
        <w:t>工作人员数量）。</w:t>
      </w:r>
    </w:p>
    <w:p w14:paraId="181E301D">
      <w:pPr>
        <w:pStyle w:val="204"/>
        <w:keepNext w:val="0"/>
        <w:keepLines w:val="0"/>
        <w:pageBreakBefore w:val="0"/>
        <w:widowControl/>
        <w:kinsoku/>
        <w:wordWrap/>
        <w:overflowPunct/>
        <w:topLinePunct w:val="0"/>
        <w:bidi w:val="0"/>
        <w:adjustRightInd/>
        <w:snapToGrid/>
        <w:spacing w:line="360" w:lineRule="auto"/>
        <w:ind w:firstLine="422" w:firstLineChars="200"/>
        <w:textAlignment w:val="auto"/>
        <w:rPr>
          <w:rFonts w:hint="eastAsia" w:ascii="宋体" w:hAnsi="宋体" w:eastAsia="宋体" w:cs="宋体"/>
          <w:b/>
          <w:color w:val="auto"/>
          <w:sz w:val="21"/>
          <w:szCs w:val="21"/>
          <w:highlight w:val="none"/>
        </w:rPr>
      </w:pPr>
    </w:p>
    <w:p w14:paraId="0ABCDDF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2.本次招标实行项目经理制度，项目经理要求园林专业本科或以上、具有园林专业中级或以上职称</w:t>
      </w:r>
      <w:r>
        <w:rPr>
          <w:rFonts w:hint="eastAsia" w:ascii="宋体" w:hAnsi="宋体" w:eastAsia="宋体" w:cs="宋体"/>
          <w:color w:val="auto"/>
          <w:kern w:val="0"/>
          <w:sz w:val="21"/>
          <w:szCs w:val="21"/>
          <w:highlight w:val="none"/>
          <w:lang w:eastAsia="zh-CN" w:bidi="ar"/>
        </w:rPr>
        <w:t>。</w:t>
      </w:r>
      <w:r>
        <w:rPr>
          <w:rFonts w:hint="eastAsia" w:eastAsia="宋体" w:cs="宋体"/>
          <w:sz w:val="21"/>
          <w:szCs w:val="21"/>
          <w:highlight w:val="none"/>
        </w:rPr>
        <w:t>项目经理全面负责对应的</w:t>
      </w:r>
      <w:r>
        <w:rPr>
          <w:rFonts w:hint="eastAsia" w:eastAsia="宋体" w:cs="宋体"/>
          <w:sz w:val="21"/>
          <w:szCs w:val="21"/>
          <w:highlight w:val="none"/>
          <w:lang w:val="en-US" w:eastAsia="zh-CN"/>
        </w:rPr>
        <w:t>合同</w:t>
      </w:r>
      <w:r>
        <w:rPr>
          <w:rFonts w:hint="eastAsia" w:eastAsia="宋体" w:cs="宋体"/>
          <w:sz w:val="21"/>
          <w:szCs w:val="21"/>
          <w:highlight w:val="none"/>
        </w:rPr>
        <w:t>承包区域。服务单位在合同签订之日</w:t>
      </w:r>
      <w:r>
        <w:rPr>
          <w:rFonts w:hint="eastAsia" w:ascii="宋体" w:hAnsi="宋体" w:eastAsia="宋体" w:cs="宋体"/>
          <w:sz w:val="21"/>
          <w:szCs w:val="21"/>
          <w:highlight w:val="none"/>
        </w:rPr>
        <w:t>起10日</w:t>
      </w:r>
      <w:r>
        <w:rPr>
          <w:rFonts w:hint="eastAsia" w:eastAsia="宋体" w:cs="宋体"/>
          <w:sz w:val="21"/>
          <w:szCs w:val="21"/>
          <w:highlight w:val="none"/>
        </w:rPr>
        <w:t>内，将本项目的项目经理和技术负责人的相关职称证书、资格证书原件提交</w:t>
      </w:r>
      <w:r>
        <w:rPr>
          <w:rFonts w:hint="eastAsia" w:eastAsia="宋体" w:cs="宋体"/>
          <w:sz w:val="21"/>
          <w:szCs w:val="21"/>
          <w:highlight w:val="none"/>
          <w:lang w:val="en-US" w:eastAsia="zh-CN"/>
        </w:rPr>
        <w:t>招标人</w:t>
      </w:r>
      <w:r>
        <w:rPr>
          <w:rFonts w:hint="eastAsia" w:eastAsia="宋体" w:cs="宋体"/>
          <w:sz w:val="21"/>
          <w:szCs w:val="21"/>
          <w:highlight w:val="none"/>
        </w:rPr>
        <w:t>核查，复印件提交</w:t>
      </w:r>
      <w:r>
        <w:rPr>
          <w:rFonts w:hint="eastAsia" w:eastAsia="宋体" w:cs="宋体"/>
          <w:sz w:val="21"/>
          <w:szCs w:val="21"/>
          <w:highlight w:val="none"/>
          <w:lang w:val="en-US" w:eastAsia="zh-CN"/>
        </w:rPr>
        <w:t>招标人</w:t>
      </w:r>
      <w:r>
        <w:rPr>
          <w:rFonts w:hint="eastAsia" w:eastAsia="宋体" w:cs="宋体"/>
          <w:sz w:val="21"/>
          <w:szCs w:val="21"/>
          <w:highlight w:val="none"/>
        </w:rPr>
        <w:t>备案，服务期间，上述项目经理和技术负责人不得随意更换，如确需更换，须经</w:t>
      </w:r>
      <w:r>
        <w:rPr>
          <w:rFonts w:hint="eastAsia" w:eastAsia="宋体" w:cs="宋体"/>
          <w:sz w:val="21"/>
          <w:szCs w:val="21"/>
          <w:highlight w:val="none"/>
          <w:lang w:val="en-US" w:eastAsia="zh-CN"/>
        </w:rPr>
        <w:t>招标人</w:t>
      </w:r>
      <w:r>
        <w:rPr>
          <w:rFonts w:hint="eastAsia" w:eastAsia="宋体" w:cs="宋体"/>
          <w:sz w:val="21"/>
          <w:szCs w:val="21"/>
          <w:highlight w:val="none"/>
        </w:rPr>
        <w:t>书面同意。</w:t>
      </w:r>
    </w:p>
    <w:p w14:paraId="061EA4EF">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3</w:t>
      </w:r>
      <w:r>
        <w:rPr>
          <w:rFonts w:hint="eastAsia" w:ascii="宋体" w:hAnsi="宋体" w:eastAsia="宋体" w:cs="宋体"/>
          <w:b/>
          <w:color w:val="auto"/>
          <w:kern w:val="0"/>
          <w:sz w:val="21"/>
          <w:szCs w:val="21"/>
          <w:highlight w:val="none"/>
          <w:lang w:bidi="ar"/>
        </w:rPr>
        <w:t>.考虑到安全因素，要求与池水接触的清洁人员必须会游泳，在开展具有危险性的服务项目</w:t>
      </w:r>
      <w:r>
        <w:rPr>
          <w:rFonts w:hint="eastAsia" w:ascii="宋体" w:hAnsi="宋体" w:eastAsia="宋体" w:cs="宋体"/>
          <w:b/>
          <w:color w:val="auto"/>
          <w:kern w:val="0"/>
          <w:sz w:val="21"/>
          <w:szCs w:val="21"/>
          <w:highlight w:val="none"/>
          <w:lang w:eastAsia="zh-CN" w:bidi="ar"/>
        </w:rPr>
        <w:t>【</w:t>
      </w:r>
      <w:r>
        <w:rPr>
          <w:rFonts w:hint="eastAsia" w:ascii="宋体" w:hAnsi="宋体" w:eastAsia="宋体" w:cs="宋体"/>
          <w:b/>
          <w:color w:val="auto"/>
          <w:kern w:val="0"/>
          <w:sz w:val="21"/>
          <w:szCs w:val="21"/>
          <w:highlight w:val="none"/>
          <w:lang w:bidi="ar"/>
        </w:rPr>
        <w:t>危险作业范围：①水面垃圾的打捞（含取水口、絮凝池、沉淀池、滤池等构筑物）。②吸水井、消毒接触池、清水池等构筑物池内清洗。③清理杂草丛。</w:t>
      </w:r>
      <w:r>
        <w:rPr>
          <w:rFonts w:hint="eastAsia" w:ascii="宋体" w:hAnsi="宋体" w:eastAsia="宋体" w:cs="宋体"/>
          <w:b/>
          <w:color w:val="auto"/>
          <w:kern w:val="0"/>
          <w:sz w:val="21"/>
          <w:szCs w:val="21"/>
          <w:highlight w:val="none"/>
          <w:lang w:eastAsia="zh-CN" w:bidi="ar"/>
        </w:rPr>
        <w:t>】</w:t>
      </w:r>
      <w:r>
        <w:rPr>
          <w:rFonts w:hint="eastAsia" w:ascii="宋体" w:hAnsi="宋体" w:eastAsia="宋体" w:cs="宋体"/>
          <w:b/>
          <w:color w:val="auto"/>
          <w:kern w:val="0"/>
          <w:sz w:val="21"/>
          <w:szCs w:val="21"/>
          <w:highlight w:val="none"/>
          <w:lang w:bidi="ar"/>
        </w:rPr>
        <w:t>要求</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必须落实检查作业工具是否完好有效、做好各项安全防护措施</w:t>
      </w:r>
      <w:r>
        <w:rPr>
          <w:rFonts w:hint="eastAsia" w:ascii="宋体" w:hAnsi="宋体" w:eastAsia="宋体" w:cs="宋体"/>
          <w:b/>
          <w:color w:val="auto"/>
          <w:kern w:val="0"/>
          <w:sz w:val="21"/>
          <w:szCs w:val="21"/>
          <w:highlight w:val="none"/>
          <w:lang w:eastAsia="zh-CN" w:bidi="ar"/>
        </w:rPr>
        <w:t>【</w:t>
      </w:r>
      <w:r>
        <w:rPr>
          <w:rFonts w:hint="eastAsia" w:ascii="宋体" w:hAnsi="宋体" w:eastAsia="宋体" w:cs="宋体"/>
          <w:b/>
          <w:color w:val="auto"/>
          <w:kern w:val="0"/>
          <w:sz w:val="21"/>
          <w:szCs w:val="21"/>
          <w:highlight w:val="none"/>
          <w:lang w:bidi="ar"/>
        </w:rPr>
        <w:t>穿戴救生衣、安全带（绳）、水鞋、手套、不得穿拖鞋或凉鞋等，安全防护物资由</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自行准备</w:t>
      </w:r>
      <w:r>
        <w:rPr>
          <w:rFonts w:hint="eastAsia" w:ascii="宋体" w:hAnsi="宋体" w:eastAsia="宋体" w:cs="宋体"/>
          <w:b/>
          <w:color w:val="auto"/>
          <w:kern w:val="0"/>
          <w:sz w:val="21"/>
          <w:szCs w:val="21"/>
          <w:highlight w:val="none"/>
          <w:lang w:eastAsia="zh-CN" w:bidi="ar"/>
        </w:rPr>
        <w:t>】</w:t>
      </w:r>
      <w:r>
        <w:rPr>
          <w:rFonts w:hint="eastAsia" w:ascii="宋体" w:hAnsi="宋体" w:eastAsia="宋体" w:cs="宋体"/>
          <w:b/>
          <w:color w:val="auto"/>
          <w:kern w:val="0"/>
          <w:sz w:val="21"/>
          <w:szCs w:val="21"/>
          <w:highlight w:val="none"/>
          <w:lang w:bidi="ar"/>
        </w:rPr>
        <w:t>，严格落实2人或2人以上为一组进行协同作业，不能单独作业，并填报《危险作业交底表》等工作。服务期间由于作业人员未做好安全防护措施（例如不佩戴安全带或不穿救生衣等）而造成意外事故，全部责任由</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承担。招标人有权要求</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对不称职人员进行更换，更换完成时间不超过</w:t>
      </w:r>
      <w:r>
        <w:rPr>
          <w:rFonts w:hint="eastAsia" w:ascii="宋体" w:hAnsi="宋体" w:eastAsia="宋体" w:cs="宋体"/>
          <w:b/>
          <w:color w:val="auto"/>
          <w:kern w:val="0"/>
          <w:sz w:val="21"/>
          <w:szCs w:val="21"/>
          <w:highlight w:val="none"/>
          <w:lang w:val="en-US" w:eastAsia="zh-CN" w:bidi="ar"/>
        </w:rPr>
        <w:t>5</w:t>
      </w:r>
      <w:r>
        <w:rPr>
          <w:rFonts w:hint="eastAsia" w:ascii="宋体" w:hAnsi="宋体" w:eastAsia="宋体" w:cs="宋体"/>
          <w:b/>
          <w:color w:val="auto"/>
          <w:kern w:val="0"/>
          <w:sz w:val="21"/>
          <w:szCs w:val="21"/>
          <w:highlight w:val="none"/>
          <w:lang w:bidi="ar"/>
        </w:rPr>
        <w:t>个工作日，如有人员离职，</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必须于5</w:t>
      </w:r>
      <w:r>
        <w:rPr>
          <w:rFonts w:hint="eastAsia" w:ascii="宋体" w:hAnsi="宋体" w:eastAsia="宋体" w:cs="宋体"/>
          <w:b/>
          <w:color w:val="auto"/>
          <w:kern w:val="0"/>
          <w:sz w:val="21"/>
          <w:szCs w:val="21"/>
          <w:highlight w:val="none"/>
          <w:lang w:val="en-US" w:eastAsia="zh-CN" w:bidi="ar"/>
        </w:rPr>
        <w:t>个工作</w:t>
      </w:r>
      <w:r>
        <w:rPr>
          <w:rFonts w:hint="eastAsia" w:ascii="宋体" w:hAnsi="宋体" w:eastAsia="宋体" w:cs="宋体"/>
          <w:b/>
          <w:color w:val="auto"/>
          <w:kern w:val="0"/>
          <w:sz w:val="21"/>
          <w:szCs w:val="21"/>
          <w:highlight w:val="none"/>
          <w:lang w:bidi="ar"/>
        </w:rPr>
        <w:t>日内将新员工补充到岗。</w:t>
      </w:r>
    </w:p>
    <w:p w14:paraId="23309A5D">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kern w:val="0"/>
          <w:sz w:val="21"/>
          <w:szCs w:val="21"/>
          <w:highlight w:val="none"/>
          <w:lang w:bidi="ar"/>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4</w:t>
      </w:r>
      <w:r>
        <w:rPr>
          <w:rFonts w:hint="eastAsia" w:ascii="宋体" w:hAnsi="宋体" w:eastAsia="宋体" w:cs="宋体"/>
          <w:b/>
          <w:color w:val="auto"/>
          <w:kern w:val="0"/>
          <w:sz w:val="21"/>
          <w:szCs w:val="21"/>
          <w:highlight w:val="none"/>
          <w:lang w:bidi="ar"/>
        </w:rPr>
        <w:t>.保洁绿化维护用品存放要求，厂区提供场地（场地具体位置由厂区根据实际情况提供）由</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进行围闭，围闭空间内只存放日常保洁、绿化维护工具器械（包括但不限于：工作服、化肥、清扫工具、刷池工具、打捞工具、绿化维护使用的打草机、修边机、高压清洗机等），</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自行提供防爆柜存放易燃易爆、剧毒类物品（包括但不限于：汽油、柴油、农药、老鼠药等），若</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存放工具器械、危险化学品或易爆易燃物品等，并因此在招标人</w:t>
      </w:r>
      <w:r>
        <w:rPr>
          <w:rFonts w:hint="eastAsia" w:ascii="宋体" w:hAnsi="宋体" w:eastAsia="宋体" w:cs="宋体"/>
          <w:b/>
          <w:color w:val="auto"/>
          <w:kern w:val="0"/>
          <w:sz w:val="21"/>
          <w:szCs w:val="21"/>
          <w:highlight w:val="none"/>
          <w:lang w:val="en-US" w:eastAsia="zh-CN" w:bidi="ar"/>
        </w:rPr>
        <w:t>或其权属分公司</w:t>
      </w:r>
      <w:r>
        <w:rPr>
          <w:rFonts w:hint="eastAsia" w:ascii="宋体" w:hAnsi="宋体" w:eastAsia="宋体" w:cs="宋体"/>
          <w:b/>
          <w:color w:val="auto"/>
          <w:kern w:val="0"/>
          <w:sz w:val="21"/>
          <w:szCs w:val="21"/>
          <w:highlight w:val="none"/>
          <w:lang w:bidi="ar"/>
        </w:rPr>
        <w:t>的区域内发生包括但不限于安全事故、治安事件等任何事故，造成人员、第三人人身或财产损失的，由</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承担事故的全部责任和善后事宜。</w:t>
      </w:r>
    </w:p>
    <w:p w14:paraId="3AA99FE4">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bCs/>
          <w:color w:val="auto"/>
          <w:sz w:val="21"/>
          <w:szCs w:val="21"/>
          <w:highlight w:val="none"/>
        </w:rPr>
      </w:pPr>
    </w:p>
    <w:p w14:paraId="748A3B80">
      <w:pPr>
        <w:keepNext w:val="0"/>
        <w:keepLines w:val="0"/>
        <w:pageBreakBefore w:val="0"/>
        <w:kinsoku/>
        <w:wordWrap/>
        <w:overflowPunct/>
        <w:topLinePunct w:val="0"/>
        <w:autoSpaceDE w:val="0"/>
        <w:autoSpaceDN w:val="0"/>
        <w:bidi w:val="0"/>
        <w:adjustRightInd/>
        <w:snapToGrid/>
        <w:spacing w:line="360" w:lineRule="auto"/>
        <w:jc w:val="left"/>
        <w:textAlignment w:val="auto"/>
        <w:outlineLvl w:val="1"/>
        <w:rPr>
          <w:rFonts w:hint="eastAsia" w:ascii="宋体" w:hAnsi="宋体" w:eastAsia="宋体" w:cs="宋体"/>
          <w:b/>
          <w:color w:val="auto"/>
          <w:sz w:val="21"/>
          <w:szCs w:val="21"/>
          <w:highlight w:val="none"/>
          <w:lang w:val="en-US" w:eastAsia="zh-CN"/>
        </w:rPr>
      </w:pPr>
      <w:r>
        <w:rPr>
          <w:rFonts w:hint="eastAsia" w:ascii="宋体" w:hAnsi="宋体" w:eastAsia="宋体" w:cs="宋体"/>
          <w:b/>
          <w:color w:val="auto"/>
          <w:kern w:val="0"/>
          <w:sz w:val="21"/>
          <w:szCs w:val="21"/>
          <w:highlight w:val="none"/>
          <w:lang w:bidi="ar"/>
        </w:rPr>
        <w:t>七、其他要求</w:t>
      </w:r>
      <w:r>
        <w:rPr>
          <w:rFonts w:hint="eastAsia" w:ascii="宋体" w:hAnsi="宋体" w:eastAsia="宋体" w:cs="宋体"/>
          <w:b/>
          <w:color w:val="auto"/>
          <w:kern w:val="0"/>
          <w:sz w:val="21"/>
          <w:szCs w:val="21"/>
          <w:highlight w:val="none"/>
          <w:lang w:val="en-US" w:eastAsia="zh-CN" w:bidi="ar"/>
        </w:rPr>
        <w:t xml:space="preserve"> </w:t>
      </w:r>
    </w:p>
    <w:p w14:paraId="3B76A1F8">
      <w:pPr>
        <w:keepNext w:val="0"/>
        <w:keepLines w:val="0"/>
        <w:pageBreakBefore w:val="0"/>
        <w:kinsoku/>
        <w:wordWrap/>
        <w:overflowPunct/>
        <w:topLinePunct w:val="0"/>
        <w:autoSpaceDE w:val="0"/>
        <w:autoSpaceDN w:val="0"/>
        <w:bidi w:val="0"/>
        <w:adjustRightInd/>
        <w:snapToGrid/>
        <w:spacing w:line="360" w:lineRule="auto"/>
        <w:ind w:firstLine="422" w:firstLineChars="200"/>
        <w:jc w:val="left"/>
        <w:textAlignment w:val="auto"/>
        <w:rPr>
          <w:rFonts w:hint="eastAsia" w:ascii="宋体" w:hAnsi="宋体" w:eastAsia="宋体" w:cs="宋体"/>
          <w:b/>
          <w:color w:val="auto"/>
          <w:sz w:val="21"/>
          <w:szCs w:val="21"/>
          <w:highlight w:val="none"/>
        </w:rPr>
      </w:pPr>
      <w:r>
        <w:rPr>
          <w:rFonts w:hint="eastAsia" w:ascii="宋体" w:hAnsi="宋体" w:eastAsia="宋体" w:cs="宋体"/>
          <w:b/>
          <w:color w:val="auto"/>
          <w:kern w:val="0"/>
          <w:sz w:val="21"/>
          <w:szCs w:val="21"/>
          <w:highlight w:val="none"/>
          <w:lang w:bidi="ar"/>
        </w:rPr>
        <w:t>★1.</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必须保证投入本项目的机械设备数量能满足招标人服务要求（含</w:t>
      </w:r>
      <w:r>
        <w:rPr>
          <w:rFonts w:hint="eastAsia" w:ascii="宋体" w:hAnsi="宋体" w:eastAsia="宋体" w:cs="宋体"/>
          <w:b/>
          <w:color w:val="auto"/>
          <w:kern w:val="0"/>
          <w:sz w:val="21"/>
          <w:szCs w:val="21"/>
          <w:highlight w:val="none"/>
          <w:lang w:eastAsia="zh-CN" w:bidi="ar"/>
        </w:rPr>
        <w:t>花、草、树木修剪设备</w:t>
      </w:r>
      <w:r>
        <w:rPr>
          <w:rFonts w:hint="eastAsia" w:ascii="宋体" w:hAnsi="宋体" w:eastAsia="宋体" w:cs="宋体"/>
          <w:b/>
          <w:color w:val="auto"/>
          <w:kern w:val="0"/>
          <w:sz w:val="21"/>
          <w:szCs w:val="21"/>
          <w:highlight w:val="none"/>
          <w:lang w:bidi="ar"/>
        </w:rPr>
        <w:t>（如剪草机、高空作业车、剪灌机等）</w:t>
      </w:r>
      <w:r>
        <w:rPr>
          <w:rFonts w:hint="eastAsia" w:ascii="宋体" w:hAnsi="宋体" w:eastAsia="宋体" w:cs="宋体"/>
          <w:b/>
          <w:color w:val="auto"/>
          <w:kern w:val="0"/>
          <w:sz w:val="21"/>
          <w:szCs w:val="21"/>
          <w:highlight w:val="none"/>
          <w:lang w:eastAsia="zh-CN" w:bidi="ar"/>
        </w:rPr>
        <w:t>、洗地设备（如高压清洗机、清洗车等）、</w:t>
      </w:r>
      <w:r>
        <w:rPr>
          <w:rFonts w:hint="eastAsia" w:ascii="宋体" w:hAnsi="宋体" w:eastAsia="宋体" w:cs="宋体"/>
          <w:b/>
          <w:color w:val="auto"/>
          <w:kern w:val="0"/>
          <w:sz w:val="21"/>
          <w:szCs w:val="21"/>
          <w:highlight w:val="none"/>
          <w:lang w:bidi="ar"/>
        </w:rPr>
        <w:t>密封式垃圾清运车等），招标人有权要求</w:t>
      </w:r>
      <w:r>
        <w:rPr>
          <w:rFonts w:hint="eastAsia" w:ascii="宋体" w:hAnsi="宋体" w:eastAsia="宋体" w:cs="宋体"/>
          <w:b/>
          <w:color w:val="auto"/>
          <w:kern w:val="0"/>
          <w:sz w:val="21"/>
          <w:szCs w:val="21"/>
          <w:highlight w:val="none"/>
          <w:lang w:eastAsia="zh-CN" w:bidi="ar"/>
        </w:rPr>
        <w:t>服务单位</w:t>
      </w:r>
      <w:r>
        <w:rPr>
          <w:rFonts w:hint="eastAsia" w:ascii="宋体" w:hAnsi="宋体" w:eastAsia="宋体" w:cs="宋体"/>
          <w:b/>
          <w:color w:val="auto"/>
          <w:kern w:val="0"/>
          <w:sz w:val="21"/>
          <w:szCs w:val="21"/>
          <w:highlight w:val="none"/>
          <w:lang w:bidi="ar"/>
        </w:rPr>
        <w:t>根据</w:t>
      </w:r>
      <w:r>
        <w:rPr>
          <w:rFonts w:hint="eastAsia" w:ascii="宋体" w:hAnsi="宋体" w:eastAsia="宋体" w:cs="宋体"/>
          <w:b/>
          <w:color w:val="auto"/>
          <w:kern w:val="0"/>
          <w:sz w:val="21"/>
          <w:szCs w:val="21"/>
          <w:highlight w:val="none"/>
          <w:lang w:val="en-US" w:eastAsia="zh-CN" w:bidi="ar"/>
        </w:rPr>
        <w:t>合同</w:t>
      </w:r>
      <w:r>
        <w:rPr>
          <w:rFonts w:hint="eastAsia" w:ascii="宋体" w:hAnsi="宋体" w:eastAsia="宋体" w:cs="宋体"/>
          <w:b/>
          <w:color w:val="auto"/>
          <w:kern w:val="0"/>
          <w:sz w:val="21"/>
          <w:szCs w:val="21"/>
          <w:highlight w:val="none"/>
          <w:lang w:bidi="ar"/>
        </w:rPr>
        <w:t>要求增加机械设备数量。</w:t>
      </w:r>
    </w:p>
    <w:p w14:paraId="701BEFA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在合同签署之日起</w:t>
      </w:r>
      <w:r>
        <w:rPr>
          <w:rFonts w:hint="eastAsia" w:ascii="宋体" w:hAnsi="宋体" w:eastAsia="宋体" w:cs="宋体"/>
          <w:color w:val="auto"/>
          <w:kern w:val="0"/>
          <w:sz w:val="21"/>
          <w:szCs w:val="21"/>
          <w:highlight w:val="none"/>
          <w:lang w:val="en-US" w:eastAsia="zh-CN" w:bidi="ar"/>
        </w:rPr>
        <w:t>1</w:t>
      </w:r>
      <w:r>
        <w:rPr>
          <w:rFonts w:hint="eastAsia" w:ascii="宋体" w:hAnsi="宋体" w:eastAsia="宋体" w:cs="宋体"/>
          <w:color w:val="auto"/>
          <w:kern w:val="0"/>
          <w:sz w:val="21"/>
          <w:szCs w:val="21"/>
          <w:highlight w:val="none"/>
          <w:lang w:bidi="ar"/>
        </w:rPr>
        <w:t>5日内向招标人提供</w:t>
      </w:r>
      <w:r>
        <w:rPr>
          <w:rFonts w:hint="eastAsia" w:eastAsia="宋体" w:cs="宋体"/>
          <w:sz w:val="21"/>
          <w:szCs w:val="21"/>
          <w:highlight w:val="none"/>
          <w:lang w:val="en-US" w:eastAsia="zh-CN"/>
        </w:rPr>
        <w:t>各服务点</w:t>
      </w:r>
      <w:r>
        <w:rPr>
          <w:rFonts w:hint="eastAsia" w:ascii="宋体" w:hAnsi="宋体" w:eastAsia="宋体" w:cs="宋体"/>
          <w:color w:val="auto"/>
          <w:kern w:val="0"/>
          <w:sz w:val="21"/>
          <w:szCs w:val="21"/>
          <w:highlight w:val="none"/>
          <w:lang w:bidi="ar"/>
        </w:rPr>
        <w:t>的服务方案（内容包括实施计划、设备、</w:t>
      </w:r>
      <w:r>
        <w:rPr>
          <w:rFonts w:hint="eastAsia" w:ascii="宋体" w:hAnsi="宋体" w:eastAsia="宋体" w:cs="宋体"/>
          <w:color w:val="auto"/>
          <w:kern w:val="0"/>
          <w:sz w:val="21"/>
          <w:szCs w:val="21"/>
          <w:highlight w:val="none"/>
          <w:lang w:val="en-US" w:eastAsia="zh-CN" w:bidi="ar"/>
        </w:rPr>
        <w:t>拟投入本项目的全部</w:t>
      </w:r>
      <w:r>
        <w:rPr>
          <w:rFonts w:hint="eastAsia" w:ascii="宋体" w:hAnsi="宋体" w:eastAsia="宋体" w:cs="宋体"/>
          <w:color w:val="auto"/>
          <w:kern w:val="0"/>
          <w:sz w:val="21"/>
          <w:szCs w:val="21"/>
          <w:highlight w:val="none"/>
          <w:lang w:bidi="ar"/>
        </w:rPr>
        <w:t>人员</w:t>
      </w:r>
      <w:r>
        <w:rPr>
          <w:rFonts w:hint="eastAsia" w:ascii="宋体" w:hAnsi="宋体" w:eastAsia="宋体" w:cs="宋体"/>
          <w:color w:val="auto"/>
          <w:kern w:val="0"/>
          <w:sz w:val="21"/>
          <w:szCs w:val="21"/>
          <w:highlight w:val="none"/>
          <w:lang w:val="en-US" w:eastAsia="zh-CN" w:bidi="ar"/>
        </w:rPr>
        <w:t>清单</w:t>
      </w:r>
      <w:r>
        <w:rPr>
          <w:rFonts w:hint="eastAsia" w:ascii="宋体" w:hAnsi="宋体" w:eastAsia="宋体" w:cs="宋体"/>
          <w:color w:val="auto"/>
          <w:kern w:val="0"/>
          <w:sz w:val="21"/>
          <w:szCs w:val="21"/>
          <w:highlight w:val="none"/>
          <w:lang w:bidi="ar"/>
        </w:rPr>
        <w:t>、安全等，如服务方案标准低于合同约定要求的，以合同为准；高于合同约定的，按高标准执行），</w:t>
      </w:r>
      <w:r>
        <w:rPr>
          <w:rFonts w:hint="eastAsia" w:eastAsia="宋体" w:cs="宋体"/>
          <w:sz w:val="21"/>
          <w:szCs w:val="21"/>
          <w:highlight w:val="none"/>
          <w:lang w:val="en-US" w:eastAsia="zh-CN"/>
        </w:rPr>
        <w:t>方案经招标人同意后实施</w:t>
      </w:r>
      <w:r>
        <w:rPr>
          <w:rFonts w:hint="eastAsia" w:eastAsia="宋体" w:cs="宋体"/>
          <w:sz w:val="21"/>
          <w:szCs w:val="21"/>
          <w:highlight w:val="none"/>
        </w:rPr>
        <w:t>。</w:t>
      </w:r>
      <w:r>
        <w:rPr>
          <w:rFonts w:hint="eastAsia" w:ascii="宋体" w:hAnsi="宋体" w:eastAsia="宋体" w:cs="宋体"/>
          <w:color w:val="auto"/>
          <w:kern w:val="0"/>
          <w:sz w:val="21"/>
          <w:szCs w:val="21"/>
          <w:highlight w:val="none"/>
          <w:lang w:bidi="ar"/>
        </w:rPr>
        <w:t>在服务期间如服务方案需进行调整的，按招标人要求，调整服务方案（包括实施计划、设备、人员</w:t>
      </w:r>
      <w:r>
        <w:rPr>
          <w:rFonts w:hint="eastAsia" w:ascii="宋体" w:hAnsi="宋体" w:eastAsia="宋体" w:cs="宋体"/>
          <w:color w:val="auto"/>
          <w:kern w:val="0"/>
          <w:sz w:val="21"/>
          <w:szCs w:val="21"/>
          <w:highlight w:val="none"/>
          <w:lang w:val="en-US" w:eastAsia="zh-CN" w:bidi="ar"/>
        </w:rPr>
        <w:t>数量</w:t>
      </w:r>
      <w:r>
        <w:rPr>
          <w:rFonts w:hint="eastAsia" w:ascii="宋体" w:hAnsi="宋体" w:eastAsia="宋体" w:cs="宋体"/>
          <w:color w:val="auto"/>
          <w:kern w:val="0"/>
          <w:sz w:val="21"/>
          <w:szCs w:val="21"/>
          <w:highlight w:val="none"/>
          <w:lang w:bidi="ar"/>
        </w:rPr>
        <w:t>、安全等）。</w:t>
      </w:r>
    </w:p>
    <w:p w14:paraId="5A1C96E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3.生产、生活、绿化养护和清洁保洁产生的垃圾应每天清扫干净，并及时清除，外运处理费用全部由</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负责。</w:t>
      </w:r>
    </w:p>
    <w:p w14:paraId="19F291C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4.</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派驻的工作人员必须证件齐全。</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必须加强对相关人员的法制、安全、岗位作业和礼仪等知识的系统培训，合格后方能上岗。</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须为每位员工购买保险（包括社会保险、人身意外保险等）。</w:t>
      </w:r>
    </w:p>
    <w:p w14:paraId="3675CBD4">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 w:val="21"/>
          <w:szCs w:val="21"/>
          <w:highlight w:val="none"/>
          <w:lang w:bidi="ar"/>
        </w:rPr>
        <w:t>5.服务期内，</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如接到招标人或其权属分公司的服务通知的，相关管理人员需在</w:t>
      </w:r>
      <w:r>
        <w:rPr>
          <w:rFonts w:hint="eastAsia" w:ascii="宋体" w:hAnsi="宋体" w:eastAsia="宋体" w:cs="宋体"/>
          <w:color w:val="auto"/>
          <w:kern w:val="0"/>
          <w:sz w:val="21"/>
          <w:szCs w:val="21"/>
          <w:highlight w:val="none"/>
          <w:lang w:val="en-US" w:eastAsia="zh-CN" w:bidi="ar"/>
        </w:rPr>
        <w:t>2</w:t>
      </w:r>
      <w:r>
        <w:rPr>
          <w:rFonts w:hint="eastAsia" w:ascii="宋体" w:hAnsi="宋体" w:eastAsia="宋体" w:cs="宋体"/>
          <w:color w:val="auto"/>
          <w:kern w:val="0"/>
          <w:sz w:val="21"/>
          <w:szCs w:val="21"/>
          <w:highlight w:val="none"/>
          <w:lang w:bidi="ar"/>
        </w:rPr>
        <w:t>小时（含）内到达招标人或其权属分公司指定地点</w:t>
      </w:r>
      <w:r>
        <w:rPr>
          <w:rFonts w:hint="eastAsia" w:ascii="宋体" w:hAnsi="宋体" w:eastAsia="宋体" w:cs="宋体"/>
          <w:color w:val="auto"/>
          <w:kern w:val="0"/>
          <w:sz w:val="21"/>
          <w:szCs w:val="21"/>
          <w:highlight w:val="none"/>
          <w:lang w:eastAsia="zh-CN" w:bidi="ar"/>
        </w:rPr>
        <w:t>。</w:t>
      </w:r>
    </w:p>
    <w:p w14:paraId="6CC629DE">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val="en-US" w:eastAsia="zh-CN" w:bidi="ar"/>
        </w:rPr>
        <w:t>6</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派驻的工作人员的食宿、交通等费用均由</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负责。</w:t>
      </w:r>
    </w:p>
    <w:p w14:paraId="488F9B7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color w:val="auto"/>
          <w:sz w:val="21"/>
          <w:szCs w:val="21"/>
          <w:highlight w:val="none"/>
        </w:rPr>
      </w:pPr>
      <w:r>
        <w:rPr>
          <w:rFonts w:hint="default" w:ascii="宋体" w:hAnsi="宋体" w:eastAsia="宋体" w:cs="宋体"/>
          <w:color w:val="auto"/>
          <w:kern w:val="0"/>
          <w:sz w:val="21"/>
          <w:szCs w:val="21"/>
          <w:highlight w:val="none"/>
          <w:lang w:val="en-US" w:eastAsia="zh-CN" w:bidi="ar"/>
        </w:rPr>
        <w:t>7</w:t>
      </w:r>
      <w:r>
        <w:rPr>
          <w:rFonts w:hint="eastAsia" w:ascii="宋体" w:hAnsi="宋体" w:eastAsia="宋体" w:cs="宋体"/>
          <w:color w:val="auto"/>
          <w:kern w:val="0"/>
          <w:sz w:val="21"/>
          <w:szCs w:val="21"/>
          <w:highlight w:val="none"/>
          <w:lang w:val="en-US" w:eastAsia="zh-CN" w:bidi="ar"/>
        </w:rPr>
        <w:t>.</w:t>
      </w:r>
      <w:r>
        <w:rPr>
          <w:rFonts w:hint="eastAsia" w:ascii="宋体" w:hAnsi="宋体" w:eastAsia="宋体" w:cs="宋体"/>
          <w:color w:val="auto"/>
          <w:kern w:val="0"/>
          <w:sz w:val="21"/>
          <w:szCs w:val="21"/>
          <w:highlight w:val="none"/>
          <w:lang w:bidi="ar"/>
        </w:rPr>
        <w:t>以各服务点为单位，各分公司实行考核评分制度，服务费用按月支付。</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完成上月的服务后，次月5个工作日内招标人</w:t>
      </w:r>
      <w:r>
        <w:rPr>
          <w:rFonts w:hint="eastAsia" w:ascii="宋体" w:hAnsi="宋体" w:eastAsia="宋体" w:cs="宋体"/>
          <w:color w:val="auto"/>
          <w:kern w:val="0"/>
          <w:sz w:val="21"/>
          <w:szCs w:val="21"/>
          <w:highlight w:val="none"/>
          <w:lang w:val="en-US" w:eastAsia="zh-CN" w:bidi="ar"/>
        </w:rPr>
        <w:t>及各分公司</w:t>
      </w:r>
      <w:r>
        <w:rPr>
          <w:rFonts w:hint="eastAsia" w:ascii="宋体" w:hAnsi="宋体" w:eastAsia="宋体" w:cs="宋体"/>
          <w:color w:val="auto"/>
          <w:kern w:val="0"/>
          <w:sz w:val="21"/>
          <w:szCs w:val="21"/>
          <w:highlight w:val="none"/>
          <w:lang w:bidi="ar"/>
        </w:rPr>
        <w:t>按对应服务点对</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上月的服务进行考评。根据考核评分标准的规定计算实际服务费后方能支付。</w:t>
      </w:r>
    </w:p>
    <w:p w14:paraId="4DAEE5AD">
      <w:pPr>
        <w:autoSpaceDE w:val="0"/>
        <w:autoSpaceDN w:val="0"/>
        <w:adjustRightInd w:val="0"/>
        <w:jc w:val="left"/>
        <w:rPr>
          <w:rFonts w:ascii="宋体" w:hAnsi="宋体" w:eastAsia="宋体" w:cs="宋体"/>
          <w:b/>
          <w:bCs/>
          <w:color w:val="auto"/>
          <w:szCs w:val="21"/>
          <w:highlight w:val="none"/>
        </w:rPr>
      </w:pPr>
      <w:r>
        <w:rPr>
          <w:rFonts w:hint="eastAsia" w:ascii="宋体" w:hAnsi="宋体" w:eastAsia="宋体" w:cs="宋体"/>
          <w:b/>
          <w:bCs/>
          <w:color w:val="auto"/>
          <w:szCs w:val="21"/>
          <w:highlight w:val="none"/>
          <w:lang w:bidi="ar"/>
        </w:rPr>
        <w:br w:type="page"/>
      </w:r>
    </w:p>
    <w:p w14:paraId="72EFB8C3">
      <w:pPr>
        <w:widowControl/>
        <w:autoSpaceDE w:val="0"/>
        <w:autoSpaceDN w:val="0"/>
        <w:adjustRightInd w:val="0"/>
        <w:spacing w:line="440" w:lineRule="exact"/>
        <w:outlineLvl w:val="1"/>
        <w:rPr>
          <w:rFonts w:hint="default" w:ascii="宋体" w:hAnsi="宋体" w:eastAsia="宋体" w:cs="宋体"/>
          <w:b/>
          <w:bCs/>
          <w:color w:val="auto"/>
          <w:kern w:val="0"/>
          <w:szCs w:val="21"/>
          <w:highlight w:val="none"/>
          <w:lang w:val="en-US" w:eastAsia="zh-CN" w:bidi="ar"/>
        </w:rPr>
      </w:pPr>
      <w:r>
        <w:rPr>
          <w:rFonts w:hint="eastAsia" w:ascii="宋体" w:hAnsi="宋体" w:eastAsia="宋体" w:cs="宋体"/>
          <w:b/>
          <w:bCs/>
          <w:color w:val="auto"/>
          <w:kern w:val="0"/>
          <w:szCs w:val="21"/>
          <w:highlight w:val="none"/>
          <w:lang w:val="en-US" w:eastAsia="zh-CN" w:bidi="ar"/>
        </w:rPr>
        <w:t>附件1：东莞市水务环境投资控股集团供水有限公司2026-2027年度清洁保洁、绿化养护、除“四害”及灭蚁防治服务采购项目采购需求及采购费用表</w:t>
      </w:r>
      <w:r>
        <w:rPr>
          <w:rFonts w:hint="eastAsia" w:ascii="宋体" w:hAnsi="宋体" w:eastAsia="宋体" w:cs="宋体"/>
          <w:b/>
          <w:bCs/>
          <w:color w:val="auto"/>
          <w:kern w:val="0"/>
          <w:szCs w:val="21"/>
          <w:highlight w:val="none"/>
          <w:lang w:bidi="ar"/>
        </w:rPr>
        <w:t>（另附）</w:t>
      </w:r>
    </w:p>
    <w:p w14:paraId="484DCF68">
      <w:pPr>
        <w:autoSpaceDE w:val="0"/>
        <w:autoSpaceDN w:val="0"/>
        <w:adjustRightInd w:val="0"/>
        <w:jc w:val="left"/>
        <w:rPr>
          <w:rFonts w:ascii="宋体" w:hAnsi="宋体" w:eastAsia="宋体" w:cs="宋体"/>
          <w:color w:val="auto"/>
          <w:highlight w:val="none"/>
        </w:rPr>
      </w:pPr>
    </w:p>
    <w:p w14:paraId="1D3336F1">
      <w:pPr>
        <w:autoSpaceDE w:val="0"/>
        <w:autoSpaceDN w:val="0"/>
        <w:adjustRightInd w:val="0"/>
        <w:jc w:val="left"/>
        <w:rPr>
          <w:rFonts w:ascii="宋体" w:hAnsi="宋体" w:eastAsia="宋体" w:cs="宋体"/>
          <w:color w:val="auto"/>
          <w:szCs w:val="21"/>
          <w:highlight w:val="none"/>
        </w:rPr>
      </w:pPr>
      <w:r>
        <w:rPr>
          <w:rFonts w:hint="eastAsia" w:ascii="宋体" w:hAnsi="宋体" w:eastAsia="宋体" w:cs="宋体"/>
          <w:color w:val="auto"/>
          <w:szCs w:val="21"/>
          <w:highlight w:val="none"/>
          <w:lang w:bidi="ar"/>
        </w:rPr>
        <w:br w:type="page"/>
      </w:r>
    </w:p>
    <w:p w14:paraId="3F19A07F">
      <w:pPr>
        <w:autoSpaceDE w:val="0"/>
        <w:autoSpaceDN w:val="0"/>
        <w:adjustRightInd w:val="0"/>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附件</w:t>
      </w:r>
      <w:r>
        <w:rPr>
          <w:rFonts w:hint="eastAsia" w:ascii="宋体" w:hAnsi="宋体" w:eastAsia="宋体" w:cs="宋体"/>
          <w:b/>
          <w:color w:val="auto"/>
          <w:kern w:val="0"/>
          <w:szCs w:val="21"/>
          <w:highlight w:val="none"/>
          <w:lang w:val="en-US" w:eastAsia="zh-CN" w:bidi="ar"/>
        </w:rPr>
        <w:t>2</w:t>
      </w:r>
      <w:r>
        <w:rPr>
          <w:rFonts w:hint="eastAsia" w:ascii="宋体" w:hAnsi="宋体" w:eastAsia="宋体" w:cs="宋体"/>
          <w:b/>
          <w:color w:val="auto"/>
          <w:kern w:val="0"/>
          <w:szCs w:val="21"/>
          <w:highlight w:val="none"/>
          <w:lang w:bidi="ar"/>
        </w:rPr>
        <w:t>：</w:t>
      </w:r>
      <w:r>
        <w:rPr>
          <w:rFonts w:hint="eastAsia" w:ascii="宋体" w:hAnsi="宋体" w:eastAsia="宋体" w:cs="宋体"/>
          <w:b/>
          <w:color w:val="auto"/>
          <w:kern w:val="0"/>
          <w:szCs w:val="21"/>
          <w:highlight w:val="none"/>
          <w:lang w:eastAsia="zh-CN" w:bidi="ar"/>
        </w:rPr>
        <w:t>《东莞市水务环境投资控股集团供水有限公司</w:t>
      </w:r>
      <w:r>
        <w:rPr>
          <w:rFonts w:hint="eastAsia" w:ascii="宋体" w:hAnsi="宋体" w:eastAsia="宋体" w:cs="宋体"/>
          <w:b/>
          <w:color w:val="auto"/>
          <w:kern w:val="0"/>
          <w:szCs w:val="21"/>
          <w:highlight w:val="none"/>
          <w:lang w:bidi="ar"/>
        </w:rPr>
        <w:t>清洁保洁、绿化养护、除“四害”及灭蚁防治考核评分标准</w:t>
      </w:r>
      <w:r>
        <w:rPr>
          <w:rFonts w:hint="eastAsia" w:ascii="宋体" w:hAnsi="宋体" w:eastAsia="宋体" w:cs="宋体"/>
          <w:b/>
          <w:color w:val="auto"/>
          <w:kern w:val="0"/>
          <w:szCs w:val="21"/>
          <w:highlight w:val="none"/>
          <w:lang w:eastAsia="zh-CN" w:bidi="ar"/>
        </w:rPr>
        <w:t>》</w:t>
      </w:r>
      <w:r>
        <w:rPr>
          <w:rFonts w:hint="eastAsia" w:ascii="宋体" w:hAnsi="宋体" w:eastAsia="宋体" w:cs="宋体"/>
          <w:b/>
          <w:color w:val="auto"/>
          <w:kern w:val="0"/>
          <w:szCs w:val="21"/>
          <w:highlight w:val="none"/>
          <w:lang w:bidi="ar"/>
        </w:rPr>
        <w:t>及相关表格</w:t>
      </w:r>
    </w:p>
    <w:p w14:paraId="141B73F2">
      <w:pPr>
        <w:autoSpaceDE w:val="0"/>
        <w:autoSpaceDN w:val="0"/>
        <w:adjustRightInd w:val="0"/>
        <w:spacing w:line="360" w:lineRule="auto"/>
        <w:jc w:val="center"/>
        <w:outlineLvl w:val="2"/>
        <w:rPr>
          <w:rFonts w:ascii="宋体" w:hAnsi="宋体" w:eastAsia="宋体" w:cs="宋体"/>
          <w:color w:val="auto"/>
          <w:kern w:val="0"/>
          <w:szCs w:val="21"/>
          <w:highlight w:val="none"/>
          <w:lang w:bidi="ar"/>
        </w:rPr>
      </w:pPr>
      <w:r>
        <w:rPr>
          <w:rFonts w:hint="eastAsia" w:ascii="宋体" w:hAnsi="宋体" w:eastAsia="宋体" w:cs="宋体"/>
          <w:b/>
          <w:color w:val="auto"/>
          <w:kern w:val="0"/>
          <w:szCs w:val="21"/>
          <w:highlight w:val="none"/>
          <w:lang w:val="en-US" w:eastAsia="zh-CN" w:bidi="ar"/>
        </w:rPr>
        <w:t>2</w:t>
      </w:r>
      <w:r>
        <w:rPr>
          <w:rFonts w:hint="eastAsia" w:ascii="宋体" w:hAnsi="宋体" w:eastAsia="宋体" w:cs="宋体"/>
          <w:b/>
          <w:color w:val="auto"/>
          <w:kern w:val="0"/>
          <w:szCs w:val="21"/>
          <w:highlight w:val="none"/>
          <w:lang w:bidi="ar"/>
        </w:rPr>
        <w:t>.1《</w:t>
      </w:r>
      <w:r>
        <w:rPr>
          <w:rFonts w:hint="eastAsia" w:ascii="宋体" w:hAnsi="宋体" w:eastAsia="宋体" w:cs="宋体"/>
          <w:b/>
          <w:color w:val="auto"/>
          <w:kern w:val="0"/>
          <w:szCs w:val="21"/>
          <w:highlight w:val="none"/>
          <w:lang w:eastAsia="zh-CN" w:bidi="ar"/>
        </w:rPr>
        <w:t>东莞市水务环境投资控股集团供水有限公司</w:t>
      </w:r>
      <w:r>
        <w:rPr>
          <w:rFonts w:hint="eastAsia" w:ascii="宋体" w:hAnsi="宋体" w:eastAsia="宋体" w:cs="宋体"/>
          <w:b/>
          <w:color w:val="auto"/>
          <w:kern w:val="0"/>
          <w:szCs w:val="21"/>
          <w:highlight w:val="none"/>
          <w:lang w:bidi="ar"/>
        </w:rPr>
        <w:t>清洁保洁、绿化养护、除“四害”及灭蚁防治考核评分标准（适用于室内办公区清洁保洁项目）》</w:t>
      </w:r>
    </w:p>
    <w:tbl>
      <w:tblPr>
        <w:tblStyle w:val="37"/>
        <w:tblW w:w="4997" w:type="pct"/>
        <w:tblInd w:w="0" w:type="dxa"/>
        <w:tblLayout w:type="autofit"/>
        <w:tblCellMar>
          <w:top w:w="0" w:type="dxa"/>
          <w:left w:w="108" w:type="dxa"/>
          <w:bottom w:w="0" w:type="dxa"/>
          <w:right w:w="108" w:type="dxa"/>
        </w:tblCellMar>
      </w:tblPr>
      <w:tblGrid>
        <w:gridCol w:w="900"/>
        <w:gridCol w:w="905"/>
        <w:gridCol w:w="901"/>
        <w:gridCol w:w="2503"/>
        <w:gridCol w:w="2033"/>
        <w:gridCol w:w="909"/>
        <w:gridCol w:w="901"/>
        <w:gridCol w:w="913"/>
      </w:tblGrid>
      <w:tr w14:paraId="6EEF2B21">
        <w:tblPrEx>
          <w:tblCellMar>
            <w:top w:w="0" w:type="dxa"/>
            <w:left w:w="108" w:type="dxa"/>
            <w:bottom w:w="0" w:type="dxa"/>
            <w:right w:w="108" w:type="dxa"/>
          </w:tblCellMar>
        </w:tblPrEx>
        <w:trPr>
          <w:trHeight w:val="300"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9EB0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162"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805C7E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现场考核</w:t>
            </w:r>
          </w:p>
        </w:tc>
        <w:tc>
          <w:tcPr>
            <w:tcW w:w="10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3005C4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扣分办法</w:t>
            </w:r>
          </w:p>
        </w:tc>
        <w:tc>
          <w:tcPr>
            <w:tcW w:w="4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AACA8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应 得 分</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6C247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检查扣分</w:t>
            </w:r>
          </w:p>
        </w:tc>
        <w:tc>
          <w:tcPr>
            <w:tcW w:w="45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C1807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实 得 分</w:t>
            </w:r>
          </w:p>
        </w:tc>
      </w:tr>
      <w:tr w14:paraId="6BABA80A">
        <w:tblPrEx>
          <w:tblCellMar>
            <w:top w:w="0" w:type="dxa"/>
            <w:left w:w="108" w:type="dxa"/>
            <w:bottom w:w="0" w:type="dxa"/>
            <w:right w:w="108" w:type="dxa"/>
          </w:tblCellMar>
        </w:tblPrEx>
        <w:trPr>
          <w:trHeight w:val="5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411C3">
            <w:pPr>
              <w:jc w:val="center"/>
              <w:rPr>
                <w:rFonts w:ascii="宋体" w:hAnsi="宋体" w:eastAsia="宋体" w:cs="宋体"/>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60E5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满分值</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3C1F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7FDC0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评价依据及检查方法</w:t>
            </w:r>
          </w:p>
        </w:tc>
        <w:tc>
          <w:tcPr>
            <w:tcW w:w="10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91CBCF">
            <w:pPr>
              <w:jc w:val="center"/>
              <w:rPr>
                <w:rFonts w:ascii="宋体" w:hAnsi="宋体" w:eastAsia="宋体" w:cs="宋体"/>
                <w:color w:val="auto"/>
                <w:szCs w:val="21"/>
                <w:highlight w:val="none"/>
              </w:rPr>
            </w:pPr>
          </w:p>
        </w:tc>
        <w:tc>
          <w:tcPr>
            <w:tcW w:w="4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963239">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8C2BF4">
            <w:pPr>
              <w:jc w:val="center"/>
              <w:rPr>
                <w:rFonts w:ascii="宋体" w:hAnsi="宋体" w:eastAsia="宋体" w:cs="宋体"/>
                <w:color w:val="auto"/>
                <w:szCs w:val="21"/>
                <w:highlight w:val="none"/>
              </w:rPr>
            </w:pPr>
          </w:p>
        </w:tc>
        <w:tc>
          <w:tcPr>
            <w:tcW w:w="45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A61F4">
            <w:pPr>
              <w:jc w:val="center"/>
              <w:rPr>
                <w:rFonts w:ascii="宋体" w:hAnsi="宋体" w:eastAsia="宋体" w:cs="宋体"/>
                <w:color w:val="auto"/>
                <w:szCs w:val="21"/>
                <w:highlight w:val="none"/>
              </w:rPr>
            </w:pPr>
          </w:p>
        </w:tc>
      </w:tr>
      <w:tr w14:paraId="388B3B2C">
        <w:tblPrEx>
          <w:tblCellMar>
            <w:top w:w="0" w:type="dxa"/>
            <w:left w:w="108" w:type="dxa"/>
            <w:bottom w:w="0" w:type="dxa"/>
            <w:right w:w="108" w:type="dxa"/>
          </w:tblCellMar>
        </w:tblPrEx>
        <w:trPr>
          <w:trHeight w:val="906"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073F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3D427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15分</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999AB7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日常制度</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C8C9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对</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提出的问题，需按要求及时整改反馈。</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A986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没及时整改处理的，每次扣1分，扣完为止。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C4213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E69B6F">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2CF1E">
            <w:pPr>
              <w:jc w:val="left"/>
              <w:rPr>
                <w:rFonts w:ascii="宋体" w:hAnsi="宋体" w:eastAsia="宋体" w:cs="宋体"/>
                <w:color w:val="auto"/>
                <w:szCs w:val="21"/>
                <w:highlight w:val="none"/>
              </w:rPr>
            </w:pPr>
          </w:p>
        </w:tc>
      </w:tr>
      <w:tr w14:paraId="58D0E111">
        <w:tblPrEx>
          <w:tblCellMar>
            <w:top w:w="0" w:type="dxa"/>
            <w:left w:w="108" w:type="dxa"/>
            <w:bottom w:w="0" w:type="dxa"/>
            <w:right w:w="108" w:type="dxa"/>
          </w:tblCellMar>
        </w:tblPrEx>
        <w:trPr>
          <w:trHeight w:val="914"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11691">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974EC1">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E1FB2AD">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C2BE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穿统一工作服，不能出现如穿拖鞋、</w:t>
            </w:r>
            <w:r>
              <w:rPr>
                <w:rFonts w:hint="eastAsia" w:ascii="宋体" w:hAnsi="宋体" w:eastAsia="宋体" w:cs="宋体"/>
                <w:color w:val="auto"/>
                <w:kern w:val="0"/>
                <w:szCs w:val="21"/>
                <w:highlight w:val="none"/>
                <w:lang w:val="en-US" w:eastAsia="zh-CN" w:bidi="ar"/>
              </w:rPr>
              <w:t>高跟鞋、着装不整齐者</w:t>
            </w:r>
            <w:r>
              <w:rPr>
                <w:rFonts w:hint="eastAsia" w:ascii="宋体" w:hAnsi="宋体" w:eastAsia="宋体" w:cs="宋体"/>
                <w:color w:val="auto"/>
                <w:kern w:val="0"/>
                <w:szCs w:val="21"/>
                <w:highlight w:val="none"/>
                <w:lang w:bidi="ar"/>
              </w:rPr>
              <w:t>等。</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FD4E2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未按要求</w:t>
            </w:r>
            <w:r>
              <w:rPr>
                <w:rFonts w:hint="eastAsia" w:ascii="宋体" w:hAnsi="宋体" w:eastAsia="宋体" w:cs="宋体"/>
                <w:color w:val="auto"/>
                <w:kern w:val="0"/>
                <w:szCs w:val="21"/>
                <w:highlight w:val="none"/>
                <w:lang w:bidi="ar"/>
              </w:rPr>
              <w:t>着装者，每人次扣1分，扣完为止。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4F7A8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646D15">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6140A9">
            <w:pPr>
              <w:jc w:val="left"/>
              <w:rPr>
                <w:rFonts w:ascii="宋体" w:hAnsi="宋体" w:eastAsia="宋体" w:cs="宋体"/>
                <w:color w:val="auto"/>
                <w:szCs w:val="21"/>
                <w:highlight w:val="none"/>
              </w:rPr>
            </w:pPr>
          </w:p>
        </w:tc>
      </w:tr>
      <w:tr w14:paraId="28C33264">
        <w:tblPrEx>
          <w:tblCellMar>
            <w:top w:w="0" w:type="dxa"/>
            <w:left w:w="108" w:type="dxa"/>
            <w:bottom w:w="0" w:type="dxa"/>
            <w:right w:w="108" w:type="dxa"/>
          </w:tblCellMar>
        </w:tblPrEx>
        <w:trPr>
          <w:trHeight w:val="898"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4FC52F">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96A34">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D87AB1">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AAE0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现场负责人要向</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对应管理部门书面请假批准后才能离岗。</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99E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擅自离岗者，每人次扣1分,扣完为止。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3EA3D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DF9C7">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7ABBE4">
            <w:pPr>
              <w:jc w:val="left"/>
              <w:rPr>
                <w:rFonts w:ascii="宋体" w:hAnsi="宋体" w:eastAsia="宋体" w:cs="宋体"/>
                <w:color w:val="auto"/>
                <w:szCs w:val="21"/>
                <w:highlight w:val="none"/>
              </w:rPr>
            </w:pPr>
          </w:p>
        </w:tc>
      </w:tr>
      <w:tr w14:paraId="182416CD">
        <w:tblPrEx>
          <w:tblCellMar>
            <w:top w:w="0" w:type="dxa"/>
            <w:left w:w="108" w:type="dxa"/>
            <w:bottom w:w="0" w:type="dxa"/>
            <w:right w:w="108" w:type="dxa"/>
          </w:tblCellMar>
        </w:tblPrEx>
        <w:trPr>
          <w:trHeight w:val="840"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DCF9C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694D6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30分</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EE49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清洁保洁服务工作纪律</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F0C4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遵守公司清洁排班表,不迟到,不早退,不旷工。</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2DEC2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0C286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5B2826">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F4CCF">
            <w:pPr>
              <w:jc w:val="left"/>
              <w:rPr>
                <w:rFonts w:ascii="宋体" w:hAnsi="宋体" w:eastAsia="宋体" w:cs="宋体"/>
                <w:color w:val="auto"/>
                <w:szCs w:val="21"/>
                <w:highlight w:val="none"/>
              </w:rPr>
            </w:pPr>
          </w:p>
        </w:tc>
      </w:tr>
      <w:tr w14:paraId="0C3CE095">
        <w:tblPrEx>
          <w:tblCellMar>
            <w:top w:w="0" w:type="dxa"/>
            <w:left w:w="108" w:type="dxa"/>
            <w:bottom w:w="0" w:type="dxa"/>
            <w:right w:w="108" w:type="dxa"/>
          </w:tblCellMar>
        </w:tblPrEx>
        <w:trPr>
          <w:trHeight w:val="90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8EF7BF">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75D4E">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7FEF11">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5F326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清洁工休假提前申请,并在安排好工作代理人后方可休假。</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AE77B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E9C2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57E5CF">
            <w:pPr>
              <w:rPr>
                <w:rFonts w:ascii="宋体" w:hAnsi="宋体" w:eastAsia="宋体" w:cs="宋体"/>
                <w:color w:val="auto"/>
                <w:sz w:val="22"/>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0FC36B">
            <w:pPr>
              <w:rPr>
                <w:rFonts w:ascii="宋体" w:hAnsi="宋体" w:eastAsia="宋体" w:cs="宋体"/>
                <w:color w:val="auto"/>
                <w:sz w:val="22"/>
                <w:highlight w:val="none"/>
              </w:rPr>
            </w:pPr>
          </w:p>
        </w:tc>
      </w:tr>
      <w:tr w14:paraId="60FCE762">
        <w:tblPrEx>
          <w:tblCellMar>
            <w:top w:w="0" w:type="dxa"/>
            <w:left w:w="108" w:type="dxa"/>
            <w:bottom w:w="0" w:type="dxa"/>
            <w:right w:w="108" w:type="dxa"/>
          </w:tblCellMar>
        </w:tblPrEx>
        <w:trPr>
          <w:trHeight w:val="9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1B47D9">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E79E2F">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8B4CC">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1195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上班期间不串岗，不脱岗，不偷懒，不做与工作无关的事情。</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0B9D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101BA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9F7954">
            <w:pPr>
              <w:rPr>
                <w:rFonts w:ascii="宋体" w:hAnsi="宋体" w:eastAsia="宋体" w:cs="宋体"/>
                <w:color w:val="auto"/>
                <w:sz w:val="22"/>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E577F9">
            <w:pPr>
              <w:rPr>
                <w:rFonts w:ascii="宋体" w:hAnsi="宋体" w:eastAsia="宋体" w:cs="宋体"/>
                <w:color w:val="auto"/>
                <w:sz w:val="22"/>
                <w:highlight w:val="none"/>
              </w:rPr>
            </w:pPr>
          </w:p>
        </w:tc>
      </w:tr>
      <w:tr w14:paraId="1A8F8643">
        <w:tblPrEx>
          <w:tblCellMar>
            <w:top w:w="0" w:type="dxa"/>
            <w:left w:w="108" w:type="dxa"/>
            <w:bottom w:w="0" w:type="dxa"/>
            <w:right w:w="108" w:type="dxa"/>
          </w:tblCellMar>
        </w:tblPrEx>
        <w:trPr>
          <w:trHeight w:val="6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746DD8">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4999E4">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70F97C">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48822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工作态度勤恳，无接到投诉或不良反映。</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CFDAA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每接到投诉一次扣2分，扣完为止。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1A4AD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EB6B6A">
            <w:pPr>
              <w:rPr>
                <w:rFonts w:ascii="宋体" w:hAnsi="宋体" w:eastAsia="宋体" w:cs="宋体"/>
                <w:color w:val="auto"/>
                <w:sz w:val="22"/>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76EC1D">
            <w:pPr>
              <w:rPr>
                <w:rFonts w:ascii="宋体" w:hAnsi="宋体" w:eastAsia="宋体" w:cs="宋体"/>
                <w:color w:val="auto"/>
                <w:sz w:val="22"/>
                <w:highlight w:val="none"/>
              </w:rPr>
            </w:pPr>
          </w:p>
        </w:tc>
      </w:tr>
      <w:tr w14:paraId="6E21DADE">
        <w:tblPrEx>
          <w:tblCellMar>
            <w:top w:w="0" w:type="dxa"/>
            <w:left w:w="108" w:type="dxa"/>
            <w:bottom w:w="0" w:type="dxa"/>
            <w:right w:w="108" w:type="dxa"/>
          </w:tblCellMar>
        </w:tblPrEx>
        <w:trPr>
          <w:trHeight w:val="6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7D17E">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AA0EEC">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4F1E55">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7EA8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与同事和睦相处，做事不计较，不闹矛盾，不吵架。</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FC07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E96F3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105C69">
            <w:pPr>
              <w:rPr>
                <w:rFonts w:ascii="宋体" w:hAnsi="宋体" w:eastAsia="宋体" w:cs="宋体"/>
                <w:color w:val="auto"/>
                <w:sz w:val="22"/>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436D82">
            <w:pPr>
              <w:rPr>
                <w:rFonts w:ascii="宋体" w:hAnsi="宋体" w:eastAsia="宋体" w:cs="宋体"/>
                <w:color w:val="auto"/>
                <w:sz w:val="22"/>
                <w:highlight w:val="none"/>
              </w:rPr>
            </w:pPr>
          </w:p>
        </w:tc>
      </w:tr>
      <w:tr w14:paraId="4898ED78">
        <w:tblPrEx>
          <w:tblCellMar>
            <w:top w:w="0" w:type="dxa"/>
            <w:left w:w="108" w:type="dxa"/>
            <w:bottom w:w="0" w:type="dxa"/>
            <w:right w:w="108" w:type="dxa"/>
          </w:tblCellMar>
        </w:tblPrEx>
        <w:trPr>
          <w:trHeight w:val="66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A9E929">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1C3EA3">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82F13B">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CBD9E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爱护公司资源，节约水、电。</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0626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发现浪费水、电者，每违反一次扣1分，扣完为止。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91373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1B943E">
            <w:pPr>
              <w:rPr>
                <w:rFonts w:ascii="宋体" w:hAnsi="宋体" w:eastAsia="宋体" w:cs="宋体"/>
                <w:color w:val="auto"/>
                <w:sz w:val="22"/>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2499F3">
            <w:pPr>
              <w:rPr>
                <w:rFonts w:ascii="宋体" w:hAnsi="宋体" w:eastAsia="宋体" w:cs="宋体"/>
                <w:color w:val="auto"/>
                <w:sz w:val="22"/>
                <w:highlight w:val="none"/>
              </w:rPr>
            </w:pPr>
          </w:p>
        </w:tc>
      </w:tr>
      <w:tr w14:paraId="3BF809E8">
        <w:tblPrEx>
          <w:tblCellMar>
            <w:top w:w="0" w:type="dxa"/>
            <w:left w:w="108" w:type="dxa"/>
            <w:bottom w:w="0" w:type="dxa"/>
            <w:right w:w="108" w:type="dxa"/>
          </w:tblCellMar>
        </w:tblPrEx>
        <w:trPr>
          <w:trHeight w:val="6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D1B36">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C9AC8">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2B148">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83B92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按要求</w:t>
            </w:r>
            <w:r>
              <w:rPr>
                <w:rFonts w:hint="eastAsia" w:ascii="宋体" w:hAnsi="宋体" w:eastAsia="宋体" w:cs="宋体"/>
                <w:color w:val="auto"/>
                <w:kern w:val="0"/>
                <w:szCs w:val="21"/>
                <w:highlight w:val="none"/>
                <w:lang w:bidi="ar"/>
              </w:rPr>
              <w:t>巡查卫生，确保区域清洁。</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A06A4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4BA7A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E39906">
            <w:pPr>
              <w:rPr>
                <w:rFonts w:ascii="宋体" w:hAnsi="宋体" w:eastAsia="宋体" w:cs="宋体"/>
                <w:color w:val="auto"/>
                <w:sz w:val="22"/>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AB542">
            <w:pPr>
              <w:rPr>
                <w:rFonts w:ascii="宋体" w:hAnsi="宋体" w:eastAsia="宋体" w:cs="宋体"/>
                <w:color w:val="auto"/>
                <w:sz w:val="22"/>
                <w:highlight w:val="none"/>
              </w:rPr>
            </w:pPr>
          </w:p>
        </w:tc>
      </w:tr>
      <w:tr w14:paraId="7C8A03FE">
        <w:tblPrEx>
          <w:tblCellMar>
            <w:top w:w="0" w:type="dxa"/>
            <w:left w:w="108" w:type="dxa"/>
            <w:bottom w:w="0" w:type="dxa"/>
            <w:right w:w="108" w:type="dxa"/>
          </w:tblCellMar>
        </w:tblPrEx>
        <w:trPr>
          <w:trHeight w:val="880" w:hRule="atLeast"/>
        </w:trPr>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74B4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AAC44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50分</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561AFF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清洁保洁服务工作</w:t>
            </w: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55F5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每天按要求清洁办公场所。</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C35E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未按要求每违反一次扣1分，扣完为止。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8264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64A63A">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BAF69">
            <w:pPr>
              <w:jc w:val="left"/>
              <w:rPr>
                <w:rFonts w:ascii="宋体" w:hAnsi="宋体" w:eastAsia="宋体" w:cs="宋体"/>
                <w:color w:val="auto"/>
                <w:szCs w:val="21"/>
                <w:highlight w:val="none"/>
              </w:rPr>
            </w:pPr>
          </w:p>
        </w:tc>
      </w:tr>
      <w:tr w14:paraId="2AB9C0DD">
        <w:tblPrEx>
          <w:tblCellMar>
            <w:top w:w="0" w:type="dxa"/>
            <w:left w:w="108" w:type="dxa"/>
            <w:bottom w:w="0" w:type="dxa"/>
            <w:right w:w="108" w:type="dxa"/>
          </w:tblCellMar>
        </w:tblPrEx>
        <w:trPr>
          <w:trHeight w:val="10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B369E">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631250">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682241">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D2C3F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办公楼清洁按公司规定清洁各区域卫生；及时将垃圾运送指定地点。</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BF76A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2963E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2C8AE9">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5E5F14">
            <w:pPr>
              <w:jc w:val="left"/>
              <w:rPr>
                <w:rFonts w:ascii="宋体" w:hAnsi="宋体" w:eastAsia="宋体" w:cs="宋体"/>
                <w:color w:val="auto"/>
                <w:szCs w:val="21"/>
                <w:highlight w:val="none"/>
              </w:rPr>
            </w:pPr>
          </w:p>
        </w:tc>
      </w:tr>
      <w:tr w14:paraId="41FED845">
        <w:tblPrEx>
          <w:tblCellMar>
            <w:top w:w="0" w:type="dxa"/>
            <w:left w:w="108" w:type="dxa"/>
            <w:bottom w:w="0" w:type="dxa"/>
            <w:right w:w="108" w:type="dxa"/>
          </w:tblCellMar>
        </w:tblPrEx>
        <w:trPr>
          <w:trHeight w:val="10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EA01BF">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503B8A">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0303E">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FC91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公共区域各处无灰尘、痰痕、烟头、纸屑等杂物，无积灰、无杂物、无污（包括地角墙壁）。</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0B9D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4E21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0039BC">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AFD673">
            <w:pPr>
              <w:jc w:val="left"/>
              <w:rPr>
                <w:rFonts w:ascii="宋体" w:hAnsi="宋体" w:eastAsia="宋体" w:cs="宋体"/>
                <w:color w:val="auto"/>
                <w:szCs w:val="21"/>
                <w:highlight w:val="none"/>
              </w:rPr>
            </w:pPr>
          </w:p>
        </w:tc>
      </w:tr>
      <w:tr w14:paraId="18CBB6DC">
        <w:tblPrEx>
          <w:tblCellMar>
            <w:top w:w="0" w:type="dxa"/>
            <w:left w:w="108" w:type="dxa"/>
            <w:bottom w:w="0" w:type="dxa"/>
            <w:right w:w="108" w:type="dxa"/>
          </w:tblCellMar>
        </w:tblPrEx>
        <w:trPr>
          <w:trHeight w:val="10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1DE33F">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A914CF">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5BB1AD0">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D5C9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卫生间定期消毒、盐酸清洗，便池内无存积便垢，地面无污水、污垢、痰迹、烟头、无结垢、有害生物。</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DBFD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发现一次扣1分，扣完为止。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77DD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00EDED">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58F30B">
            <w:pPr>
              <w:jc w:val="left"/>
              <w:rPr>
                <w:rFonts w:ascii="宋体" w:hAnsi="宋体" w:eastAsia="宋体" w:cs="宋体"/>
                <w:color w:val="auto"/>
                <w:szCs w:val="21"/>
                <w:highlight w:val="none"/>
              </w:rPr>
            </w:pPr>
          </w:p>
        </w:tc>
      </w:tr>
      <w:tr w14:paraId="19CD859E">
        <w:tblPrEx>
          <w:tblCellMar>
            <w:top w:w="0" w:type="dxa"/>
            <w:left w:w="108" w:type="dxa"/>
            <w:bottom w:w="0" w:type="dxa"/>
            <w:right w:w="108" w:type="dxa"/>
          </w:tblCellMar>
        </w:tblPrEx>
        <w:trPr>
          <w:trHeight w:val="10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2633A4">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C4D3EB">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2CEA9E9">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1EB5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洗手间内水池四周及水龙头清洁无水迹，水池下弯管无积灰、无污渍，镜面无水迹，镜框无锈迹。</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7205B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95E1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7F31B">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C8FFEB">
            <w:pPr>
              <w:jc w:val="left"/>
              <w:rPr>
                <w:rFonts w:ascii="宋体" w:hAnsi="宋体" w:eastAsia="宋体" w:cs="宋体"/>
                <w:color w:val="auto"/>
                <w:szCs w:val="21"/>
                <w:highlight w:val="none"/>
              </w:rPr>
            </w:pPr>
          </w:p>
        </w:tc>
      </w:tr>
      <w:tr w14:paraId="200549B1">
        <w:tblPrEx>
          <w:tblCellMar>
            <w:top w:w="0" w:type="dxa"/>
            <w:left w:w="108" w:type="dxa"/>
            <w:bottom w:w="0" w:type="dxa"/>
            <w:right w:w="108" w:type="dxa"/>
          </w:tblCellMar>
        </w:tblPrEx>
        <w:trPr>
          <w:trHeight w:val="10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6AAC2">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74330">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3EA26F">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6D23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楼梯扶手、栏杆、窗台用湿抹布擦干净，无灰尘、污渍。</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ADF03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262D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C07977">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05DFEA">
            <w:pPr>
              <w:jc w:val="left"/>
              <w:rPr>
                <w:rFonts w:ascii="宋体" w:hAnsi="宋体" w:eastAsia="宋体" w:cs="宋体"/>
                <w:color w:val="auto"/>
                <w:szCs w:val="21"/>
                <w:highlight w:val="none"/>
              </w:rPr>
            </w:pPr>
          </w:p>
        </w:tc>
      </w:tr>
      <w:tr w14:paraId="3EBC2C93">
        <w:tblPrEx>
          <w:tblCellMar>
            <w:top w:w="0" w:type="dxa"/>
            <w:left w:w="108" w:type="dxa"/>
            <w:bottom w:w="0" w:type="dxa"/>
            <w:right w:w="108" w:type="dxa"/>
          </w:tblCellMar>
        </w:tblPrEx>
        <w:trPr>
          <w:trHeight w:val="7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59BF25">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702F6">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FB0F4">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38E3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室内无蜘蛛网、脚印、球印、痰迹等。</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E5D8F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6B24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5DB945">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A3382">
            <w:pPr>
              <w:jc w:val="left"/>
              <w:rPr>
                <w:rFonts w:ascii="宋体" w:hAnsi="宋体" w:eastAsia="宋体" w:cs="宋体"/>
                <w:color w:val="auto"/>
                <w:szCs w:val="21"/>
                <w:highlight w:val="none"/>
              </w:rPr>
            </w:pPr>
          </w:p>
        </w:tc>
      </w:tr>
      <w:tr w14:paraId="020B58BE">
        <w:tblPrEx>
          <w:tblCellMar>
            <w:top w:w="0" w:type="dxa"/>
            <w:left w:w="108" w:type="dxa"/>
            <w:bottom w:w="0" w:type="dxa"/>
            <w:right w:w="108" w:type="dxa"/>
          </w:tblCellMar>
        </w:tblPrEx>
        <w:trPr>
          <w:trHeight w:val="68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005E7F">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8462D">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E9B7D6B">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B209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所管辖的玻璃整洁、明亮、无明显污渍。</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7E9F4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0F685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190D30">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ACE27">
            <w:pPr>
              <w:jc w:val="left"/>
              <w:rPr>
                <w:rFonts w:ascii="宋体" w:hAnsi="宋体" w:eastAsia="宋体" w:cs="宋体"/>
                <w:color w:val="auto"/>
                <w:szCs w:val="21"/>
                <w:highlight w:val="none"/>
              </w:rPr>
            </w:pPr>
          </w:p>
        </w:tc>
      </w:tr>
      <w:tr w14:paraId="7F0DA891">
        <w:tblPrEx>
          <w:tblCellMar>
            <w:top w:w="0" w:type="dxa"/>
            <w:left w:w="108" w:type="dxa"/>
            <w:bottom w:w="0" w:type="dxa"/>
            <w:right w:w="108" w:type="dxa"/>
          </w:tblCellMar>
        </w:tblPrEx>
        <w:trPr>
          <w:trHeight w:val="92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CECFA3">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C7BD">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9370B4">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2A18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所有用电开关、电箱无灰尘、污渍，灯具无灰尘，透明度好。</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C4C1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D0E4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06CE9">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9AB32C">
            <w:pPr>
              <w:jc w:val="left"/>
              <w:rPr>
                <w:rFonts w:ascii="宋体" w:hAnsi="宋体" w:eastAsia="宋体" w:cs="宋体"/>
                <w:color w:val="auto"/>
                <w:szCs w:val="21"/>
                <w:highlight w:val="none"/>
              </w:rPr>
            </w:pPr>
          </w:p>
        </w:tc>
      </w:tr>
      <w:tr w14:paraId="6C4F7992">
        <w:tblPrEx>
          <w:tblCellMar>
            <w:top w:w="0" w:type="dxa"/>
            <w:left w:w="108" w:type="dxa"/>
            <w:bottom w:w="0" w:type="dxa"/>
            <w:right w:w="108" w:type="dxa"/>
          </w:tblCellMar>
        </w:tblPrEx>
        <w:trPr>
          <w:trHeight w:val="51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043FFD">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97C6F">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E89AC7">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ADF2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公共区内不得堆放各种杂物。</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095DD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B70C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BC3488">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30699">
            <w:pPr>
              <w:jc w:val="left"/>
              <w:rPr>
                <w:rFonts w:ascii="宋体" w:hAnsi="宋体" w:eastAsia="宋体" w:cs="宋体"/>
                <w:color w:val="auto"/>
                <w:szCs w:val="21"/>
                <w:highlight w:val="none"/>
              </w:rPr>
            </w:pPr>
          </w:p>
        </w:tc>
      </w:tr>
      <w:tr w14:paraId="7EFF2890">
        <w:tblPrEx>
          <w:tblCellMar>
            <w:top w:w="0" w:type="dxa"/>
            <w:left w:w="108" w:type="dxa"/>
            <w:bottom w:w="0" w:type="dxa"/>
            <w:right w:w="108" w:type="dxa"/>
          </w:tblCellMar>
        </w:tblPrEx>
        <w:trPr>
          <w:trHeight w:val="660" w:hRule="atLeast"/>
        </w:trPr>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F28B9">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8687D9">
            <w:pPr>
              <w:jc w:val="center"/>
              <w:rPr>
                <w:rFonts w:ascii="宋体" w:hAnsi="宋体" w:eastAsia="宋体" w:cs="宋体"/>
                <w:color w:val="auto"/>
                <w:szCs w:val="21"/>
                <w:highlight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7A3D047">
            <w:pPr>
              <w:jc w:val="left"/>
              <w:rPr>
                <w:rFonts w:ascii="宋体" w:hAnsi="宋体" w:eastAsia="宋体" w:cs="宋体"/>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17AB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堆放垃圾处无污秽、异味，垃圾桶、撮子内外表面清洁。</w:t>
            </w:r>
          </w:p>
        </w:tc>
        <w:tc>
          <w:tcPr>
            <w:tcW w:w="102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DF4D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6520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0959EB">
            <w:pPr>
              <w:jc w:val="left"/>
              <w:rPr>
                <w:rFonts w:ascii="宋体" w:hAnsi="宋体" w:eastAsia="宋体" w:cs="宋体"/>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CA34C9">
            <w:pPr>
              <w:jc w:val="left"/>
              <w:rPr>
                <w:rFonts w:ascii="宋体" w:hAnsi="宋体" w:eastAsia="宋体" w:cs="宋体"/>
                <w:color w:val="auto"/>
                <w:szCs w:val="21"/>
                <w:highlight w:val="none"/>
              </w:rPr>
            </w:pPr>
          </w:p>
        </w:tc>
      </w:tr>
      <w:tr w14:paraId="737A12D8">
        <w:tblPrEx>
          <w:tblCellMar>
            <w:top w:w="0" w:type="dxa"/>
            <w:left w:w="108" w:type="dxa"/>
            <w:bottom w:w="0" w:type="dxa"/>
            <w:right w:w="108" w:type="dxa"/>
          </w:tblCellMar>
        </w:tblPrEx>
        <w:trPr>
          <w:trHeight w:val="10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65169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35E47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5分</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037E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其它要求</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D2D6E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服从招标人突击性任务、迎检活动安排、紧急服务等工作要求。</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039B46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无正当理由拒不服从的，每违反一次扣5分。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19BDA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5</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CBE44">
            <w:pPr>
              <w:jc w:val="center"/>
              <w:rPr>
                <w:rFonts w:ascii="宋体" w:hAnsi="宋体" w:eastAsia="宋体" w:cs="宋体"/>
                <w:b/>
                <w:bCs/>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B22414">
            <w:pPr>
              <w:jc w:val="center"/>
              <w:rPr>
                <w:rFonts w:ascii="宋体" w:hAnsi="宋体" w:eastAsia="宋体" w:cs="宋体"/>
                <w:b/>
                <w:bCs/>
                <w:color w:val="auto"/>
                <w:szCs w:val="21"/>
                <w:highlight w:val="none"/>
              </w:rPr>
            </w:pPr>
          </w:p>
        </w:tc>
      </w:tr>
      <w:tr w14:paraId="0550140E">
        <w:tblPrEx>
          <w:tblCellMar>
            <w:top w:w="0" w:type="dxa"/>
            <w:left w:w="108" w:type="dxa"/>
            <w:bottom w:w="0" w:type="dxa"/>
            <w:right w:w="108" w:type="dxa"/>
          </w:tblCellMar>
        </w:tblPrEx>
        <w:trPr>
          <w:trHeight w:val="108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A646">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362B93">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扣分项</w:t>
            </w:r>
          </w:p>
        </w:tc>
        <w:tc>
          <w:tcPr>
            <w:tcW w:w="250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D8DF66">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未在合同约定期限内更换或补充招标人所需人员的。</w:t>
            </w:r>
          </w:p>
        </w:tc>
        <w:tc>
          <w:tcPr>
            <w:tcW w:w="203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425973">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每违反一次</w:t>
            </w:r>
            <w:r>
              <w:rPr>
                <w:rFonts w:hint="default" w:ascii="宋体" w:hAnsi="宋体" w:eastAsia="宋体" w:cs="宋体"/>
                <w:color w:val="auto"/>
                <w:kern w:val="0"/>
                <w:szCs w:val="21"/>
                <w:highlight w:val="none"/>
                <w:lang w:val="en-US" w:eastAsia="zh-CN" w:bidi="ar"/>
              </w:rPr>
              <w:t>扣</w:t>
            </w:r>
            <w:r>
              <w:rPr>
                <w:rFonts w:hint="eastAsia" w:ascii="宋体" w:hAnsi="宋体" w:eastAsia="宋体" w:cs="宋体"/>
                <w:color w:val="auto"/>
                <w:kern w:val="0"/>
                <w:szCs w:val="21"/>
                <w:highlight w:val="none"/>
                <w:lang w:val="en-US" w:eastAsia="zh-CN" w:bidi="ar"/>
              </w:rPr>
              <w:t>10</w:t>
            </w:r>
            <w:r>
              <w:rPr>
                <w:rFonts w:hint="default" w:ascii="宋体" w:hAnsi="宋体" w:eastAsia="宋体" w:cs="宋体"/>
                <w:color w:val="auto"/>
                <w:kern w:val="0"/>
                <w:szCs w:val="21"/>
                <w:highlight w:val="none"/>
                <w:lang w:val="en-US" w:eastAsia="zh-CN" w:bidi="ar"/>
              </w:rPr>
              <w:t>分。</w:t>
            </w:r>
          </w:p>
        </w:tc>
        <w:tc>
          <w:tcPr>
            <w:tcW w:w="90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D9A842">
            <w:pPr>
              <w:widowControl/>
              <w:jc w:val="center"/>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0</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F35CE8">
            <w:pPr>
              <w:jc w:val="center"/>
              <w:rPr>
                <w:rFonts w:ascii="宋体" w:hAnsi="宋体" w:eastAsia="宋体" w:cs="宋体"/>
                <w:b/>
                <w:bCs/>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11CCA2">
            <w:pPr>
              <w:jc w:val="center"/>
              <w:rPr>
                <w:rFonts w:ascii="宋体" w:hAnsi="宋体" w:eastAsia="宋体" w:cs="宋体"/>
                <w:b/>
                <w:bCs/>
                <w:color w:val="auto"/>
                <w:szCs w:val="21"/>
                <w:highlight w:val="none"/>
              </w:rPr>
            </w:pPr>
          </w:p>
        </w:tc>
      </w:tr>
      <w:tr w14:paraId="2448196C">
        <w:tblPrEx>
          <w:tblCellMar>
            <w:top w:w="0" w:type="dxa"/>
            <w:left w:w="108" w:type="dxa"/>
            <w:bottom w:w="0" w:type="dxa"/>
            <w:right w:w="108" w:type="dxa"/>
          </w:tblCellMar>
        </w:tblPrEx>
        <w:trPr>
          <w:trHeight w:val="520" w:hRule="atLeast"/>
        </w:trPr>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FE189B">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合计</w:t>
            </w:r>
          </w:p>
        </w:tc>
        <w:tc>
          <w:tcPr>
            <w:tcW w:w="3638"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C78C00D">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100分</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CEF73">
            <w:pPr>
              <w:jc w:val="center"/>
              <w:rPr>
                <w:rFonts w:ascii="宋体" w:hAnsi="宋体" w:eastAsia="宋体" w:cs="宋体"/>
                <w:b/>
                <w:bCs/>
                <w:color w:val="auto"/>
                <w:szCs w:val="21"/>
                <w:highlight w:val="none"/>
              </w:rPr>
            </w:pPr>
          </w:p>
        </w:tc>
        <w:tc>
          <w:tcPr>
            <w:tcW w:w="45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5AB893">
            <w:pPr>
              <w:jc w:val="center"/>
              <w:rPr>
                <w:rFonts w:ascii="宋体" w:hAnsi="宋体" w:eastAsia="宋体" w:cs="宋体"/>
                <w:b/>
                <w:bCs/>
                <w:color w:val="auto"/>
                <w:szCs w:val="21"/>
                <w:highlight w:val="none"/>
              </w:rPr>
            </w:pPr>
          </w:p>
        </w:tc>
      </w:tr>
      <w:tr w14:paraId="7DECDE32">
        <w:tblPrEx>
          <w:tblCellMar>
            <w:top w:w="0" w:type="dxa"/>
            <w:left w:w="108" w:type="dxa"/>
            <w:bottom w:w="0" w:type="dxa"/>
            <w:right w:w="108" w:type="dxa"/>
          </w:tblCellMar>
        </w:tblPrEx>
        <w:trPr>
          <w:trHeight w:val="600" w:hRule="atLeast"/>
        </w:trPr>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DBC146">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考核结果</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FBD37">
            <w:pPr>
              <w:jc w:val="center"/>
              <w:rPr>
                <w:rFonts w:ascii="宋体" w:hAnsi="宋体" w:eastAsia="宋体" w:cs="宋体"/>
                <w:b/>
                <w:bCs/>
                <w:color w:val="auto"/>
                <w:szCs w:val="21"/>
                <w:highlight w:val="none"/>
              </w:rPr>
            </w:pPr>
          </w:p>
        </w:tc>
        <w:tc>
          <w:tcPr>
            <w:tcW w:w="12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4DB1BC">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合格</w:t>
            </w:r>
          </w:p>
        </w:tc>
        <w:tc>
          <w:tcPr>
            <w:tcW w:w="10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930615">
            <w:pPr>
              <w:jc w:val="center"/>
              <w:rPr>
                <w:rFonts w:ascii="宋体" w:hAnsi="宋体" w:eastAsia="宋体" w:cs="宋体"/>
                <w:b/>
                <w:bCs/>
                <w:color w:val="auto"/>
                <w:szCs w:val="21"/>
                <w:highlight w:val="none"/>
              </w:rPr>
            </w:pPr>
          </w:p>
        </w:tc>
        <w:tc>
          <w:tcPr>
            <w:tcW w:w="45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E8D6F">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不合格</w:t>
            </w:r>
          </w:p>
        </w:tc>
        <w:tc>
          <w:tcPr>
            <w:tcW w:w="90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6DE08D">
            <w:pPr>
              <w:jc w:val="center"/>
              <w:rPr>
                <w:rFonts w:ascii="宋体" w:hAnsi="宋体" w:eastAsia="宋体" w:cs="宋体"/>
                <w:b/>
                <w:bCs/>
                <w:color w:val="auto"/>
                <w:szCs w:val="21"/>
                <w:highlight w:val="none"/>
              </w:rPr>
            </w:pPr>
          </w:p>
        </w:tc>
      </w:tr>
      <w:tr w14:paraId="3159B35A">
        <w:tblPrEx>
          <w:tblCellMar>
            <w:top w:w="0" w:type="dxa"/>
            <w:left w:w="108" w:type="dxa"/>
            <w:bottom w:w="0" w:type="dxa"/>
            <w:right w:w="108" w:type="dxa"/>
          </w:tblCellMar>
        </w:tblPrEx>
        <w:trPr>
          <w:trHeight w:val="830"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15FB26F">
            <w:pPr>
              <w:widowControl/>
              <w:jc w:val="left"/>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意见及建议</w:t>
            </w:r>
          </w:p>
        </w:tc>
      </w:tr>
    </w:tbl>
    <w:p w14:paraId="34DDFA4A">
      <w:pPr>
        <w:tabs>
          <w:tab w:val="left" w:pos="2340"/>
        </w:tabs>
        <w:autoSpaceDE w:val="0"/>
        <w:autoSpaceDN w:val="0"/>
        <w:adjustRightInd w:val="0"/>
        <w:spacing w:line="360" w:lineRule="auto"/>
        <w:jc w:val="left"/>
        <w:rPr>
          <w:rFonts w:hint="eastAsia" w:ascii="宋体" w:hAnsi="宋体" w:eastAsia="宋体" w:cs="宋体"/>
          <w:color w:val="auto"/>
          <w:kern w:val="0"/>
          <w:szCs w:val="21"/>
          <w:highlight w:val="none"/>
          <w:lang w:bidi="ar"/>
        </w:rPr>
      </w:pPr>
    </w:p>
    <w:p w14:paraId="49D6FD61">
      <w:pPr>
        <w:tabs>
          <w:tab w:val="left" w:pos="2340"/>
        </w:tabs>
        <w:autoSpaceDE w:val="0"/>
        <w:autoSpaceDN w:val="0"/>
        <w:adjustRightInd w:val="0"/>
        <w:spacing w:line="360" w:lineRule="auto"/>
        <w:jc w:val="left"/>
        <w:rPr>
          <w:rFonts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bidi="ar"/>
        </w:rPr>
        <w:t>考核单位：                     考核人：                        考核时间：</w:t>
      </w:r>
    </w:p>
    <w:p w14:paraId="3100EE7A">
      <w:pPr>
        <w:tabs>
          <w:tab w:val="left" w:pos="2340"/>
        </w:tabs>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注：1、本考核评比实行百分制,与实际服务费挂钩。</w:t>
      </w:r>
    </w:p>
    <w:p w14:paraId="440C39DB">
      <w:pPr>
        <w:tabs>
          <w:tab w:val="left" w:pos="2340"/>
        </w:tabs>
        <w:autoSpaceDE w:val="0"/>
        <w:autoSpaceDN w:val="0"/>
        <w:adjustRightInd w:val="0"/>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2、每项考评对应无扣分的，实得分等于应得分。</w:t>
      </w:r>
    </w:p>
    <w:p w14:paraId="09660D44">
      <w:pPr>
        <w:autoSpaceDN w:val="0"/>
        <w:adjustRightInd w:val="0"/>
        <w:spacing w:line="360" w:lineRule="auto"/>
        <w:ind w:firstLine="420" w:firstLineChars="200"/>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 w:val="21"/>
          <w:szCs w:val="21"/>
          <w:highlight w:val="none"/>
          <w:lang w:val="en-US" w:eastAsia="zh-CN" w:bidi="ar"/>
        </w:rPr>
        <w:t>含</w:t>
      </w:r>
      <w:r>
        <w:rPr>
          <w:rFonts w:hint="eastAsia" w:ascii="宋体" w:hAnsi="宋体" w:eastAsia="宋体" w:cs="宋体"/>
          <w:color w:val="auto"/>
          <w:kern w:val="0"/>
          <w:sz w:val="21"/>
          <w:szCs w:val="21"/>
          <w:highlight w:val="none"/>
          <w:lang w:bidi="ar"/>
        </w:rPr>
        <w:t>其权属分公司</w:t>
      </w:r>
      <w:r>
        <w:rPr>
          <w:rFonts w:hint="eastAsia" w:ascii="宋体" w:hAnsi="宋体" w:eastAsia="宋体" w:cs="宋体"/>
          <w:color w:val="auto"/>
          <w:kern w:val="0"/>
          <w:sz w:val="21"/>
          <w:szCs w:val="21"/>
          <w:highlight w:val="none"/>
          <w:lang w:eastAsia="zh-CN" w:bidi="ar"/>
        </w:rPr>
        <w:t>）</w:t>
      </w:r>
      <w:r>
        <w:rPr>
          <w:rFonts w:hint="eastAsia" w:ascii="宋体" w:hAnsi="宋体" w:eastAsia="宋体" w:cs="宋体"/>
          <w:color w:val="auto"/>
          <w:kern w:val="0"/>
          <w:szCs w:val="21"/>
          <w:highlight w:val="none"/>
          <w:lang w:bidi="ar"/>
        </w:rPr>
        <w:t>每月根据考评结果情况支付实际服务费给</w:t>
      </w:r>
      <w:r>
        <w:rPr>
          <w:rFonts w:hint="eastAsia" w:ascii="宋体" w:hAnsi="宋体" w:eastAsia="宋体" w:cs="宋体"/>
          <w:color w:val="auto"/>
          <w:kern w:val="0"/>
          <w:szCs w:val="21"/>
          <w:highlight w:val="none"/>
          <w:lang w:val="en-US" w:eastAsia="zh-CN" w:bidi="ar"/>
        </w:rPr>
        <w:t>服务单位</w:t>
      </w:r>
      <w:r>
        <w:rPr>
          <w:rFonts w:hint="eastAsia" w:ascii="宋体" w:hAnsi="宋体" w:eastAsia="宋体" w:cs="宋体"/>
          <w:color w:val="auto"/>
          <w:kern w:val="0"/>
          <w:szCs w:val="21"/>
          <w:highlight w:val="none"/>
          <w:lang w:eastAsia="zh-CN" w:bidi="ar"/>
        </w:rPr>
        <w:t>：</w:t>
      </w:r>
    </w:p>
    <w:p w14:paraId="3D54A003">
      <w:pPr>
        <w:autoSpaceDN w:val="0"/>
        <w:adjustRightInd w:val="0"/>
        <w:spacing w:line="360" w:lineRule="auto"/>
        <w:ind w:firstLine="420" w:firstLineChars="200"/>
        <w:jc w:val="left"/>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eastAsia="zh-CN" w:bidi="ar"/>
        </w:rPr>
        <w:t>）当实际考核项目总分满分为100分，</w:t>
      </w:r>
      <w:r>
        <w:rPr>
          <w:rFonts w:hint="eastAsia" w:ascii="宋体" w:hAnsi="宋体" w:eastAsia="宋体" w:cs="宋体"/>
          <w:color w:val="auto"/>
          <w:kern w:val="0"/>
          <w:szCs w:val="21"/>
          <w:highlight w:val="none"/>
          <w:lang w:bidi="ar"/>
        </w:rPr>
        <w:t>如</w:t>
      </w:r>
      <w:r>
        <w:rPr>
          <w:rFonts w:hint="eastAsia" w:eastAsia="宋体" w:cs="宋体"/>
          <w:kern w:val="0"/>
          <w:sz w:val="21"/>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Cs w:val="21"/>
          <w:highlight w:val="none"/>
          <w:lang w:bidi="ar"/>
        </w:rPr>
        <w:t>对</w:t>
      </w:r>
      <w:r>
        <w:rPr>
          <w:rFonts w:hint="eastAsia" w:ascii="宋体" w:hAnsi="宋体" w:eastAsia="宋体" w:cs="宋体"/>
          <w:color w:val="auto"/>
          <w:kern w:val="0"/>
          <w:szCs w:val="21"/>
          <w:highlight w:val="none"/>
          <w:lang w:val="en-US" w:eastAsia="zh-CN" w:bidi="ar"/>
        </w:rPr>
        <w:t>服务单位</w:t>
      </w:r>
      <w:r>
        <w:rPr>
          <w:rFonts w:hint="eastAsia" w:ascii="宋体" w:hAnsi="宋体" w:eastAsia="宋体" w:cs="宋体"/>
          <w:color w:val="auto"/>
          <w:kern w:val="0"/>
          <w:szCs w:val="21"/>
          <w:highlight w:val="none"/>
          <w:lang w:bidi="ar"/>
        </w:rPr>
        <w:t>的服务考核评分达到90分或以上的，该月服务费全额支付；如</w:t>
      </w:r>
      <w:r>
        <w:rPr>
          <w:rFonts w:hint="eastAsia" w:eastAsia="宋体" w:cs="宋体"/>
          <w:kern w:val="0"/>
          <w:sz w:val="21"/>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Cs w:val="21"/>
          <w:highlight w:val="none"/>
          <w:lang w:bidi="ar"/>
        </w:rPr>
        <w:t>对</w:t>
      </w:r>
      <w:r>
        <w:rPr>
          <w:rFonts w:hint="eastAsia" w:ascii="宋体" w:hAnsi="宋体" w:eastAsia="宋体" w:cs="宋体"/>
          <w:color w:val="auto"/>
          <w:kern w:val="0"/>
          <w:szCs w:val="21"/>
          <w:highlight w:val="none"/>
          <w:lang w:val="en-US" w:eastAsia="zh-CN" w:bidi="ar"/>
        </w:rPr>
        <w:t>服务单位</w:t>
      </w:r>
      <w:r>
        <w:rPr>
          <w:rFonts w:hint="eastAsia" w:ascii="宋体" w:hAnsi="宋体" w:eastAsia="宋体" w:cs="宋体"/>
          <w:color w:val="auto"/>
          <w:kern w:val="0"/>
          <w:szCs w:val="21"/>
          <w:highlight w:val="none"/>
          <w:lang w:bidi="ar"/>
        </w:rPr>
        <w:t>的服务考核评分不足90分的，该月实际支付的服务费=该月应支付服务费×当月考核评分占比；如发现累计两个月未达到60分时，</w:t>
      </w:r>
      <w:r>
        <w:rPr>
          <w:rFonts w:hint="eastAsia" w:eastAsia="宋体" w:cs="宋体"/>
          <w:sz w:val="21"/>
          <w:szCs w:val="21"/>
          <w:highlight w:val="none"/>
        </w:rPr>
        <w:t>且</w:t>
      </w:r>
      <w:r>
        <w:rPr>
          <w:rFonts w:hint="eastAsia" w:eastAsia="宋体" w:cs="宋体"/>
          <w:sz w:val="21"/>
          <w:szCs w:val="21"/>
          <w:highlight w:val="none"/>
          <w:lang w:val="en-US" w:eastAsia="zh-CN"/>
        </w:rPr>
        <w:t>服务单位</w:t>
      </w:r>
      <w:r>
        <w:rPr>
          <w:rFonts w:hint="eastAsia" w:eastAsia="宋体" w:cs="宋体"/>
          <w:sz w:val="21"/>
          <w:szCs w:val="21"/>
          <w:highlight w:val="none"/>
        </w:rPr>
        <w:t>没有提供令</w:t>
      </w:r>
      <w:r>
        <w:rPr>
          <w:rFonts w:hint="eastAsia" w:ascii="宋体" w:hAnsi="宋体" w:eastAsia="宋体" w:cs="宋体"/>
          <w:color w:val="auto"/>
          <w:kern w:val="0"/>
          <w:sz w:val="21"/>
          <w:szCs w:val="21"/>
          <w:highlight w:val="none"/>
          <w:lang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eastAsia="宋体" w:cs="宋体"/>
          <w:sz w:val="21"/>
          <w:szCs w:val="21"/>
          <w:highlight w:val="none"/>
        </w:rPr>
        <w:t>认可的整改方案的</w:t>
      </w:r>
      <w:r>
        <w:rPr>
          <w:rFonts w:hint="eastAsia" w:eastAsia="宋体" w:cs="宋体"/>
          <w:sz w:val="21"/>
          <w:szCs w:val="21"/>
          <w:highlight w:val="none"/>
          <w:lang w:eastAsia="zh-CN"/>
        </w:rPr>
        <w:t>，</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有权单方解除合同。</w:t>
      </w:r>
    </w:p>
    <w:p w14:paraId="697AAB90">
      <w:pPr>
        <w:autoSpaceDN w:val="0"/>
        <w:adjustRightInd w:val="0"/>
        <w:spacing w:line="360" w:lineRule="auto"/>
        <w:ind w:firstLine="420" w:firstLineChars="200"/>
        <w:jc w:val="left"/>
        <w:rPr>
          <w:rFonts w:ascii="宋体" w:hAnsi="宋体" w:eastAsia="宋体" w:cs="宋体"/>
          <w:color w:val="auto"/>
          <w:highlight w:val="none"/>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2</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当实际考核项目总分满分不足100分，将考核分数按百分制进行折算（折算分数=实际得分/满分</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100），折算后高于90%</w:t>
      </w:r>
      <w:r>
        <w:rPr>
          <w:rFonts w:hint="eastAsia" w:ascii="宋体" w:hAnsi="宋体" w:eastAsia="宋体" w:cs="宋体"/>
          <w:color w:val="auto"/>
          <w:kern w:val="0"/>
          <w:szCs w:val="21"/>
          <w:highlight w:val="none"/>
          <w:lang w:eastAsia="zh-CN" w:bidi="ar"/>
        </w:rPr>
        <w:t>或以上的，该月服务费全额支付；如招标人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Cs w:val="21"/>
          <w:highlight w:val="none"/>
          <w:lang w:eastAsia="zh-CN" w:bidi="ar"/>
        </w:rPr>
        <w:t>对</w:t>
      </w:r>
      <w:r>
        <w:rPr>
          <w:rFonts w:hint="eastAsia" w:ascii="宋体" w:hAnsi="宋体" w:eastAsia="宋体" w:cs="宋体"/>
          <w:color w:val="auto"/>
          <w:kern w:val="0"/>
          <w:szCs w:val="21"/>
          <w:highlight w:val="none"/>
          <w:lang w:val="en-US" w:eastAsia="zh-CN" w:bidi="ar"/>
        </w:rPr>
        <w:t>服务单位</w:t>
      </w:r>
      <w:r>
        <w:rPr>
          <w:rFonts w:hint="eastAsia" w:ascii="宋体" w:hAnsi="宋体" w:eastAsia="宋体" w:cs="宋体"/>
          <w:color w:val="auto"/>
          <w:kern w:val="0"/>
          <w:szCs w:val="21"/>
          <w:highlight w:val="none"/>
          <w:lang w:eastAsia="zh-CN" w:bidi="ar"/>
        </w:rPr>
        <w:t>的服务考核评分</w:t>
      </w:r>
      <w:r>
        <w:rPr>
          <w:rFonts w:hint="eastAsia" w:ascii="宋体" w:hAnsi="宋体" w:eastAsia="宋体" w:cs="宋体"/>
          <w:color w:val="auto"/>
          <w:kern w:val="0"/>
          <w:szCs w:val="21"/>
          <w:highlight w:val="none"/>
          <w:lang w:val="en-US" w:eastAsia="zh-CN" w:bidi="ar"/>
        </w:rPr>
        <w:t>折算后</w:t>
      </w:r>
      <w:r>
        <w:rPr>
          <w:rFonts w:hint="eastAsia" w:ascii="宋体" w:hAnsi="宋体" w:eastAsia="宋体" w:cs="宋体"/>
          <w:color w:val="auto"/>
          <w:kern w:val="0"/>
          <w:szCs w:val="21"/>
          <w:highlight w:val="none"/>
          <w:lang w:eastAsia="zh-CN" w:bidi="ar"/>
        </w:rPr>
        <w:t>不足90</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eastAsia="zh-CN" w:bidi="ar"/>
        </w:rPr>
        <w:t>的，该月实际支付的服务费=该月应支付服务费×（</w:t>
      </w:r>
      <w:r>
        <w:rPr>
          <w:rFonts w:hint="eastAsia" w:ascii="宋体" w:hAnsi="宋体" w:eastAsia="宋体" w:cs="宋体"/>
          <w:color w:val="auto"/>
          <w:kern w:val="0"/>
          <w:szCs w:val="21"/>
          <w:highlight w:val="none"/>
          <w:lang w:val="en-US" w:eastAsia="zh-CN" w:bidi="ar"/>
        </w:rPr>
        <w:t>折算分数/100</w:t>
      </w:r>
      <w:r>
        <w:rPr>
          <w:rFonts w:hint="eastAsia" w:ascii="宋体" w:hAnsi="宋体" w:eastAsia="宋体" w:cs="宋体"/>
          <w:color w:val="auto"/>
          <w:kern w:val="0"/>
          <w:szCs w:val="21"/>
          <w:highlight w:val="none"/>
          <w:lang w:eastAsia="zh-CN" w:bidi="ar"/>
        </w:rPr>
        <w:t>）；如发现累计两个月</w:t>
      </w:r>
      <w:r>
        <w:rPr>
          <w:rFonts w:hint="eastAsia" w:ascii="宋体" w:hAnsi="宋体" w:eastAsia="宋体" w:cs="宋体"/>
          <w:color w:val="auto"/>
          <w:kern w:val="0"/>
          <w:szCs w:val="21"/>
          <w:highlight w:val="none"/>
          <w:lang w:val="en-US" w:eastAsia="zh-CN" w:bidi="ar"/>
        </w:rPr>
        <w:t>折算后</w:t>
      </w:r>
      <w:r>
        <w:rPr>
          <w:rFonts w:hint="eastAsia" w:ascii="宋体" w:hAnsi="宋体" w:eastAsia="宋体" w:cs="宋体"/>
          <w:color w:val="auto"/>
          <w:kern w:val="0"/>
          <w:szCs w:val="21"/>
          <w:highlight w:val="none"/>
          <w:lang w:eastAsia="zh-CN" w:bidi="ar"/>
        </w:rPr>
        <w:t>未达到60</w:t>
      </w:r>
      <w:r>
        <w:rPr>
          <w:rFonts w:hint="eastAsia" w:ascii="宋体" w:hAnsi="宋体" w:eastAsia="宋体" w:cs="宋体"/>
          <w:color w:val="auto"/>
          <w:kern w:val="0"/>
          <w:szCs w:val="21"/>
          <w:highlight w:val="none"/>
          <w:lang w:val="en-US" w:eastAsia="zh-CN" w:bidi="ar"/>
        </w:rPr>
        <w:t>%</w:t>
      </w:r>
      <w:r>
        <w:rPr>
          <w:rFonts w:hint="eastAsia" w:ascii="宋体" w:hAnsi="宋体" w:eastAsia="宋体" w:cs="宋体"/>
          <w:color w:val="auto"/>
          <w:kern w:val="0"/>
          <w:szCs w:val="21"/>
          <w:highlight w:val="none"/>
          <w:lang w:eastAsia="zh-CN" w:bidi="ar"/>
        </w:rPr>
        <w:t>时，且</w:t>
      </w:r>
      <w:r>
        <w:rPr>
          <w:rFonts w:hint="eastAsia" w:ascii="宋体" w:hAnsi="宋体" w:eastAsia="宋体" w:cs="宋体"/>
          <w:color w:val="auto"/>
          <w:kern w:val="0"/>
          <w:szCs w:val="21"/>
          <w:highlight w:val="none"/>
          <w:lang w:val="en-US" w:eastAsia="zh-CN" w:bidi="ar"/>
        </w:rPr>
        <w:t>服务单位</w:t>
      </w:r>
      <w:r>
        <w:rPr>
          <w:rFonts w:hint="eastAsia" w:ascii="宋体" w:hAnsi="宋体" w:eastAsia="宋体" w:cs="宋体"/>
          <w:color w:val="auto"/>
          <w:kern w:val="0"/>
          <w:szCs w:val="21"/>
          <w:highlight w:val="none"/>
          <w:lang w:eastAsia="zh-CN" w:bidi="ar"/>
        </w:rPr>
        <w:t>没有提供令</w:t>
      </w:r>
      <w:r>
        <w:rPr>
          <w:rFonts w:hint="eastAsia" w:ascii="宋体" w:hAnsi="宋体" w:eastAsia="宋体" w:cs="宋体"/>
          <w:color w:val="auto"/>
          <w:kern w:val="0"/>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Cs w:val="21"/>
          <w:highlight w:val="none"/>
          <w:lang w:eastAsia="zh-CN" w:bidi="ar"/>
        </w:rPr>
        <w:t>认可的整改方案的，</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eastAsia="zh-CN" w:bidi="ar"/>
        </w:rPr>
        <w:t>有权单方解除合同。</w:t>
      </w:r>
      <w:r>
        <w:rPr>
          <w:rFonts w:hint="eastAsia" w:ascii="宋体" w:hAnsi="宋体" w:eastAsia="宋体" w:cs="宋体"/>
          <w:color w:val="auto"/>
          <w:kern w:val="0"/>
          <w:sz w:val="24"/>
          <w:szCs w:val="24"/>
          <w:highlight w:val="none"/>
          <w:lang w:bidi="ar"/>
        </w:rPr>
        <w:br w:type="page"/>
      </w:r>
    </w:p>
    <w:p w14:paraId="5E32E56F">
      <w:pPr>
        <w:autoSpaceDE w:val="0"/>
        <w:autoSpaceDN w:val="0"/>
        <w:adjustRightInd w:val="0"/>
        <w:spacing w:line="360" w:lineRule="auto"/>
        <w:jc w:val="center"/>
        <w:outlineLvl w:val="2"/>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val="en-US" w:eastAsia="zh-CN" w:bidi="ar"/>
        </w:rPr>
        <w:t>2</w:t>
      </w:r>
      <w:r>
        <w:rPr>
          <w:rFonts w:hint="eastAsia" w:ascii="宋体" w:hAnsi="宋体" w:eastAsia="宋体" w:cs="宋体"/>
          <w:b/>
          <w:color w:val="auto"/>
          <w:kern w:val="0"/>
          <w:szCs w:val="21"/>
          <w:highlight w:val="none"/>
          <w:lang w:bidi="ar"/>
        </w:rPr>
        <w:t>.2《</w:t>
      </w:r>
      <w:r>
        <w:rPr>
          <w:rFonts w:hint="eastAsia" w:ascii="宋体" w:hAnsi="宋体" w:eastAsia="宋体" w:cs="宋体"/>
          <w:b/>
          <w:color w:val="auto"/>
          <w:kern w:val="0"/>
          <w:szCs w:val="21"/>
          <w:highlight w:val="none"/>
          <w:lang w:eastAsia="zh-CN" w:bidi="ar"/>
        </w:rPr>
        <w:t>东莞市水务环境投资控股集团供水有限公司</w:t>
      </w:r>
      <w:r>
        <w:rPr>
          <w:rFonts w:hint="eastAsia" w:ascii="宋体" w:hAnsi="宋体" w:eastAsia="宋体" w:cs="宋体"/>
          <w:b/>
          <w:color w:val="auto"/>
          <w:kern w:val="0"/>
          <w:szCs w:val="21"/>
          <w:highlight w:val="none"/>
          <w:lang w:bidi="ar"/>
        </w:rPr>
        <w:t>清洁保洁、绿化养护、除“四害”及灭蚁防治考核评分标准（适用于包含水面清洁、池壁清洁项目）》</w:t>
      </w:r>
    </w:p>
    <w:tbl>
      <w:tblPr>
        <w:tblStyle w:val="37"/>
        <w:tblW w:w="4960" w:type="pct"/>
        <w:jc w:val="center"/>
        <w:tblLayout w:type="autofit"/>
        <w:tblCellMar>
          <w:top w:w="0" w:type="dxa"/>
          <w:left w:w="108" w:type="dxa"/>
          <w:bottom w:w="0" w:type="dxa"/>
          <w:right w:w="108" w:type="dxa"/>
        </w:tblCellMar>
      </w:tblPr>
      <w:tblGrid>
        <w:gridCol w:w="785"/>
        <w:gridCol w:w="999"/>
        <w:gridCol w:w="1440"/>
        <w:gridCol w:w="2518"/>
        <w:gridCol w:w="1739"/>
        <w:gridCol w:w="882"/>
        <w:gridCol w:w="744"/>
        <w:gridCol w:w="784"/>
      </w:tblGrid>
      <w:tr w14:paraId="6FD533E3">
        <w:tblPrEx>
          <w:tblCellMar>
            <w:top w:w="0" w:type="dxa"/>
            <w:left w:w="108" w:type="dxa"/>
            <w:bottom w:w="0" w:type="dxa"/>
            <w:right w:w="108" w:type="dxa"/>
          </w:tblCellMar>
        </w:tblPrEx>
        <w:trPr>
          <w:trHeight w:val="413"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7185F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50CE6E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现场考核</w:t>
            </w:r>
          </w:p>
        </w:tc>
        <w:tc>
          <w:tcPr>
            <w:tcW w:w="879" w:type="pct"/>
            <w:vMerge w:val="restart"/>
            <w:tcBorders>
              <w:top w:val="single" w:color="000000" w:sz="4" w:space="0"/>
              <w:left w:val="single" w:color="000000" w:sz="4" w:space="0"/>
              <w:right w:val="single" w:color="000000" w:sz="4" w:space="0"/>
            </w:tcBorders>
            <w:shd w:val="clear" w:color="auto" w:fill="auto"/>
            <w:vAlign w:val="center"/>
          </w:tcPr>
          <w:p w14:paraId="204707A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扣分办法</w:t>
            </w:r>
          </w:p>
        </w:tc>
        <w:tc>
          <w:tcPr>
            <w:tcW w:w="444" w:type="pct"/>
            <w:vMerge w:val="restart"/>
            <w:tcBorders>
              <w:top w:val="single" w:color="000000" w:sz="4" w:space="0"/>
              <w:left w:val="single" w:color="000000" w:sz="4" w:space="0"/>
              <w:right w:val="single" w:color="000000" w:sz="4" w:space="0"/>
            </w:tcBorders>
            <w:shd w:val="clear" w:color="auto" w:fill="auto"/>
            <w:vAlign w:val="center"/>
          </w:tcPr>
          <w:p w14:paraId="250A60E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应得分</w:t>
            </w:r>
          </w:p>
        </w:tc>
        <w:tc>
          <w:tcPr>
            <w:tcW w:w="376" w:type="pct"/>
            <w:vMerge w:val="restart"/>
            <w:tcBorders>
              <w:top w:val="single" w:color="000000" w:sz="4" w:space="0"/>
              <w:left w:val="single" w:color="000000" w:sz="4" w:space="0"/>
              <w:right w:val="single" w:color="000000" w:sz="4" w:space="0"/>
            </w:tcBorders>
            <w:shd w:val="clear" w:color="auto" w:fill="auto"/>
            <w:vAlign w:val="center"/>
          </w:tcPr>
          <w:p w14:paraId="5CE8E33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检查扣分</w:t>
            </w:r>
          </w:p>
        </w:tc>
        <w:tc>
          <w:tcPr>
            <w:tcW w:w="395" w:type="pct"/>
            <w:vMerge w:val="restart"/>
            <w:tcBorders>
              <w:top w:val="single" w:color="000000" w:sz="4" w:space="0"/>
              <w:left w:val="single" w:color="000000" w:sz="4" w:space="0"/>
              <w:right w:val="single" w:color="000000" w:sz="4" w:space="0"/>
            </w:tcBorders>
            <w:shd w:val="clear" w:color="auto" w:fill="auto"/>
            <w:vAlign w:val="center"/>
          </w:tcPr>
          <w:p w14:paraId="46E3A74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实得分</w:t>
            </w:r>
          </w:p>
        </w:tc>
      </w:tr>
      <w:tr w14:paraId="4911CE55">
        <w:tblPrEx>
          <w:tblCellMar>
            <w:top w:w="0" w:type="dxa"/>
            <w:left w:w="108" w:type="dxa"/>
            <w:bottom w:w="0" w:type="dxa"/>
            <w:right w:w="108" w:type="dxa"/>
          </w:tblCellMar>
        </w:tblPrEx>
        <w:trPr>
          <w:trHeight w:val="451"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8E9B14">
            <w:pPr>
              <w:jc w:val="center"/>
              <w:rPr>
                <w:rFonts w:ascii="宋体" w:hAnsi="宋体" w:eastAsia="宋体" w:cs="宋体"/>
                <w:color w:val="auto"/>
                <w:szCs w:val="21"/>
                <w:highlight w:val="none"/>
              </w:rPr>
            </w:pP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18BC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满分值</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47229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6F9A8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评价依据及检查方法</w:t>
            </w:r>
          </w:p>
        </w:tc>
        <w:tc>
          <w:tcPr>
            <w:tcW w:w="879" w:type="pct"/>
            <w:vMerge w:val="continue"/>
            <w:tcBorders>
              <w:left w:val="single" w:color="000000" w:sz="4" w:space="0"/>
              <w:right w:val="single" w:color="000000" w:sz="4" w:space="0"/>
            </w:tcBorders>
            <w:shd w:val="clear" w:color="auto" w:fill="auto"/>
            <w:vAlign w:val="center"/>
          </w:tcPr>
          <w:p w14:paraId="0F2FF526">
            <w:pPr>
              <w:jc w:val="center"/>
              <w:rPr>
                <w:rFonts w:ascii="宋体" w:hAnsi="宋体" w:eastAsia="宋体" w:cs="宋体"/>
                <w:color w:val="auto"/>
                <w:szCs w:val="21"/>
                <w:highlight w:val="none"/>
              </w:rPr>
            </w:pPr>
          </w:p>
        </w:tc>
        <w:tc>
          <w:tcPr>
            <w:tcW w:w="444" w:type="pct"/>
            <w:vMerge w:val="continue"/>
            <w:tcBorders>
              <w:left w:val="single" w:color="000000" w:sz="4" w:space="0"/>
              <w:right w:val="single" w:color="000000" w:sz="4" w:space="0"/>
            </w:tcBorders>
            <w:shd w:val="clear" w:color="auto" w:fill="auto"/>
            <w:vAlign w:val="center"/>
          </w:tcPr>
          <w:p w14:paraId="3546458D">
            <w:pPr>
              <w:jc w:val="center"/>
              <w:rPr>
                <w:rFonts w:ascii="宋体" w:hAnsi="宋体" w:eastAsia="宋体" w:cs="宋体"/>
                <w:color w:val="auto"/>
                <w:szCs w:val="21"/>
                <w:highlight w:val="none"/>
              </w:rPr>
            </w:pPr>
          </w:p>
        </w:tc>
        <w:tc>
          <w:tcPr>
            <w:tcW w:w="376" w:type="pct"/>
            <w:vMerge w:val="continue"/>
            <w:tcBorders>
              <w:left w:val="single" w:color="000000" w:sz="4" w:space="0"/>
              <w:right w:val="single" w:color="000000" w:sz="4" w:space="0"/>
            </w:tcBorders>
            <w:shd w:val="clear" w:color="auto" w:fill="auto"/>
            <w:vAlign w:val="center"/>
          </w:tcPr>
          <w:p w14:paraId="3089ABB9">
            <w:pPr>
              <w:jc w:val="center"/>
              <w:rPr>
                <w:rFonts w:ascii="宋体" w:hAnsi="宋体" w:eastAsia="宋体" w:cs="宋体"/>
                <w:color w:val="auto"/>
                <w:szCs w:val="21"/>
                <w:highlight w:val="none"/>
              </w:rPr>
            </w:pPr>
          </w:p>
        </w:tc>
        <w:tc>
          <w:tcPr>
            <w:tcW w:w="395" w:type="pct"/>
            <w:vMerge w:val="continue"/>
            <w:tcBorders>
              <w:left w:val="single" w:color="000000" w:sz="4" w:space="0"/>
              <w:right w:val="single" w:color="000000" w:sz="4" w:space="0"/>
            </w:tcBorders>
            <w:shd w:val="clear" w:color="auto" w:fill="auto"/>
            <w:vAlign w:val="center"/>
          </w:tcPr>
          <w:p w14:paraId="78906EDD">
            <w:pPr>
              <w:jc w:val="center"/>
              <w:rPr>
                <w:rFonts w:ascii="宋体" w:hAnsi="宋体" w:eastAsia="宋体" w:cs="宋体"/>
                <w:color w:val="auto"/>
                <w:szCs w:val="21"/>
                <w:highlight w:val="none"/>
              </w:rPr>
            </w:pPr>
          </w:p>
        </w:tc>
      </w:tr>
      <w:tr w14:paraId="2A8883E7">
        <w:tblPrEx>
          <w:tblCellMar>
            <w:top w:w="0" w:type="dxa"/>
            <w:left w:w="108" w:type="dxa"/>
            <w:bottom w:w="0" w:type="dxa"/>
            <w:right w:w="108" w:type="dxa"/>
          </w:tblCellMar>
        </w:tblPrEx>
        <w:trPr>
          <w:trHeight w:val="780"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4F945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453AA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15分</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B4FEC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日常制度</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D3884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对</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提出的问题，需按要求及时整改反馈。</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166C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没及时整改处理的，每次扣1分，扣完为止。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8076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25C467">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34AF">
            <w:pPr>
              <w:jc w:val="center"/>
              <w:rPr>
                <w:rFonts w:ascii="宋体" w:hAnsi="宋体" w:eastAsia="宋体" w:cs="宋体"/>
                <w:color w:val="auto"/>
                <w:szCs w:val="21"/>
                <w:highlight w:val="none"/>
              </w:rPr>
            </w:pPr>
          </w:p>
        </w:tc>
      </w:tr>
      <w:tr w14:paraId="70DE440F">
        <w:tblPrEx>
          <w:tblCellMar>
            <w:top w:w="0" w:type="dxa"/>
            <w:left w:w="108" w:type="dxa"/>
            <w:bottom w:w="0" w:type="dxa"/>
            <w:right w:w="108" w:type="dxa"/>
          </w:tblCellMar>
        </w:tblPrEx>
        <w:trPr>
          <w:trHeight w:val="78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294144">
            <w:pPr>
              <w:jc w:val="center"/>
              <w:rPr>
                <w:rFonts w:ascii="宋体" w:hAnsi="宋体" w:eastAsia="宋体" w:cs="宋体"/>
                <w:color w:val="auto"/>
                <w:szCs w:val="21"/>
                <w:highlight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930256">
            <w:pPr>
              <w:jc w:val="center"/>
              <w:rPr>
                <w:rFonts w:ascii="宋体" w:hAnsi="宋体" w:eastAsia="宋体" w:cs="宋体"/>
                <w:color w:val="auto"/>
                <w:szCs w:val="21"/>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434B07">
            <w:pPr>
              <w:jc w:val="center"/>
              <w:rPr>
                <w:rFonts w:ascii="宋体" w:hAnsi="宋体" w:eastAsia="宋体" w:cs="宋体"/>
                <w:color w:val="auto"/>
                <w:szCs w:val="21"/>
                <w:highlight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CD14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穿统一工作服，不能出现如穿拖鞋、</w:t>
            </w:r>
            <w:r>
              <w:rPr>
                <w:rFonts w:hint="eastAsia" w:ascii="宋体" w:hAnsi="宋体" w:eastAsia="宋体" w:cs="宋体"/>
                <w:color w:val="auto"/>
                <w:kern w:val="0"/>
                <w:szCs w:val="21"/>
                <w:highlight w:val="none"/>
                <w:lang w:val="en-US" w:eastAsia="zh-CN" w:bidi="ar"/>
              </w:rPr>
              <w:t>高跟鞋、着装</w:t>
            </w:r>
            <w:r>
              <w:rPr>
                <w:rFonts w:hint="eastAsia" w:ascii="宋体" w:hAnsi="宋体" w:eastAsia="宋体" w:cs="宋体"/>
                <w:color w:val="auto"/>
                <w:kern w:val="0"/>
                <w:szCs w:val="21"/>
                <w:highlight w:val="none"/>
                <w:lang w:bidi="ar"/>
              </w:rPr>
              <w:t>不整齐者</w:t>
            </w:r>
            <w:r>
              <w:rPr>
                <w:rFonts w:hint="eastAsia" w:ascii="宋体" w:hAnsi="宋体" w:eastAsia="宋体" w:cs="宋体"/>
                <w:color w:val="auto"/>
                <w:kern w:val="0"/>
                <w:szCs w:val="21"/>
                <w:highlight w:val="none"/>
                <w:lang w:val="en-US" w:eastAsia="zh-CN" w:bidi="ar"/>
              </w:rPr>
              <w:t>等</w:t>
            </w:r>
            <w:r>
              <w:rPr>
                <w:rFonts w:hint="eastAsia" w:ascii="宋体" w:hAnsi="宋体" w:eastAsia="宋体" w:cs="宋体"/>
                <w:color w:val="auto"/>
                <w:kern w:val="0"/>
                <w:szCs w:val="21"/>
                <w:highlight w:val="none"/>
                <w:lang w:bidi="ar"/>
              </w:rPr>
              <w:t>。</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D6B02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未按要求</w:t>
            </w:r>
            <w:r>
              <w:rPr>
                <w:rFonts w:hint="eastAsia" w:ascii="宋体" w:hAnsi="宋体" w:eastAsia="宋体" w:cs="宋体"/>
                <w:color w:val="auto"/>
                <w:kern w:val="0"/>
                <w:szCs w:val="21"/>
                <w:highlight w:val="none"/>
                <w:lang w:bidi="ar"/>
              </w:rPr>
              <w:t>着装者，每人次扣1分，扣完为止。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43A9E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B1F53">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3FDEA">
            <w:pPr>
              <w:jc w:val="center"/>
              <w:rPr>
                <w:rFonts w:ascii="宋体" w:hAnsi="宋体" w:eastAsia="宋体" w:cs="宋体"/>
                <w:color w:val="auto"/>
                <w:szCs w:val="21"/>
                <w:highlight w:val="none"/>
              </w:rPr>
            </w:pPr>
          </w:p>
        </w:tc>
      </w:tr>
      <w:tr w14:paraId="673D37EB">
        <w:tblPrEx>
          <w:tblCellMar>
            <w:top w:w="0" w:type="dxa"/>
            <w:left w:w="108" w:type="dxa"/>
            <w:bottom w:w="0" w:type="dxa"/>
            <w:right w:w="108" w:type="dxa"/>
          </w:tblCellMar>
        </w:tblPrEx>
        <w:trPr>
          <w:trHeight w:val="525"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FF0345">
            <w:pPr>
              <w:jc w:val="center"/>
              <w:rPr>
                <w:rFonts w:ascii="宋体" w:hAnsi="宋体" w:eastAsia="宋体" w:cs="宋体"/>
                <w:color w:val="auto"/>
                <w:szCs w:val="21"/>
                <w:highlight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AFC81E">
            <w:pPr>
              <w:jc w:val="center"/>
              <w:rPr>
                <w:rFonts w:ascii="宋体" w:hAnsi="宋体" w:eastAsia="宋体" w:cs="宋体"/>
                <w:color w:val="auto"/>
                <w:szCs w:val="21"/>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055E93">
            <w:pPr>
              <w:jc w:val="center"/>
              <w:rPr>
                <w:rFonts w:ascii="宋体" w:hAnsi="宋体" w:eastAsia="宋体" w:cs="宋体"/>
                <w:color w:val="auto"/>
                <w:szCs w:val="21"/>
                <w:highlight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958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现场负责人要向</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对应管理部门书面请假批准后才能离岗。</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D2FC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擅自离岗者，每人次扣1分,扣完为止。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A22C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9625">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FF54">
            <w:pPr>
              <w:jc w:val="center"/>
              <w:rPr>
                <w:rFonts w:ascii="宋体" w:hAnsi="宋体" w:eastAsia="宋体" w:cs="宋体"/>
                <w:color w:val="auto"/>
                <w:szCs w:val="21"/>
                <w:highlight w:val="none"/>
              </w:rPr>
            </w:pPr>
          </w:p>
        </w:tc>
      </w:tr>
      <w:tr w14:paraId="68E4018F">
        <w:tblPrEx>
          <w:tblCellMar>
            <w:top w:w="0" w:type="dxa"/>
            <w:left w:w="108" w:type="dxa"/>
            <w:bottom w:w="0" w:type="dxa"/>
            <w:right w:w="108" w:type="dxa"/>
          </w:tblCellMar>
        </w:tblPrEx>
        <w:trPr>
          <w:trHeight w:val="1005"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2BCA4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083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35</w:t>
            </w:r>
            <w:r>
              <w:rPr>
                <w:rFonts w:hint="eastAsia" w:ascii="宋体" w:hAnsi="宋体" w:eastAsia="宋体" w:cs="宋体"/>
                <w:color w:val="auto"/>
                <w:kern w:val="0"/>
                <w:szCs w:val="21"/>
                <w:highlight w:val="none"/>
                <w:lang w:bidi="ar"/>
              </w:rPr>
              <w:t>分</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5487D1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厂区路面、生产车间地面、停车场、运动场及公共广场</w:t>
            </w:r>
          </w:p>
        </w:tc>
        <w:tc>
          <w:tcPr>
            <w:tcW w:w="127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AAEF1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保持清洁，无纸屑、塑膜、烟头、污泥、积砂（土）等。生产车间地面以上4米内无蜘蛛网。警示牌、宣传栏做到无积尘、污渍和蜘蛛网。</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5706A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每50平方米范围内超过5个的，每超过1个扣0.5分，扣完为止。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4D42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D73F0E">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67ABD">
            <w:pPr>
              <w:jc w:val="center"/>
              <w:rPr>
                <w:rFonts w:ascii="宋体" w:hAnsi="宋体" w:eastAsia="宋体" w:cs="宋体"/>
                <w:color w:val="auto"/>
                <w:szCs w:val="21"/>
                <w:highlight w:val="none"/>
              </w:rPr>
            </w:pPr>
          </w:p>
        </w:tc>
      </w:tr>
      <w:tr w14:paraId="26CD9B74">
        <w:tblPrEx>
          <w:tblCellMar>
            <w:top w:w="0" w:type="dxa"/>
            <w:left w:w="108" w:type="dxa"/>
            <w:bottom w:w="0" w:type="dxa"/>
            <w:right w:w="108" w:type="dxa"/>
          </w:tblCellMar>
        </w:tblPrEx>
        <w:trPr>
          <w:trHeight w:val="78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2E13B8">
            <w:pPr>
              <w:jc w:val="center"/>
              <w:rPr>
                <w:rFonts w:ascii="宋体" w:hAnsi="宋体" w:eastAsia="宋体" w:cs="宋体"/>
                <w:color w:val="auto"/>
                <w:szCs w:val="21"/>
                <w:highlight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2DCD04">
            <w:pPr>
              <w:jc w:val="center"/>
              <w:rPr>
                <w:rFonts w:ascii="宋体" w:hAnsi="宋体" w:eastAsia="宋体" w:cs="宋体"/>
                <w:color w:val="auto"/>
                <w:szCs w:val="21"/>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5E74DA">
            <w:pPr>
              <w:jc w:val="center"/>
              <w:rPr>
                <w:rFonts w:ascii="宋体" w:hAnsi="宋体" w:eastAsia="宋体" w:cs="宋体"/>
                <w:color w:val="auto"/>
                <w:szCs w:val="21"/>
                <w:highlight w:val="none"/>
              </w:rPr>
            </w:pPr>
          </w:p>
        </w:tc>
        <w:tc>
          <w:tcPr>
            <w:tcW w:w="127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79F3C">
            <w:pPr>
              <w:jc w:val="left"/>
              <w:rPr>
                <w:rFonts w:ascii="宋体" w:hAnsi="宋体" w:eastAsia="宋体" w:cs="宋体"/>
                <w:color w:val="auto"/>
                <w:szCs w:val="21"/>
                <w:highlight w:val="none"/>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0A9D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积尘、污渍或蜘蛛网的，每处扣1分，扣完为止。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A6B24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DB68A2">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E9201">
            <w:pPr>
              <w:jc w:val="center"/>
              <w:rPr>
                <w:rFonts w:ascii="宋体" w:hAnsi="宋体" w:eastAsia="宋体" w:cs="宋体"/>
                <w:color w:val="auto"/>
                <w:szCs w:val="21"/>
                <w:highlight w:val="none"/>
              </w:rPr>
            </w:pPr>
          </w:p>
        </w:tc>
      </w:tr>
      <w:tr w14:paraId="19A9454A">
        <w:tblPrEx>
          <w:tblCellMar>
            <w:top w:w="0" w:type="dxa"/>
            <w:left w:w="108" w:type="dxa"/>
            <w:bottom w:w="0" w:type="dxa"/>
            <w:right w:w="108" w:type="dxa"/>
          </w:tblCellMar>
        </w:tblPrEx>
        <w:trPr>
          <w:trHeight w:val="1545"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7B02E5">
            <w:pPr>
              <w:jc w:val="center"/>
              <w:rPr>
                <w:rFonts w:ascii="宋体" w:hAnsi="宋体" w:eastAsia="宋体" w:cs="宋体"/>
                <w:color w:val="auto"/>
                <w:szCs w:val="21"/>
                <w:highlight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EEA0B0">
            <w:pPr>
              <w:jc w:val="center"/>
              <w:rPr>
                <w:rFonts w:ascii="宋体" w:hAnsi="宋体" w:eastAsia="宋体" w:cs="宋体"/>
                <w:color w:val="auto"/>
                <w:szCs w:val="21"/>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ED30BE">
            <w:pPr>
              <w:jc w:val="center"/>
              <w:rPr>
                <w:rFonts w:ascii="宋体" w:hAnsi="宋体" w:eastAsia="宋体" w:cs="宋体"/>
                <w:color w:val="auto"/>
                <w:szCs w:val="21"/>
                <w:highlight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A501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路边的果皮箱垃圾要及时清理。垃圾桶表面要经常清洁，做到干净无积尘。</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2AC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路边果皮箱内垃圾超过2/3的未及时清理，未更换垃圾袋的，或果皮箱表面有积尘污渍的，每个果皮箱扣0.5分，扣完为止。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EBCF6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E9531">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23D4D3">
            <w:pPr>
              <w:jc w:val="center"/>
              <w:rPr>
                <w:rFonts w:ascii="宋体" w:hAnsi="宋体" w:eastAsia="宋体" w:cs="宋体"/>
                <w:color w:val="auto"/>
                <w:szCs w:val="21"/>
                <w:highlight w:val="none"/>
              </w:rPr>
            </w:pPr>
          </w:p>
        </w:tc>
      </w:tr>
      <w:tr w14:paraId="51C87B15">
        <w:tblPrEx>
          <w:tblCellMar>
            <w:top w:w="0" w:type="dxa"/>
            <w:left w:w="108" w:type="dxa"/>
            <w:bottom w:w="0" w:type="dxa"/>
            <w:right w:w="108" w:type="dxa"/>
          </w:tblCellMar>
        </w:tblPrEx>
        <w:trPr>
          <w:trHeight w:val="1035"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46D544">
            <w:pPr>
              <w:jc w:val="center"/>
              <w:rPr>
                <w:rFonts w:ascii="宋体" w:hAnsi="宋体" w:eastAsia="宋体" w:cs="宋体"/>
                <w:color w:val="auto"/>
                <w:szCs w:val="21"/>
                <w:highlight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58675D">
            <w:pPr>
              <w:jc w:val="center"/>
              <w:rPr>
                <w:rFonts w:ascii="宋体" w:hAnsi="宋体" w:eastAsia="宋体" w:cs="宋体"/>
                <w:color w:val="auto"/>
                <w:szCs w:val="21"/>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2E7EDF">
            <w:pPr>
              <w:jc w:val="center"/>
              <w:rPr>
                <w:rFonts w:ascii="宋体" w:hAnsi="宋体" w:eastAsia="宋体" w:cs="宋体"/>
                <w:color w:val="auto"/>
                <w:szCs w:val="21"/>
                <w:highlight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0D572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雨水井、排水明渠的垃圾、杂物和泥沙每月清理一次，防止堵塞。</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E78D7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雨水井、排水明渠未按期清理干净的，每处扣0.5分，扣完为止。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5EB3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66BBD0">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2C5EA">
            <w:pPr>
              <w:jc w:val="center"/>
              <w:rPr>
                <w:rFonts w:ascii="宋体" w:hAnsi="宋体" w:eastAsia="宋体" w:cs="宋体"/>
                <w:color w:val="auto"/>
                <w:szCs w:val="21"/>
                <w:highlight w:val="none"/>
              </w:rPr>
            </w:pPr>
          </w:p>
        </w:tc>
      </w:tr>
      <w:tr w14:paraId="16DC00B9">
        <w:tblPrEx>
          <w:tblCellMar>
            <w:top w:w="0" w:type="dxa"/>
            <w:left w:w="108" w:type="dxa"/>
            <w:bottom w:w="0" w:type="dxa"/>
            <w:right w:w="108" w:type="dxa"/>
          </w:tblCellMar>
        </w:tblPrEx>
        <w:trPr>
          <w:trHeight w:val="1290" w:hRule="atLeast"/>
          <w:jc w:val="center"/>
        </w:trPr>
        <w:tc>
          <w:tcPr>
            <w:tcW w:w="39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2E4C04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50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2F5A1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30分</w:t>
            </w:r>
          </w:p>
        </w:tc>
        <w:tc>
          <w:tcPr>
            <w:tcW w:w="72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91DD2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生产区</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D40EF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生产区的垃圾桶每天清洗、消毒，并摆放整齐。每天上下班必须及时清理各个出渣口的垃圾，不得溢出桶外。</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FBF86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垃圾桶未及时清洗消毒的或未摆放好，或出渣口的垃圾下班前未及时清理的，每处扣0.5分，扣完为止。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6BC2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A177FC">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B31F5A">
            <w:pPr>
              <w:jc w:val="center"/>
              <w:rPr>
                <w:rFonts w:ascii="宋体" w:hAnsi="宋体" w:eastAsia="宋体" w:cs="宋体"/>
                <w:color w:val="auto"/>
                <w:szCs w:val="21"/>
                <w:highlight w:val="none"/>
              </w:rPr>
            </w:pPr>
          </w:p>
        </w:tc>
      </w:tr>
      <w:tr w14:paraId="24F96A72">
        <w:tblPrEx>
          <w:tblCellMar>
            <w:top w:w="0" w:type="dxa"/>
            <w:left w:w="108" w:type="dxa"/>
            <w:bottom w:w="0" w:type="dxa"/>
            <w:right w:w="108" w:type="dxa"/>
          </w:tblCellMar>
        </w:tblPrEx>
        <w:trPr>
          <w:trHeight w:val="74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12D3E">
            <w:pPr>
              <w:jc w:val="center"/>
              <w:rPr>
                <w:rFonts w:ascii="宋体" w:hAnsi="宋体" w:eastAsia="宋体" w:cs="宋体"/>
                <w:color w:val="auto"/>
                <w:szCs w:val="21"/>
                <w:highlight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F813CF">
            <w:pPr>
              <w:jc w:val="center"/>
              <w:rPr>
                <w:rFonts w:ascii="宋体" w:hAnsi="宋体" w:eastAsia="宋体" w:cs="宋体"/>
                <w:color w:val="auto"/>
                <w:szCs w:val="21"/>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6008B2">
            <w:pPr>
              <w:jc w:val="center"/>
              <w:rPr>
                <w:rFonts w:ascii="宋体" w:hAnsi="宋体" w:eastAsia="宋体" w:cs="宋体"/>
                <w:color w:val="auto"/>
                <w:szCs w:val="21"/>
                <w:highlight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BDFE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絮凝池、沉淀池、砂滤池、泵房等生产区的楼梯、护栏、走道板要经常清洁，保持干净无蜘蛛网、积尘。</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C41D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楼梯、护栏及走道板未及时清洁有蜘蛛网、积尘的，每处扣0.5分，扣完为止。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EC55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CDFE8">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346AB2">
            <w:pPr>
              <w:jc w:val="center"/>
              <w:rPr>
                <w:rFonts w:ascii="宋体" w:hAnsi="宋体" w:eastAsia="宋体" w:cs="宋体"/>
                <w:color w:val="auto"/>
                <w:szCs w:val="21"/>
                <w:highlight w:val="none"/>
              </w:rPr>
            </w:pPr>
          </w:p>
        </w:tc>
      </w:tr>
      <w:tr w14:paraId="25FA980C">
        <w:tblPrEx>
          <w:tblCellMar>
            <w:top w:w="0" w:type="dxa"/>
            <w:left w:w="108" w:type="dxa"/>
            <w:bottom w:w="0" w:type="dxa"/>
            <w:right w:w="108" w:type="dxa"/>
          </w:tblCellMar>
        </w:tblPrEx>
        <w:trPr>
          <w:trHeight w:val="1035"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68A323F">
            <w:pPr>
              <w:jc w:val="center"/>
              <w:rPr>
                <w:rFonts w:ascii="宋体" w:hAnsi="宋体" w:eastAsia="宋体" w:cs="宋体"/>
                <w:color w:val="auto"/>
                <w:szCs w:val="21"/>
                <w:highlight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831911">
            <w:pPr>
              <w:jc w:val="center"/>
              <w:rPr>
                <w:rFonts w:ascii="宋体" w:hAnsi="宋体" w:eastAsia="宋体" w:cs="宋体"/>
                <w:color w:val="auto"/>
                <w:szCs w:val="21"/>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BD04F1">
            <w:pPr>
              <w:jc w:val="center"/>
              <w:rPr>
                <w:rFonts w:ascii="宋体" w:hAnsi="宋体" w:eastAsia="宋体" w:cs="宋体"/>
                <w:color w:val="auto"/>
                <w:szCs w:val="21"/>
                <w:highlight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E2E4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絮凝池、沉淀池等池壁干净无附着的污泥、杂草等。</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7646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生化池池壁未及时清理，有堆积的污泥的，每5米扣0.5分，扣完为止。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1A34E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338F">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9C7FC7">
            <w:pPr>
              <w:jc w:val="center"/>
              <w:rPr>
                <w:rFonts w:ascii="宋体" w:hAnsi="宋体" w:eastAsia="宋体" w:cs="宋体"/>
                <w:color w:val="auto"/>
                <w:szCs w:val="21"/>
                <w:highlight w:val="none"/>
              </w:rPr>
            </w:pPr>
          </w:p>
        </w:tc>
      </w:tr>
      <w:tr w14:paraId="5FB7995D">
        <w:tblPrEx>
          <w:tblCellMar>
            <w:top w:w="0" w:type="dxa"/>
            <w:left w:w="108" w:type="dxa"/>
            <w:bottom w:w="0" w:type="dxa"/>
            <w:right w:w="108" w:type="dxa"/>
          </w:tblCellMar>
        </w:tblPrEx>
        <w:trPr>
          <w:trHeight w:val="1035"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47D7C4">
            <w:pPr>
              <w:jc w:val="center"/>
              <w:rPr>
                <w:rFonts w:ascii="宋体" w:hAnsi="宋体" w:eastAsia="宋体" w:cs="宋体"/>
                <w:color w:val="auto"/>
                <w:szCs w:val="21"/>
                <w:highlight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7B14E2">
            <w:pPr>
              <w:jc w:val="center"/>
              <w:rPr>
                <w:rFonts w:ascii="宋体" w:hAnsi="宋体" w:eastAsia="宋体" w:cs="宋体"/>
                <w:color w:val="auto"/>
                <w:szCs w:val="21"/>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C71AD9">
            <w:pPr>
              <w:jc w:val="center"/>
              <w:rPr>
                <w:rFonts w:ascii="宋体" w:hAnsi="宋体" w:eastAsia="宋体" w:cs="宋体"/>
                <w:color w:val="auto"/>
                <w:szCs w:val="21"/>
                <w:highlight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D8CB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清洁沉淀池集水槽、砂滤池等，要求无青苔、污泥等附着。</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F30D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沉淀池集水槽、砂滤池等有青苔、污泥的，每平方米扣1分，扣完为止。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44EF1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AD4D3A">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A542DF">
            <w:pPr>
              <w:jc w:val="center"/>
              <w:rPr>
                <w:rFonts w:ascii="宋体" w:hAnsi="宋体" w:eastAsia="宋体" w:cs="宋体"/>
                <w:color w:val="auto"/>
                <w:szCs w:val="21"/>
                <w:highlight w:val="none"/>
              </w:rPr>
            </w:pPr>
          </w:p>
        </w:tc>
      </w:tr>
      <w:tr w14:paraId="4247B8B3">
        <w:tblPrEx>
          <w:tblCellMar>
            <w:top w:w="0" w:type="dxa"/>
            <w:left w:w="108" w:type="dxa"/>
            <w:bottom w:w="0" w:type="dxa"/>
            <w:right w:w="108" w:type="dxa"/>
          </w:tblCellMar>
        </w:tblPrEx>
        <w:trPr>
          <w:trHeight w:val="78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AD63C22">
            <w:pPr>
              <w:jc w:val="center"/>
              <w:rPr>
                <w:rFonts w:ascii="宋体" w:hAnsi="宋体" w:eastAsia="宋体" w:cs="宋体"/>
                <w:color w:val="auto"/>
                <w:szCs w:val="21"/>
                <w:highlight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ED122F">
            <w:pPr>
              <w:jc w:val="center"/>
              <w:rPr>
                <w:rFonts w:ascii="宋体" w:hAnsi="宋体" w:eastAsia="宋体" w:cs="宋体"/>
                <w:color w:val="auto"/>
                <w:szCs w:val="21"/>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579CC2">
            <w:pPr>
              <w:jc w:val="center"/>
              <w:rPr>
                <w:rFonts w:ascii="宋体" w:hAnsi="宋体" w:eastAsia="宋体" w:cs="宋体"/>
                <w:color w:val="auto"/>
                <w:szCs w:val="21"/>
                <w:highlight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FCC8FE">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排泥车支架应无蜘蛛网、水藻附着。</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F2EB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排泥车护栏有蜘蛛网、水藻的，每2米扣0.5分，扣完为止。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BB09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10309">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D89E91">
            <w:pPr>
              <w:jc w:val="center"/>
              <w:rPr>
                <w:rFonts w:ascii="宋体" w:hAnsi="宋体" w:eastAsia="宋体" w:cs="宋体"/>
                <w:color w:val="auto"/>
                <w:szCs w:val="21"/>
                <w:highlight w:val="none"/>
              </w:rPr>
            </w:pPr>
          </w:p>
        </w:tc>
      </w:tr>
      <w:tr w14:paraId="7E005156">
        <w:tblPrEx>
          <w:tblCellMar>
            <w:top w:w="0" w:type="dxa"/>
            <w:left w:w="108" w:type="dxa"/>
            <w:bottom w:w="0" w:type="dxa"/>
            <w:right w:w="108" w:type="dxa"/>
          </w:tblCellMar>
        </w:tblPrEx>
        <w:trPr>
          <w:trHeight w:val="780" w:hRule="atLeast"/>
          <w:jc w:val="center"/>
        </w:trPr>
        <w:tc>
          <w:tcPr>
            <w:tcW w:w="39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13B0E">
            <w:pPr>
              <w:jc w:val="center"/>
              <w:rPr>
                <w:rFonts w:ascii="宋体" w:hAnsi="宋体" w:eastAsia="宋体" w:cs="宋体"/>
                <w:color w:val="auto"/>
                <w:szCs w:val="21"/>
                <w:highlight w:val="none"/>
              </w:rPr>
            </w:pPr>
          </w:p>
        </w:tc>
        <w:tc>
          <w:tcPr>
            <w:tcW w:w="50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E63E47">
            <w:pPr>
              <w:jc w:val="center"/>
              <w:rPr>
                <w:rFonts w:ascii="宋体" w:hAnsi="宋体" w:eastAsia="宋体" w:cs="宋体"/>
                <w:color w:val="auto"/>
                <w:szCs w:val="21"/>
                <w:highlight w:val="none"/>
              </w:rPr>
            </w:pPr>
          </w:p>
        </w:tc>
        <w:tc>
          <w:tcPr>
            <w:tcW w:w="72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98FBDA">
            <w:pPr>
              <w:jc w:val="center"/>
              <w:rPr>
                <w:rFonts w:ascii="宋体" w:hAnsi="宋体" w:eastAsia="宋体" w:cs="宋体"/>
                <w:color w:val="auto"/>
                <w:szCs w:val="21"/>
                <w:highlight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4DDE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排水槽要保持干净无垃圾。</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4B8E2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排水槽内有垃圾、杂物的，每个垃圾扣0.2分，扣完为止。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5261B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8F253F">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EAA70B">
            <w:pPr>
              <w:jc w:val="center"/>
              <w:rPr>
                <w:rFonts w:ascii="宋体" w:hAnsi="宋体" w:eastAsia="宋体" w:cs="宋体"/>
                <w:color w:val="auto"/>
                <w:szCs w:val="21"/>
                <w:highlight w:val="none"/>
              </w:rPr>
            </w:pPr>
          </w:p>
        </w:tc>
      </w:tr>
      <w:tr w14:paraId="67D13613">
        <w:tblPrEx>
          <w:tblCellMar>
            <w:top w:w="0" w:type="dxa"/>
            <w:left w:w="108" w:type="dxa"/>
            <w:bottom w:w="0" w:type="dxa"/>
            <w:right w:w="108" w:type="dxa"/>
          </w:tblCellMar>
        </w:tblPrEx>
        <w:trPr>
          <w:trHeight w:val="1035" w:hRule="atLeast"/>
          <w:jc w:val="center"/>
        </w:trPr>
        <w:tc>
          <w:tcPr>
            <w:tcW w:w="397" w:type="pct"/>
            <w:vMerge w:val="restart"/>
            <w:tcBorders>
              <w:top w:val="single" w:color="000000" w:sz="4" w:space="0"/>
              <w:left w:val="single" w:color="000000" w:sz="4" w:space="0"/>
              <w:right w:val="single" w:color="000000" w:sz="4" w:space="0"/>
            </w:tcBorders>
            <w:shd w:val="clear" w:color="auto" w:fill="auto"/>
            <w:vAlign w:val="center"/>
          </w:tcPr>
          <w:p w14:paraId="656139B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504" w:type="pct"/>
            <w:vMerge w:val="restart"/>
            <w:tcBorders>
              <w:top w:val="single" w:color="000000" w:sz="4" w:space="0"/>
              <w:left w:val="single" w:color="000000" w:sz="4" w:space="0"/>
              <w:right w:val="single" w:color="000000" w:sz="4" w:space="0"/>
            </w:tcBorders>
            <w:shd w:val="clear" w:color="auto" w:fill="auto"/>
            <w:vAlign w:val="center"/>
          </w:tcPr>
          <w:p w14:paraId="4A1E254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分</w:t>
            </w:r>
          </w:p>
        </w:tc>
        <w:tc>
          <w:tcPr>
            <w:tcW w:w="728" w:type="pct"/>
            <w:vMerge w:val="restart"/>
            <w:tcBorders>
              <w:top w:val="single" w:color="000000" w:sz="4" w:space="0"/>
              <w:left w:val="single" w:color="000000" w:sz="4" w:space="0"/>
              <w:right w:val="single" w:color="000000" w:sz="4" w:space="0"/>
            </w:tcBorders>
            <w:shd w:val="clear" w:color="auto" w:fill="auto"/>
            <w:vAlign w:val="center"/>
          </w:tcPr>
          <w:p w14:paraId="190ACA8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保洁人员</w:t>
            </w:r>
          </w:p>
        </w:tc>
        <w:tc>
          <w:tcPr>
            <w:tcW w:w="1273" w:type="pct"/>
            <w:vMerge w:val="restart"/>
            <w:tcBorders>
              <w:top w:val="single" w:color="000000" w:sz="4" w:space="0"/>
              <w:left w:val="single" w:color="000000" w:sz="4" w:space="0"/>
              <w:right w:val="single" w:color="000000" w:sz="4" w:space="0"/>
            </w:tcBorders>
            <w:shd w:val="clear" w:color="auto" w:fill="auto"/>
            <w:vAlign w:val="center"/>
          </w:tcPr>
          <w:p w14:paraId="3556753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清理絮凝池、沉淀池等涉及水面的构筑物时必须穿救生衣，佩</w:t>
            </w:r>
            <w:r>
              <w:rPr>
                <w:rFonts w:hint="eastAsia" w:ascii="宋体" w:hAnsi="宋体" w:eastAsia="宋体" w:cs="宋体"/>
                <w:color w:val="auto"/>
                <w:kern w:val="0"/>
                <w:szCs w:val="21"/>
                <w:highlight w:val="none"/>
                <w:lang w:val="en-US" w:eastAsia="zh-CN" w:bidi="ar"/>
              </w:rPr>
              <w:t>戴</w:t>
            </w:r>
            <w:r>
              <w:rPr>
                <w:rFonts w:hint="eastAsia" w:ascii="宋体" w:hAnsi="宋体" w:eastAsia="宋体" w:cs="宋体"/>
                <w:color w:val="auto"/>
                <w:kern w:val="0"/>
                <w:szCs w:val="21"/>
                <w:highlight w:val="none"/>
                <w:lang w:bidi="ar"/>
              </w:rPr>
              <w:t>安全带以及其他劳动保护措施。严格落实2人或2人以上为一组进行协同作业，不能单独作业，并按要求做好危险作业交底工作。</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D9B30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在作业时未穿戴救生衣、安全带的，每次每人扣</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610C3">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A41826">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EC2EF1">
            <w:pPr>
              <w:jc w:val="center"/>
              <w:rPr>
                <w:rFonts w:ascii="宋体" w:hAnsi="宋体" w:eastAsia="宋体" w:cs="宋体"/>
                <w:color w:val="auto"/>
                <w:szCs w:val="21"/>
                <w:highlight w:val="none"/>
              </w:rPr>
            </w:pPr>
          </w:p>
        </w:tc>
      </w:tr>
      <w:tr w14:paraId="330A37EF">
        <w:tblPrEx>
          <w:tblCellMar>
            <w:top w:w="0" w:type="dxa"/>
            <w:left w:w="108" w:type="dxa"/>
            <w:bottom w:w="0" w:type="dxa"/>
            <w:right w:w="108" w:type="dxa"/>
          </w:tblCellMar>
        </w:tblPrEx>
        <w:trPr>
          <w:trHeight w:val="1035" w:hRule="atLeast"/>
          <w:jc w:val="center"/>
        </w:trPr>
        <w:tc>
          <w:tcPr>
            <w:tcW w:w="397" w:type="pct"/>
            <w:vMerge w:val="continue"/>
            <w:tcBorders>
              <w:left w:val="single" w:color="000000" w:sz="4" w:space="0"/>
              <w:bottom w:val="single" w:color="000000" w:sz="4" w:space="0"/>
              <w:right w:val="single" w:color="000000" w:sz="4" w:space="0"/>
            </w:tcBorders>
            <w:shd w:val="clear" w:color="auto" w:fill="auto"/>
            <w:vAlign w:val="center"/>
          </w:tcPr>
          <w:p w14:paraId="0F796A1F">
            <w:pPr>
              <w:widowControl/>
              <w:jc w:val="center"/>
              <w:textAlignment w:val="center"/>
              <w:rPr>
                <w:rFonts w:hint="eastAsia" w:ascii="宋体" w:hAnsi="宋体" w:eastAsia="宋体" w:cs="宋体"/>
                <w:color w:val="auto"/>
                <w:kern w:val="0"/>
                <w:szCs w:val="21"/>
                <w:highlight w:val="none"/>
                <w:lang w:bidi="ar"/>
              </w:rPr>
            </w:pPr>
          </w:p>
        </w:tc>
        <w:tc>
          <w:tcPr>
            <w:tcW w:w="504" w:type="pct"/>
            <w:vMerge w:val="continue"/>
            <w:tcBorders>
              <w:left w:val="single" w:color="000000" w:sz="4" w:space="0"/>
              <w:bottom w:val="single" w:color="000000" w:sz="4" w:space="0"/>
              <w:right w:val="single" w:color="000000" w:sz="4" w:space="0"/>
            </w:tcBorders>
            <w:shd w:val="clear" w:color="auto" w:fill="auto"/>
            <w:vAlign w:val="center"/>
          </w:tcPr>
          <w:p w14:paraId="11D0687A">
            <w:pPr>
              <w:widowControl/>
              <w:jc w:val="center"/>
              <w:textAlignment w:val="center"/>
              <w:rPr>
                <w:rFonts w:hint="eastAsia" w:ascii="宋体" w:hAnsi="宋体" w:eastAsia="宋体" w:cs="宋体"/>
                <w:color w:val="auto"/>
                <w:kern w:val="0"/>
                <w:szCs w:val="21"/>
                <w:highlight w:val="none"/>
                <w:lang w:bidi="ar"/>
              </w:rPr>
            </w:pPr>
          </w:p>
        </w:tc>
        <w:tc>
          <w:tcPr>
            <w:tcW w:w="728" w:type="pct"/>
            <w:vMerge w:val="continue"/>
            <w:tcBorders>
              <w:left w:val="single" w:color="000000" w:sz="4" w:space="0"/>
              <w:bottom w:val="single" w:color="000000" w:sz="4" w:space="0"/>
              <w:right w:val="single" w:color="000000" w:sz="4" w:space="0"/>
            </w:tcBorders>
            <w:shd w:val="clear" w:color="auto" w:fill="auto"/>
            <w:vAlign w:val="center"/>
          </w:tcPr>
          <w:p w14:paraId="03D3222F">
            <w:pPr>
              <w:widowControl/>
              <w:jc w:val="center"/>
              <w:textAlignment w:val="center"/>
              <w:rPr>
                <w:rFonts w:hint="eastAsia" w:ascii="宋体" w:hAnsi="宋体" w:eastAsia="宋体" w:cs="宋体"/>
                <w:color w:val="auto"/>
                <w:kern w:val="0"/>
                <w:szCs w:val="21"/>
                <w:highlight w:val="none"/>
                <w:lang w:bidi="ar"/>
              </w:rPr>
            </w:pPr>
          </w:p>
        </w:tc>
        <w:tc>
          <w:tcPr>
            <w:tcW w:w="1273" w:type="pct"/>
            <w:vMerge w:val="continue"/>
            <w:tcBorders>
              <w:left w:val="single" w:color="000000" w:sz="4" w:space="0"/>
              <w:bottom w:val="single" w:color="000000" w:sz="4" w:space="0"/>
              <w:right w:val="single" w:color="000000" w:sz="4" w:space="0"/>
            </w:tcBorders>
            <w:shd w:val="clear" w:color="auto" w:fill="auto"/>
            <w:vAlign w:val="center"/>
          </w:tcPr>
          <w:p w14:paraId="24D36893">
            <w:pPr>
              <w:widowControl/>
              <w:jc w:val="left"/>
              <w:textAlignment w:val="center"/>
              <w:rPr>
                <w:rFonts w:hint="eastAsia" w:ascii="宋体" w:hAnsi="宋体" w:eastAsia="宋体" w:cs="宋体"/>
                <w:color w:val="auto"/>
                <w:kern w:val="0"/>
                <w:szCs w:val="21"/>
                <w:highlight w:val="none"/>
                <w:lang w:bidi="ar"/>
              </w:rPr>
            </w:pP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7A66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未落实2人或2人以上为一组进行协同作业，未按要求做好危险作业交底工作的，每次扣10分</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14B9B4">
            <w:pPr>
              <w:widowControl/>
              <w:jc w:val="center"/>
              <w:textAlignment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Cs w:val="21"/>
                <w:highlight w:val="none"/>
                <w:lang w:val="en-US" w:eastAsia="zh-CN"/>
              </w:rPr>
              <w:t>10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CE37E">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CD62B">
            <w:pPr>
              <w:jc w:val="center"/>
              <w:rPr>
                <w:rFonts w:ascii="宋体" w:hAnsi="宋体" w:eastAsia="宋体" w:cs="宋体"/>
                <w:color w:val="auto"/>
                <w:szCs w:val="21"/>
                <w:highlight w:val="none"/>
              </w:rPr>
            </w:pPr>
          </w:p>
        </w:tc>
      </w:tr>
      <w:tr w14:paraId="01F5E489">
        <w:tblPrEx>
          <w:tblCellMar>
            <w:top w:w="0" w:type="dxa"/>
            <w:left w:w="108" w:type="dxa"/>
            <w:bottom w:w="0" w:type="dxa"/>
            <w:right w:w="108" w:type="dxa"/>
          </w:tblCellMar>
        </w:tblPrEx>
        <w:trPr>
          <w:trHeight w:val="129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A95F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5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4C1E3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5分</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8E5AD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其它要求</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58A6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服从招标人突击性任务、迎检活动安排、紧急服务等工作要求。</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C5C27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无正当理由拒不服从的，每次扣5分。</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9438D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CA64F1">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CF0DC2">
            <w:pPr>
              <w:jc w:val="center"/>
              <w:rPr>
                <w:rFonts w:ascii="宋体" w:hAnsi="宋体" w:eastAsia="宋体" w:cs="宋体"/>
                <w:color w:val="auto"/>
                <w:szCs w:val="21"/>
                <w:highlight w:val="none"/>
              </w:rPr>
            </w:pPr>
          </w:p>
        </w:tc>
      </w:tr>
      <w:tr w14:paraId="75A29CBD">
        <w:tblPrEx>
          <w:tblCellMar>
            <w:top w:w="0" w:type="dxa"/>
            <w:left w:w="108" w:type="dxa"/>
            <w:bottom w:w="0" w:type="dxa"/>
            <w:right w:w="108" w:type="dxa"/>
          </w:tblCellMar>
        </w:tblPrEx>
        <w:trPr>
          <w:trHeight w:val="1290"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2F3CF">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6</w:t>
            </w:r>
          </w:p>
        </w:tc>
        <w:tc>
          <w:tcPr>
            <w:tcW w:w="1233"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9894B3">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扣分项</w:t>
            </w: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9947">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未在合同约定期限内更换或补充招标人所需人员的。</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73C9C">
            <w:pPr>
              <w:widowControl/>
              <w:jc w:val="left"/>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每违反一次</w:t>
            </w:r>
            <w:r>
              <w:rPr>
                <w:rFonts w:hint="default" w:ascii="宋体" w:hAnsi="宋体" w:eastAsia="宋体" w:cs="宋体"/>
                <w:color w:val="auto"/>
                <w:kern w:val="0"/>
                <w:szCs w:val="21"/>
                <w:highlight w:val="none"/>
                <w:lang w:val="en-US" w:eastAsia="zh-CN" w:bidi="ar"/>
              </w:rPr>
              <w:t>扣</w:t>
            </w:r>
            <w:r>
              <w:rPr>
                <w:rFonts w:hint="eastAsia" w:ascii="宋体" w:hAnsi="宋体" w:eastAsia="宋体" w:cs="宋体"/>
                <w:color w:val="auto"/>
                <w:kern w:val="0"/>
                <w:szCs w:val="21"/>
                <w:highlight w:val="none"/>
                <w:lang w:val="en-US" w:eastAsia="zh-CN" w:bidi="ar"/>
              </w:rPr>
              <w:t>10</w:t>
            </w:r>
            <w:r>
              <w:rPr>
                <w:rFonts w:hint="default" w:ascii="宋体" w:hAnsi="宋体" w:eastAsia="宋体" w:cs="宋体"/>
                <w:color w:val="auto"/>
                <w:kern w:val="0"/>
                <w:szCs w:val="21"/>
                <w:highlight w:val="none"/>
                <w:lang w:val="en-US" w:eastAsia="zh-CN" w:bidi="ar"/>
              </w:rPr>
              <w:t>分。</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DEEFF">
            <w:pPr>
              <w:widowControl/>
              <w:jc w:val="center"/>
              <w:textAlignment w:val="center"/>
              <w:rPr>
                <w:rFonts w:hint="eastAsia" w:ascii="宋体" w:hAnsi="宋体" w:eastAsia="宋体" w:cs="宋体"/>
                <w:color w:val="auto"/>
                <w:kern w:val="0"/>
                <w:sz w:val="21"/>
                <w:szCs w:val="21"/>
                <w:highlight w:val="none"/>
                <w:lang w:val="en-US" w:eastAsia="zh-CN" w:bidi="ar"/>
              </w:rPr>
            </w:pPr>
            <w:r>
              <w:rPr>
                <w:rFonts w:hint="eastAsia" w:ascii="宋体" w:hAnsi="宋体" w:eastAsia="宋体" w:cs="宋体"/>
                <w:color w:val="auto"/>
                <w:kern w:val="0"/>
                <w:szCs w:val="21"/>
                <w:highlight w:val="none"/>
                <w:lang w:val="en-US" w:eastAsia="zh-CN" w:bidi="ar"/>
              </w:rPr>
              <w:t>0</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E6BCC">
            <w:pPr>
              <w:jc w:val="center"/>
              <w:rPr>
                <w:rFonts w:ascii="宋体" w:hAnsi="宋体" w:eastAsia="宋体" w:cs="宋体"/>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40DB52">
            <w:pPr>
              <w:jc w:val="center"/>
              <w:rPr>
                <w:rFonts w:ascii="宋体" w:hAnsi="宋体" w:eastAsia="宋体" w:cs="宋体"/>
                <w:color w:val="auto"/>
                <w:szCs w:val="21"/>
                <w:highlight w:val="none"/>
              </w:rPr>
            </w:pPr>
          </w:p>
        </w:tc>
      </w:tr>
      <w:tr w14:paraId="02021D4E">
        <w:tblPrEx>
          <w:tblCellMar>
            <w:top w:w="0" w:type="dxa"/>
            <w:left w:w="108" w:type="dxa"/>
            <w:bottom w:w="0" w:type="dxa"/>
            <w:right w:w="108" w:type="dxa"/>
          </w:tblCellMar>
        </w:tblPrEx>
        <w:trPr>
          <w:trHeight w:val="421" w:hRule="atLeast"/>
          <w:jc w:val="center"/>
        </w:trPr>
        <w:tc>
          <w:tcPr>
            <w:tcW w:w="3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543D2">
            <w:pPr>
              <w:widowControl/>
              <w:jc w:val="left"/>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合计</w:t>
            </w:r>
          </w:p>
        </w:tc>
        <w:tc>
          <w:tcPr>
            <w:tcW w:w="383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0842C82">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100分</w:t>
            </w:r>
          </w:p>
        </w:tc>
        <w:tc>
          <w:tcPr>
            <w:tcW w:w="37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ADFEDF">
            <w:pPr>
              <w:jc w:val="center"/>
              <w:rPr>
                <w:rFonts w:ascii="宋体" w:hAnsi="宋体" w:eastAsia="宋体" w:cs="宋体"/>
                <w:b/>
                <w:bCs/>
                <w:color w:val="auto"/>
                <w:szCs w:val="21"/>
                <w:highlight w:val="none"/>
              </w:rPr>
            </w:pPr>
          </w:p>
        </w:tc>
        <w:tc>
          <w:tcPr>
            <w:tcW w:w="3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469B9">
            <w:pPr>
              <w:jc w:val="center"/>
              <w:rPr>
                <w:rFonts w:ascii="宋体" w:hAnsi="宋体" w:eastAsia="宋体" w:cs="宋体"/>
                <w:b/>
                <w:bCs/>
                <w:color w:val="auto"/>
                <w:szCs w:val="21"/>
                <w:highlight w:val="none"/>
              </w:rPr>
            </w:pPr>
          </w:p>
        </w:tc>
      </w:tr>
      <w:tr w14:paraId="03314254">
        <w:tblPrEx>
          <w:tblCellMar>
            <w:top w:w="0" w:type="dxa"/>
            <w:left w:w="108" w:type="dxa"/>
            <w:bottom w:w="0" w:type="dxa"/>
            <w:right w:w="108" w:type="dxa"/>
          </w:tblCellMar>
        </w:tblPrEx>
        <w:trPr>
          <w:trHeight w:val="480" w:hRule="atLeast"/>
          <w:jc w:val="center"/>
        </w:trPr>
        <w:tc>
          <w:tcPr>
            <w:tcW w:w="9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16FEF52">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考核结果</w:t>
            </w:r>
          </w:p>
        </w:tc>
        <w:tc>
          <w:tcPr>
            <w:tcW w:w="7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69435">
            <w:pPr>
              <w:jc w:val="center"/>
              <w:rPr>
                <w:rFonts w:ascii="宋体" w:hAnsi="宋体" w:eastAsia="宋体" w:cs="宋体"/>
                <w:b/>
                <w:bCs/>
                <w:color w:val="auto"/>
                <w:szCs w:val="21"/>
                <w:highlight w:val="none"/>
              </w:rPr>
            </w:pPr>
          </w:p>
        </w:tc>
        <w:tc>
          <w:tcPr>
            <w:tcW w:w="12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007B2">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合格</w:t>
            </w:r>
          </w:p>
        </w:tc>
        <w:tc>
          <w:tcPr>
            <w:tcW w:w="87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42416">
            <w:pPr>
              <w:jc w:val="center"/>
              <w:rPr>
                <w:rFonts w:ascii="宋体" w:hAnsi="宋体" w:eastAsia="宋体" w:cs="宋体"/>
                <w:b/>
                <w:bCs/>
                <w:color w:val="auto"/>
                <w:szCs w:val="21"/>
                <w:highlight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7327A3">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不合格</w:t>
            </w:r>
          </w:p>
        </w:tc>
        <w:tc>
          <w:tcPr>
            <w:tcW w:w="77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764E319">
            <w:pPr>
              <w:jc w:val="center"/>
              <w:rPr>
                <w:rFonts w:ascii="宋体" w:hAnsi="宋体" w:eastAsia="宋体" w:cs="宋体"/>
                <w:b/>
                <w:bCs/>
                <w:color w:val="auto"/>
                <w:szCs w:val="21"/>
                <w:highlight w:val="none"/>
              </w:rPr>
            </w:pPr>
          </w:p>
        </w:tc>
      </w:tr>
      <w:tr w14:paraId="2E1F0548">
        <w:tblPrEx>
          <w:tblCellMar>
            <w:top w:w="0" w:type="dxa"/>
            <w:left w:w="108" w:type="dxa"/>
            <w:bottom w:w="0" w:type="dxa"/>
            <w:right w:w="108" w:type="dxa"/>
          </w:tblCellMar>
        </w:tblPrEx>
        <w:trPr>
          <w:trHeight w:val="100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85D602B">
            <w:pPr>
              <w:widowControl/>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意见及建议</w:t>
            </w:r>
          </w:p>
        </w:tc>
      </w:tr>
    </w:tbl>
    <w:p w14:paraId="0485988C">
      <w:pPr>
        <w:tabs>
          <w:tab w:val="left" w:pos="2340"/>
        </w:tabs>
        <w:autoSpaceDE w:val="0"/>
        <w:autoSpaceDN w:val="0"/>
        <w:adjustRightInd w:val="0"/>
        <w:spacing w:line="360" w:lineRule="auto"/>
        <w:jc w:val="left"/>
        <w:rPr>
          <w:rFonts w:ascii="宋体" w:hAnsi="宋体" w:eastAsia="宋体" w:cs="宋体"/>
          <w:color w:val="auto"/>
          <w:szCs w:val="21"/>
          <w:highlight w:val="none"/>
        </w:rPr>
      </w:pPr>
    </w:p>
    <w:p w14:paraId="01FFF3A5">
      <w:pPr>
        <w:tabs>
          <w:tab w:val="left" w:pos="2340"/>
        </w:tabs>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考核单位：                     考核人：                        考核时间：</w:t>
      </w:r>
    </w:p>
    <w:p w14:paraId="33DB9DC2">
      <w:pPr>
        <w:tabs>
          <w:tab w:val="left" w:pos="2340"/>
        </w:tabs>
        <w:autoSpaceDE w:val="0"/>
        <w:autoSpaceDN w:val="0"/>
        <w:adjustRightInd w:val="0"/>
        <w:spacing w:line="360" w:lineRule="auto"/>
        <w:jc w:val="left"/>
        <w:rPr>
          <w:rFonts w:ascii="宋体" w:hAnsi="宋体" w:eastAsia="宋体" w:cs="宋体"/>
          <w:color w:val="auto"/>
          <w:kern w:val="0"/>
          <w:szCs w:val="21"/>
          <w:highlight w:val="none"/>
          <w:lang w:bidi="ar"/>
        </w:rPr>
      </w:pPr>
    </w:p>
    <w:p w14:paraId="2782C8A8">
      <w:pPr>
        <w:tabs>
          <w:tab w:val="left" w:pos="2340"/>
        </w:tabs>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注：1、本考核评比实行百分制,与实际服务费挂钩</w:t>
      </w:r>
      <w:r>
        <w:rPr>
          <w:rFonts w:hint="eastAsia" w:ascii="宋体" w:hAnsi="宋体" w:eastAsia="宋体" w:cs="宋体"/>
          <w:color w:val="auto"/>
          <w:kern w:val="0"/>
          <w:szCs w:val="21"/>
          <w:highlight w:val="none"/>
          <w:lang w:eastAsia="zh-CN" w:bidi="ar"/>
        </w:rPr>
        <w:t>。</w:t>
      </w:r>
    </w:p>
    <w:p w14:paraId="2C146BA8">
      <w:pPr>
        <w:tabs>
          <w:tab w:val="left" w:pos="2340"/>
        </w:tabs>
        <w:autoSpaceDE w:val="0"/>
        <w:autoSpaceDN w:val="0"/>
        <w:adjustRightInd w:val="0"/>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2、每项考评对应无扣分的，实得分等于应得分。</w:t>
      </w:r>
    </w:p>
    <w:p w14:paraId="17487F5A">
      <w:pPr>
        <w:tabs>
          <w:tab w:val="left" w:pos="2340"/>
        </w:tabs>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Cs w:val="21"/>
          <w:highlight w:val="none"/>
          <w:lang w:bidi="ar"/>
        </w:rPr>
        <w:t>3、</w:t>
      </w:r>
      <w:bookmarkStart w:id="453" w:name="OLE_LINK1"/>
      <w:r>
        <w:rPr>
          <w:rFonts w:hint="eastAsia" w:ascii="宋体" w:hAnsi="宋体" w:eastAsia="宋体" w:cs="宋体"/>
          <w:color w:val="auto"/>
          <w:kern w:val="0"/>
          <w:sz w:val="21"/>
          <w:szCs w:val="21"/>
          <w:highlight w:val="none"/>
          <w:lang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 w:val="21"/>
          <w:szCs w:val="21"/>
          <w:highlight w:val="none"/>
          <w:lang w:bidi="ar"/>
        </w:rPr>
        <w:t>每月根据考评结果情况支付实际服务费给</w:t>
      </w:r>
      <w:r>
        <w:rPr>
          <w:rFonts w:hint="eastAsia" w:ascii="宋体" w:hAnsi="宋体" w:eastAsia="宋体" w:cs="宋体"/>
          <w:color w:val="auto"/>
          <w:kern w:val="0"/>
          <w:sz w:val="21"/>
          <w:szCs w:val="21"/>
          <w:highlight w:val="none"/>
          <w:lang w:eastAsia="zh-CN" w:bidi="ar"/>
        </w:rPr>
        <w:t>服务单位：</w:t>
      </w:r>
    </w:p>
    <w:p w14:paraId="19D48183">
      <w:pPr>
        <w:tabs>
          <w:tab w:val="left" w:pos="2340"/>
        </w:tabs>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lang w:bidi="ar"/>
        </w:rPr>
      </w:pP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val="en-US" w:eastAsia="zh-CN" w:bidi="ar"/>
        </w:rPr>
        <w:t>1</w:t>
      </w:r>
      <w:r>
        <w:rPr>
          <w:rFonts w:hint="eastAsia" w:ascii="宋体" w:hAnsi="宋体" w:eastAsia="宋体" w:cs="宋体"/>
          <w:kern w:val="0"/>
          <w:szCs w:val="21"/>
          <w:highlight w:val="none"/>
          <w:lang w:eastAsia="zh-CN" w:bidi="ar"/>
        </w:rPr>
        <w:t>）</w:t>
      </w:r>
      <w:r>
        <w:rPr>
          <w:rFonts w:hint="eastAsia" w:ascii="宋体" w:hAnsi="宋体" w:eastAsia="宋体" w:cs="宋体"/>
          <w:kern w:val="0"/>
          <w:szCs w:val="21"/>
          <w:highlight w:val="none"/>
          <w:lang w:val="en-US" w:eastAsia="zh-CN" w:bidi="ar"/>
        </w:rPr>
        <w:t>当实际考核项目总分满分为100分，</w:t>
      </w:r>
      <w:r>
        <w:rPr>
          <w:rFonts w:hint="eastAsia" w:ascii="宋体" w:hAnsi="宋体" w:eastAsia="宋体" w:cs="宋体"/>
          <w:color w:val="auto"/>
          <w:kern w:val="0"/>
          <w:sz w:val="21"/>
          <w:szCs w:val="21"/>
          <w:highlight w:val="none"/>
          <w:lang w:bidi="ar"/>
        </w:rPr>
        <w:t>如招标人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 w:val="21"/>
          <w:szCs w:val="21"/>
          <w:highlight w:val="none"/>
          <w:lang w:bidi="ar"/>
        </w:rPr>
        <w:t>对</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的服务考核评分达到90分或以上的，该月服务费全额支付；如招标人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 w:val="21"/>
          <w:szCs w:val="21"/>
          <w:highlight w:val="none"/>
          <w:lang w:bidi="ar"/>
        </w:rPr>
        <w:t>对</w:t>
      </w:r>
      <w:r>
        <w:rPr>
          <w:rFonts w:hint="eastAsia" w:ascii="宋体" w:hAnsi="宋体" w:eastAsia="宋体" w:cs="宋体"/>
          <w:color w:val="auto"/>
          <w:kern w:val="0"/>
          <w:sz w:val="21"/>
          <w:szCs w:val="21"/>
          <w:highlight w:val="none"/>
          <w:lang w:eastAsia="zh-CN" w:bidi="ar"/>
        </w:rPr>
        <w:t>服务单位</w:t>
      </w:r>
      <w:r>
        <w:rPr>
          <w:rFonts w:hint="eastAsia" w:ascii="宋体" w:hAnsi="宋体" w:eastAsia="宋体" w:cs="宋体"/>
          <w:color w:val="auto"/>
          <w:kern w:val="0"/>
          <w:sz w:val="21"/>
          <w:szCs w:val="21"/>
          <w:highlight w:val="none"/>
          <w:lang w:bidi="ar"/>
        </w:rPr>
        <w:t>的服务考核评分不足90分的，该月实际支付的服务费=该月应支付服务费×当月考核评分占比；如发现累计两个月未达到60分时，</w:t>
      </w:r>
      <w:r>
        <w:rPr>
          <w:rFonts w:hint="eastAsia" w:ascii="宋体" w:hAnsi="宋体" w:eastAsia="宋体" w:cs="宋体"/>
          <w:kern w:val="0"/>
          <w:szCs w:val="21"/>
          <w:highlight w:val="none"/>
          <w:lang w:bidi="ar"/>
        </w:rPr>
        <w:t>且</w:t>
      </w:r>
      <w:r>
        <w:rPr>
          <w:rFonts w:hint="eastAsia" w:ascii="宋体" w:hAnsi="宋体" w:eastAsia="宋体" w:cs="宋体"/>
          <w:kern w:val="0"/>
          <w:szCs w:val="21"/>
          <w:highlight w:val="none"/>
          <w:lang w:val="en-US" w:eastAsia="zh-CN" w:bidi="ar"/>
        </w:rPr>
        <w:t>服务单位</w:t>
      </w:r>
      <w:r>
        <w:rPr>
          <w:rFonts w:hint="eastAsia" w:ascii="宋体" w:hAnsi="宋体" w:eastAsia="宋体" w:cs="宋体"/>
          <w:kern w:val="0"/>
          <w:szCs w:val="21"/>
          <w:highlight w:val="none"/>
          <w:lang w:bidi="ar"/>
        </w:rPr>
        <w:t>没有提供令</w:t>
      </w:r>
      <w:r>
        <w:rPr>
          <w:rFonts w:hint="eastAsia" w:ascii="宋体" w:hAnsi="宋体" w:eastAsia="宋体" w:cs="宋体"/>
          <w:color w:val="auto"/>
          <w:kern w:val="0"/>
          <w:sz w:val="21"/>
          <w:szCs w:val="21"/>
          <w:highlight w:val="none"/>
          <w:lang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Cs w:val="21"/>
          <w:highlight w:val="none"/>
          <w:lang w:bidi="ar"/>
        </w:rPr>
        <w:t>认可的整改方案的</w:t>
      </w:r>
      <w:r>
        <w:rPr>
          <w:rFonts w:hint="eastAsia" w:ascii="宋体" w:hAnsi="宋体" w:eastAsia="宋体" w:cs="宋体"/>
          <w:kern w:val="0"/>
          <w:szCs w:val="21"/>
          <w:highlight w:val="none"/>
          <w:lang w:eastAsia="zh-CN" w:bidi="ar"/>
        </w:rPr>
        <w:t>，</w:t>
      </w:r>
      <w:r>
        <w:rPr>
          <w:rFonts w:hint="eastAsia" w:ascii="宋体" w:hAnsi="宋体" w:eastAsia="宋体" w:cs="宋体"/>
          <w:color w:val="auto"/>
          <w:kern w:val="0"/>
          <w:sz w:val="21"/>
          <w:szCs w:val="21"/>
          <w:highlight w:val="none"/>
          <w:lang w:bidi="ar"/>
        </w:rPr>
        <w:t>招标人有权单方解除合同。</w:t>
      </w:r>
    </w:p>
    <w:p w14:paraId="5F60222B">
      <w:pPr>
        <w:numPr>
          <w:ilvl w:val="0"/>
          <w:numId w:val="0"/>
        </w:numPr>
        <w:tabs>
          <w:tab w:val="left" w:pos="2340"/>
        </w:tabs>
        <w:autoSpaceDE/>
        <w:autoSpaceDN/>
        <w:adjustRightInd/>
        <w:spacing w:line="360" w:lineRule="auto"/>
        <w:ind w:firstLine="424" w:firstLineChars="202"/>
        <w:jc w:val="left"/>
        <w:rPr>
          <w:rFonts w:hint="default" w:ascii="宋体" w:hAnsi="宋体" w:eastAsia="宋体" w:cs="宋体"/>
          <w:b/>
          <w:szCs w:val="21"/>
          <w:highlight w:val="none"/>
          <w:lang w:val="en-US" w:eastAsia="zh-CN"/>
        </w:rPr>
      </w:pP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当实际考核项目总分满分不足100分，将考核分数按百分制进行折算（折算分数=实际得分/满分</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100），折算后高于90%</w:t>
      </w:r>
      <w:r>
        <w:rPr>
          <w:rFonts w:hint="eastAsia" w:ascii="宋体" w:hAnsi="宋体" w:eastAsia="宋体" w:cs="宋体"/>
          <w:kern w:val="0"/>
          <w:sz w:val="21"/>
          <w:szCs w:val="21"/>
          <w:highlight w:val="none"/>
          <w:lang w:bidi="ar"/>
        </w:rPr>
        <w:t>或以上的，该月服务费全额支付；如</w:t>
      </w:r>
      <w:r>
        <w:rPr>
          <w:rFonts w:hint="eastAsia" w:ascii="宋体" w:hAnsi="宋体" w:eastAsia="宋体" w:cs="宋体"/>
          <w:kern w:val="0"/>
          <w:sz w:val="21"/>
          <w:szCs w:val="21"/>
          <w:highlight w:val="none"/>
          <w:lang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对</w:t>
      </w:r>
      <w:r>
        <w:rPr>
          <w:rFonts w:hint="eastAsia" w:ascii="宋体" w:hAnsi="宋体" w:eastAsia="宋体" w:cs="宋体"/>
          <w:kern w:val="0"/>
          <w:sz w:val="21"/>
          <w:szCs w:val="21"/>
          <w:highlight w:val="none"/>
          <w:lang w:val="en-US" w:eastAsia="zh-CN" w:bidi="ar"/>
        </w:rPr>
        <w:t>服务单位</w:t>
      </w:r>
      <w:r>
        <w:rPr>
          <w:rFonts w:hint="eastAsia" w:ascii="宋体" w:hAnsi="宋体" w:eastAsia="宋体" w:cs="宋体"/>
          <w:kern w:val="0"/>
          <w:sz w:val="21"/>
          <w:szCs w:val="21"/>
          <w:highlight w:val="none"/>
          <w:lang w:bidi="ar"/>
        </w:rPr>
        <w:t>的服务考核评分</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不足90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的，该月实际支付的服务费=该月应支付服务费×</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折算分数/100</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；如发现累计两个月</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未达到60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时，且</w:t>
      </w:r>
      <w:r>
        <w:rPr>
          <w:rFonts w:hint="eastAsia" w:ascii="宋体" w:hAnsi="宋体" w:eastAsia="宋体" w:cs="宋体"/>
          <w:kern w:val="0"/>
          <w:sz w:val="21"/>
          <w:szCs w:val="21"/>
          <w:highlight w:val="none"/>
          <w:lang w:val="en-US" w:eastAsia="zh-CN" w:bidi="ar"/>
        </w:rPr>
        <w:t>服务单位</w:t>
      </w:r>
      <w:r>
        <w:rPr>
          <w:rFonts w:hint="eastAsia" w:ascii="宋体" w:hAnsi="宋体" w:eastAsia="宋体" w:cs="宋体"/>
          <w:kern w:val="0"/>
          <w:sz w:val="21"/>
          <w:szCs w:val="21"/>
          <w:highlight w:val="none"/>
          <w:lang w:bidi="ar"/>
        </w:rPr>
        <w:t>没有提供令</w:t>
      </w:r>
      <w:r>
        <w:rPr>
          <w:rFonts w:hint="eastAsia" w:ascii="宋体" w:hAnsi="宋体" w:eastAsia="宋体" w:cs="宋体"/>
          <w:kern w:val="0"/>
          <w:sz w:val="21"/>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认可的整改方案的</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招标人</w:t>
      </w:r>
      <w:r>
        <w:rPr>
          <w:rFonts w:hint="eastAsia" w:ascii="宋体" w:hAnsi="宋体" w:eastAsia="宋体" w:cs="宋体"/>
          <w:kern w:val="0"/>
          <w:sz w:val="21"/>
          <w:szCs w:val="21"/>
          <w:highlight w:val="none"/>
          <w:lang w:bidi="ar"/>
        </w:rPr>
        <w:t>有权单方解除合同</w:t>
      </w:r>
      <w:r>
        <w:rPr>
          <w:rFonts w:hint="eastAsia" w:ascii="宋体" w:hAnsi="宋体" w:eastAsia="宋体" w:cs="宋体"/>
          <w:kern w:val="0"/>
          <w:szCs w:val="21"/>
          <w:highlight w:val="none"/>
          <w:lang w:bidi="ar"/>
        </w:rPr>
        <w:t>。</w:t>
      </w:r>
      <w:bookmarkEnd w:id="453"/>
    </w:p>
    <w:p w14:paraId="43A8D818">
      <w:pPr>
        <w:tabs>
          <w:tab w:val="left" w:pos="2340"/>
        </w:tabs>
        <w:autoSpaceDE w:val="0"/>
        <w:autoSpaceDN w:val="0"/>
        <w:adjustRightInd w:val="0"/>
        <w:spacing w:line="360" w:lineRule="auto"/>
        <w:jc w:val="center"/>
        <w:rPr>
          <w:rFonts w:ascii="宋体" w:hAnsi="宋体" w:eastAsia="宋体" w:cs="宋体"/>
          <w:b/>
          <w:color w:val="auto"/>
          <w:kern w:val="0"/>
          <w:szCs w:val="21"/>
          <w:highlight w:val="none"/>
          <w:lang w:bidi="ar"/>
        </w:rPr>
      </w:pPr>
    </w:p>
    <w:p w14:paraId="629CEA91">
      <w:pPr>
        <w:rPr>
          <w:rFonts w:hint="eastAsia" w:ascii="宋体" w:hAnsi="宋体" w:eastAsia="宋体" w:cs="宋体"/>
          <w:b/>
          <w:color w:val="auto"/>
          <w:kern w:val="0"/>
          <w:szCs w:val="21"/>
          <w:highlight w:val="none"/>
          <w:lang w:val="en-US" w:eastAsia="zh-CN" w:bidi="ar"/>
        </w:rPr>
      </w:pPr>
      <w:r>
        <w:rPr>
          <w:rFonts w:hint="eastAsia" w:ascii="宋体" w:hAnsi="宋体" w:eastAsia="宋体" w:cs="宋体"/>
          <w:b/>
          <w:color w:val="auto"/>
          <w:kern w:val="0"/>
          <w:szCs w:val="21"/>
          <w:highlight w:val="none"/>
          <w:lang w:val="en-US" w:eastAsia="zh-CN" w:bidi="ar"/>
        </w:rPr>
        <w:br w:type="page"/>
      </w:r>
    </w:p>
    <w:p w14:paraId="04FF07A2">
      <w:pPr>
        <w:tabs>
          <w:tab w:val="left" w:pos="2340"/>
        </w:tabs>
        <w:autoSpaceDE w:val="0"/>
        <w:autoSpaceDN w:val="0"/>
        <w:adjustRightInd w:val="0"/>
        <w:spacing w:line="360" w:lineRule="auto"/>
        <w:jc w:val="center"/>
        <w:outlineLvl w:val="2"/>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val="en-US" w:eastAsia="zh-CN" w:bidi="ar"/>
        </w:rPr>
        <w:t>2</w:t>
      </w:r>
      <w:r>
        <w:rPr>
          <w:rFonts w:hint="eastAsia" w:ascii="宋体" w:hAnsi="宋体" w:eastAsia="宋体" w:cs="宋体"/>
          <w:b/>
          <w:color w:val="auto"/>
          <w:kern w:val="0"/>
          <w:szCs w:val="21"/>
          <w:highlight w:val="none"/>
          <w:lang w:bidi="ar"/>
        </w:rPr>
        <w:t>.3《</w:t>
      </w:r>
      <w:r>
        <w:rPr>
          <w:rFonts w:hint="eastAsia" w:ascii="宋体" w:hAnsi="宋体" w:eastAsia="宋体" w:cs="宋体"/>
          <w:b/>
          <w:color w:val="auto"/>
          <w:kern w:val="0"/>
          <w:szCs w:val="21"/>
          <w:highlight w:val="none"/>
          <w:lang w:eastAsia="zh-CN" w:bidi="ar"/>
        </w:rPr>
        <w:t>东莞市水务环境投资控股集团供水有限公司</w:t>
      </w:r>
      <w:r>
        <w:rPr>
          <w:rFonts w:hint="eastAsia" w:ascii="宋体" w:hAnsi="宋体" w:eastAsia="宋体" w:cs="宋体"/>
          <w:b/>
          <w:color w:val="auto"/>
          <w:kern w:val="0"/>
          <w:szCs w:val="21"/>
          <w:highlight w:val="none"/>
          <w:lang w:bidi="ar"/>
        </w:rPr>
        <w:t>清洁保洁、绿化养护、除“四害”及灭蚁防治考核评分标准（适用于二级绿化养护项目）》</w:t>
      </w:r>
    </w:p>
    <w:tbl>
      <w:tblPr>
        <w:tblStyle w:val="37"/>
        <w:tblW w:w="4982"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72"/>
        <w:gridCol w:w="888"/>
        <w:gridCol w:w="900"/>
        <w:gridCol w:w="2659"/>
        <w:gridCol w:w="1894"/>
        <w:gridCol w:w="914"/>
        <w:gridCol w:w="891"/>
        <w:gridCol w:w="917"/>
      </w:tblGrid>
      <w:tr w14:paraId="60F0BF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F90F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2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E74422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现场考核</w:t>
            </w: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0248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扣分办法</w:t>
            </w:r>
          </w:p>
        </w:tc>
        <w:tc>
          <w:tcPr>
            <w:tcW w:w="45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F0C0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应得分</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0D17B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检查扣分</w:t>
            </w:r>
          </w:p>
        </w:tc>
        <w:tc>
          <w:tcPr>
            <w:tcW w:w="46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246B7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实得分</w:t>
            </w:r>
          </w:p>
        </w:tc>
      </w:tr>
      <w:tr w14:paraId="004571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433005">
            <w:pPr>
              <w:jc w:val="center"/>
              <w:rPr>
                <w:rFonts w:hint="eastAsia" w:ascii="宋体" w:hAnsi="宋体" w:eastAsia="宋体" w:cs="宋体"/>
                <w:i w:val="0"/>
                <w:iCs w:val="0"/>
                <w:color w:val="auto"/>
                <w:sz w:val="21"/>
                <w:szCs w:val="21"/>
                <w:highlight w:val="none"/>
                <w:u w:val="none"/>
              </w:rPr>
            </w:pPr>
          </w:p>
        </w:tc>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4E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满分值</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9955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9199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评价依据及检查方法</w:t>
            </w: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CB40E4A">
            <w:pPr>
              <w:jc w:val="center"/>
              <w:rPr>
                <w:rFonts w:hint="eastAsia" w:ascii="宋体" w:hAnsi="宋体" w:eastAsia="宋体" w:cs="宋体"/>
                <w:i w:val="0"/>
                <w:iCs w:val="0"/>
                <w:color w:val="auto"/>
                <w:sz w:val="21"/>
                <w:szCs w:val="21"/>
                <w:highlight w:val="none"/>
                <w:u w:val="none"/>
              </w:rPr>
            </w:pPr>
          </w:p>
        </w:tc>
        <w:tc>
          <w:tcPr>
            <w:tcW w:w="45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FAE2FE">
            <w:pPr>
              <w:jc w:val="center"/>
              <w:rPr>
                <w:rFonts w:hint="eastAsia" w:ascii="宋体" w:hAnsi="宋体" w:eastAsia="宋体" w:cs="宋体"/>
                <w:i w:val="0"/>
                <w:iCs w:val="0"/>
                <w:color w:val="auto"/>
                <w:sz w:val="21"/>
                <w:szCs w:val="21"/>
                <w:highlight w:val="none"/>
                <w:u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D09813">
            <w:pPr>
              <w:jc w:val="center"/>
              <w:rPr>
                <w:rFonts w:hint="eastAsia" w:ascii="宋体" w:hAnsi="宋体" w:eastAsia="宋体" w:cs="宋体"/>
                <w:i w:val="0"/>
                <w:iCs w:val="0"/>
                <w:color w:val="auto"/>
                <w:sz w:val="21"/>
                <w:szCs w:val="21"/>
                <w:highlight w:val="none"/>
                <w:u w:val="none"/>
              </w:rPr>
            </w:pPr>
          </w:p>
        </w:tc>
        <w:tc>
          <w:tcPr>
            <w:tcW w:w="46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ECBD8">
            <w:pPr>
              <w:jc w:val="center"/>
              <w:rPr>
                <w:rFonts w:hint="eastAsia" w:ascii="宋体" w:hAnsi="宋体" w:eastAsia="宋体" w:cs="宋体"/>
                <w:i w:val="0"/>
                <w:iCs w:val="0"/>
                <w:color w:val="auto"/>
                <w:sz w:val="21"/>
                <w:szCs w:val="21"/>
                <w:highlight w:val="none"/>
                <w:u w:val="none"/>
              </w:rPr>
            </w:pPr>
          </w:p>
        </w:tc>
      </w:tr>
      <w:tr w14:paraId="6BFE63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AD8B5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ACE3F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9分</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DD767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日常制度</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9F184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在招标人提出的绿化养护方面存在工作疏忽而没按要求及时整改反馈的。</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58EC3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没及时整改处理的，每次扣2分，扣完为止。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6ECA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2B895B">
            <w:pPr>
              <w:jc w:val="center"/>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6553B">
            <w:pPr>
              <w:jc w:val="center"/>
              <w:rPr>
                <w:rFonts w:hint="eastAsia" w:ascii="宋体" w:hAnsi="宋体" w:eastAsia="宋体" w:cs="宋体"/>
                <w:i w:val="0"/>
                <w:iCs w:val="0"/>
                <w:color w:val="auto"/>
                <w:sz w:val="21"/>
                <w:szCs w:val="21"/>
                <w:highlight w:val="none"/>
                <w:u w:val="none"/>
              </w:rPr>
            </w:pPr>
          </w:p>
        </w:tc>
      </w:tr>
      <w:tr w14:paraId="5B89D5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E66602">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E6FD8">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35A685">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07939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穿统一工作服，不能出现如穿拖鞋、高跟鞋、着装不整齐者等。</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9D0CA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val="en-US" w:eastAsia="zh-CN" w:bidi="ar"/>
              </w:rPr>
              <w:t>未按要求</w:t>
            </w:r>
            <w:r>
              <w:rPr>
                <w:rFonts w:hint="eastAsia" w:ascii="宋体" w:hAnsi="宋体" w:eastAsia="宋体" w:cs="宋体"/>
                <w:i w:val="0"/>
                <w:iCs w:val="0"/>
                <w:color w:val="auto"/>
                <w:kern w:val="0"/>
                <w:sz w:val="21"/>
                <w:szCs w:val="21"/>
                <w:highlight w:val="none"/>
                <w:u w:val="none"/>
                <w:lang w:val="en-US" w:eastAsia="zh-CN" w:bidi="ar"/>
              </w:rPr>
              <w:t>着装者，每人次扣1分，扣完为止。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4E1B5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6E112B">
            <w:pPr>
              <w:jc w:val="center"/>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A3C4F">
            <w:pPr>
              <w:jc w:val="center"/>
              <w:rPr>
                <w:rFonts w:hint="eastAsia" w:ascii="宋体" w:hAnsi="宋体" w:eastAsia="宋体" w:cs="宋体"/>
                <w:i w:val="0"/>
                <w:iCs w:val="0"/>
                <w:color w:val="auto"/>
                <w:sz w:val="21"/>
                <w:szCs w:val="21"/>
                <w:highlight w:val="none"/>
                <w:u w:val="none"/>
              </w:rPr>
            </w:pPr>
          </w:p>
        </w:tc>
      </w:tr>
      <w:tr w14:paraId="39FDC0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66B35C">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2E28D4">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8D17C8">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88CF9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现场负责人要向招标人对应管理部门书面请假批准后才能离岗。</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26F7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擅自离岗者，每人次扣1分,扣完为止。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785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072B2">
            <w:pPr>
              <w:jc w:val="center"/>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4046CB">
            <w:pPr>
              <w:jc w:val="both"/>
              <w:rPr>
                <w:rFonts w:hint="eastAsia" w:ascii="宋体" w:hAnsi="宋体" w:eastAsia="宋体" w:cs="宋体"/>
                <w:i w:val="0"/>
                <w:iCs w:val="0"/>
                <w:color w:val="auto"/>
                <w:sz w:val="22"/>
                <w:szCs w:val="22"/>
                <w:highlight w:val="none"/>
                <w:u w:val="none"/>
              </w:rPr>
            </w:pPr>
          </w:p>
        </w:tc>
      </w:tr>
      <w:tr w14:paraId="670FD9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049E9E">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209645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13分</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C201E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绿地清洁卫生</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D5CF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天6：30、14：00时完成绿地清洁工作，做好保洁（日常保洁时段为6：30—18：30，重要情况保洁时间另行安排），抽查草地每100平方米、分车道绿化带每100米长度范围内有纸屑、胶袋、石块、杂物等（规格3cm×3cm），要求≤4单位。</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7520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超过每单位扣1分，扣完为止。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2A26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79FF6E">
            <w:pPr>
              <w:jc w:val="center"/>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62CC5">
            <w:pPr>
              <w:jc w:val="both"/>
              <w:rPr>
                <w:rFonts w:hint="eastAsia" w:ascii="宋体" w:hAnsi="宋体" w:eastAsia="宋体" w:cs="宋体"/>
                <w:i w:val="0"/>
                <w:iCs w:val="0"/>
                <w:color w:val="auto"/>
                <w:sz w:val="22"/>
                <w:szCs w:val="22"/>
                <w:highlight w:val="none"/>
                <w:u w:val="none"/>
              </w:rPr>
            </w:pPr>
          </w:p>
        </w:tc>
      </w:tr>
      <w:tr w14:paraId="5270DC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9F60B2">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22F60">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36777E">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8031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未发现垃圾连片（面积≥6cm×6cm）的地方（特别是花生壳、瓜子壳、白色垃圾等）。</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132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发现一处扣1分，扣完为止。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988F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173F4">
            <w:pPr>
              <w:jc w:val="center"/>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B22D8">
            <w:pPr>
              <w:jc w:val="both"/>
              <w:rPr>
                <w:rFonts w:hint="eastAsia" w:ascii="宋体" w:hAnsi="宋体" w:eastAsia="宋体" w:cs="宋体"/>
                <w:i w:val="0"/>
                <w:iCs w:val="0"/>
                <w:color w:val="auto"/>
                <w:sz w:val="22"/>
                <w:szCs w:val="22"/>
                <w:highlight w:val="none"/>
                <w:u w:val="none"/>
              </w:rPr>
            </w:pPr>
          </w:p>
        </w:tc>
      </w:tr>
      <w:tr w14:paraId="69F757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D53B48">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B4DCF">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814D4D">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902B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在绿地区内未发现焚烧杂物；</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296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绿地发生焚烧杂物的，每处扣0.5分；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BE3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F66BA">
            <w:pPr>
              <w:jc w:val="center"/>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2E933E">
            <w:pPr>
              <w:jc w:val="both"/>
              <w:rPr>
                <w:rFonts w:hint="eastAsia" w:ascii="宋体" w:hAnsi="宋体" w:eastAsia="宋体" w:cs="宋体"/>
                <w:i w:val="0"/>
                <w:iCs w:val="0"/>
                <w:color w:val="auto"/>
                <w:sz w:val="22"/>
                <w:szCs w:val="22"/>
                <w:highlight w:val="none"/>
                <w:u w:val="none"/>
              </w:rPr>
            </w:pPr>
          </w:p>
        </w:tc>
      </w:tr>
      <w:tr w14:paraId="05070E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0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3F9887">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205F54">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1E3F61">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8788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绿化修剪后的枯枝干叶等，要在修剪当天及时清理运走；落叶要及时清扫保洁（绿地内水体水面上的枯枝烂叶、生活垃圾及其他漂浮物要及时清理）。</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2C6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未能及时运走和清扫保洁的以10平方米为单位，每单位扣1分，扣完为止。</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5BA8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6AFFBC">
            <w:pPr>
              <w:jc w:val="center"/>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824A00">
            <w:pPr>
              <w:jc w:val="both"/>
              <w:rPr>
                <w:rFonts w:hint="eastAsia" w:ascii="宋体" w:hAnsi="宋体" w:eastAsia="宋体" w:cs="宋体"/>
                <w:i w:val="0"/>
                <w:iCs w:val="0"/>
                <w:color w:val="auto"/>
                <w:sz w:val="22"/>
                <w:szCs w:val="22"/>
                <w:highlight w:val="none"/>
                <w:u w:val="none"/>
              </w:rPr>
            </w:pPr>
          </w:p>
        </w:tc>
      </w:tr>
      <w:tr w14:paraId="7D9F134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276C6">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F422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18分</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3B25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乔木、花灌木、行道树及其它树木</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61B2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乔木树冠基本完整，基本无死株、缺株。人行道树的体量、高度基本保持一致，乔木树杆无铁钉、木板等附着物。</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169F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死株、缺株应≤2.5%,每超出1%扣1分、有铁钉、木板等附着物每处扣1分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E49A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FA4EE2">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B02D9D">
            <w:pPr>
              <w:jc w:val="left"/>
              <w:rPr>
                <w:rFonts w:hint="eastAsia" w:ascii="宋体" w:hAnsi="宋体" w:eastAsia="宋体" w:cs="宋体"/>
                <w:i w:val="0"/>
                <w:iCs w:val="0"/>
                <w:color w:val="auto"/>
                <w:sz w:val="21"/>
                <w:szCs w:val="21"/>
                <w:highlight w:val="none"/>
                <w:u w:val="none"/>
              </w:rPr>
            </w:pPr>
          </w:p>
        </w:tc>
      </w:tr>
      <w:tr w14:paraId="210367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E04F6D">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71C1C0">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AE220E">
            <w:pPr>
              <w:jc w:val="center"/>
              <w:rPr>
                <w:rFonts w:hint="eastAsia" w:ascii="宋体" w:hAnsi="宋体" w:eastAsia="宋体" w:cs="宋体"/>
                <w:i w:val="0"/>
                <w:iCs w:val="0"/>
                <w:color w:val="auto"/>
                <w:sz w:val="21"/>
                <w:szCs w:val="21"/>
                <w:highlight w:val="none"/>
                <w:u w:val="none"/>
              </w:rPr>
            </w:pPr>
          </w:p>
        </w:tc>
        <w:tc>
          <w:tcPr>
            <w:tcW w:w="1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6896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花灌木生长正常，开花正常，木本地被植物生长正常，覆盖率达到 97%以上，基本无杂草，无死株、缺株。</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6508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花灌木、木本地被植物覆盖率低于97%，以上情况出现每少1%扣1分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7179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3333A">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7AF150">
            <w:pPr>
              <w:jc w:val="left"/>
              <w:rPr>
                <w:rFonts w:hint="eastAsia" w:ascii="宋体" w:hAnsi="宋体" w:eastAsia="宋体" w:cs="宋体"/>
                <w:i w:val="0"/>
                <w:iCs w:val="0"/>
                <w:color w:val="auto"/>
                <w:sz w:val="21"/>
                <w:szCs w:val="21"/>
                <w:highlight w:val="none"/>
                <w:u w:val="none"/>
              </w:rPr>
            </w:pPr>
          </w:p>
        </w:tc>
      </w:tr>
      <w:tr w14:paraId="63A200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22D08">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8A6EF0">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AF824F">
            <w:pPr>
              <w:jc w:val="center"/>
              <w:rPr>
                <w:rFonts w:hint="eastAsia" w:ascii="宋体" w:hAnsi="宋体" w:eastAsia="宋体" w:cs="宋体"/>
                <w:i w:val="0"/>
                <w:iCs w:val="0"/>
                <w:color w:val="auto"/>
                <w:sz w:val="21"/>
                <w:szCs w:val="21"/>
                <w:highlight w:val="none"/>
                <w:u w:val="none"/>
              </w:rPr>
            </w:pPr>
          </w:p>
        </w:tc>
        <w:tc>
          <w:tcPr>
            <w:tcW w:w="1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7C4DD7">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15C1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花灌木、木本地被植物存在杂草、死株、缺株≥2.5%，以上情况出现每多1%扣1分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89C2D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9CC99">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FE6CE1">
            <w:pPr>
              <w:jc w:val="left"/>
              <w:rPr>
                <w:rFonts w:hint="eastAsia" w:ascii="宋体" w:hAnsi="宋体" w:eastAsia="宋体" w:cs="宋体"/>
                <w:i w:val="0"/>
                <w:iCs w:val="0"/>
                <w:color w:val="auto"/>
                <w:sz w:val="21"/>
                <w:szCs w:val="21"/>
                <w:highlight w:val="none"/>
                <w:u w:val="none"/>
              </w:rPr>
            </w:pPr>
          </w:p>
        </w:tc>
      </w:tr>
      <w:tr w14:paraId="0FD79B0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35CFB7">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991C1E">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7B25529">
            <w:pPr>
              <w:jc w:val="center"/>
              <w:rPr>
                <w:rFonts w:hint="eastAsia" w:ascii="宋体" w:hAnsi="宋体" w:eastAsia="宋体" w:cs="宋体"/>
                <w:i w:val="0"/>
                <w:iCs w:val="0"/>
                <w:color w:val="auto"/>
                <w:sz w:val="21"/>
                <w:szCs w:val="21"/>
                <w:highlight w:val="none"/>
                <w:u w:val="none"/>
              </w:rPr>
            </w:pPr>
          </w:p>
        </w:tc>
        <w:tc>
          <w:tcPr>
            <w:tcW w:w="1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A1F1CD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绿篱生长旺盛，无死株，无明显断垄，无高草杂草，无明显病虫害发生。</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E761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绿篱存在死株、明显断垄，每处扣1分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CB1B6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D451FD">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928991">
            <w:pPr>
              <w:jc w:val="left"/>
              <w:rPr>
                <w:rFonts w:hint="eastAsia" w:ascii="宋体" w:hAnsi="宋体" w:eastAsia="宋体" w:cs="宋体"/>
                <w:i w:val="0"/>
                <w:iCs w:val="0"/>
                <w:color w:val="auto"/>
                <w:sz w:val="21"/>
                <w:szCs w:val="21"/>
                <w:highlight w:val="none"/>
                <w:u w:val="none"/>
              </w:rPr>
            </w:pPr>
          </w:p>
        </w:tc>
      </w:tr>
      <w:tr w14:paraId="092F4E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4A2B74">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3386CE">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650218">
            <w:pPr>
              <w:jc w:val="center"/>
              <w:rPr>
                <w:rFonts w:hint="eastAsia" w:ascii="宋体" w:hAnsi="宋体" w:eastAsia="宋体" w:cs="宋体"/>
                <w:i w:val="0"/>
                <w:iCs w:val="0"/>
                <w:color w:val="auto"/>
                <w:sz w:val="21"/>
                <w:szCs w:val="21"/>
                <w:highlight w:val="none"/>
                <w:u w:val="none"/>
              </w:rPr>
            </w:pPr>
          </w:p>
        </w:tc>
        <w:tc>
          <w:tcPr>
            <w:tcW w:w="1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DC3000">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17F33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发生病虫害，每处扣1分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2694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490CF">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BEAEBF">
            <w:pPr>
              <w:jc w:val="left"/>
              <w:rPr>
                <w:rFonts w:hint="eastAsia" w:ascii="宋体" w:hAnsi="宋体" w:eastAsia="宋体" w:cs="宋体"/>
                <w:i w:val="0"/>
                <w:iCs w:val="0"/>
                <w:color w:val="auto"/>
                <w:sz w:val="21"/>
                <w:szCs w:val="21"/>
                <w:highlight w:val="none"/>
                <w:u w:val="none"/>
              </w:rPr>
            </w:pPr>
          </w:p>
        </w:tc>
      </w:tr>
      <w:tr w14:paraId="713881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AC4D1A">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930A7">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FDF1C">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38905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藤本植物生长正常，视攀缘植物生长习性，覆盖率不低于85%。</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8F95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藤本植物覆盖率低于85%，以上情况出现每低10%扣1分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806E2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C73C4F">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3899D">
            <w:pPr>
              <w:jc w:val="left"/>
              <w:rPr>
                <w:rFonts w:hint="eastAsia" w:ascii="宋体" w:hAnsi="宋体" w:eastAsia="宋体" w:cs="宋体"/>
                <w:i w:val="0"/>
                <w:iCs w:val="0"/>
                <w:color w:val="auto"/>
                <w:sz w:val="21"/>
                <w:szCs w:val="21"/>
                <w:highlight w:val="none"/>
                <w:u w:val="none"/>
              </w:rPr>
            </w:pPr>
          </w:p>
        </w:tc>
      </w:tr>
      <w:tr w14:paraId="08C688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46AEAE">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36466">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336121">
            <w:pPr>
              <w:jc w:val="center"/>
              <w:rPr>
                <w:rFonts w:hint="eastAsia" w:ascii="宋体" w:hAnsi="宋体" w:eastAsia="宋体" w:cs="宋体"/>
                <w:i w:val="0"/>
                <w:iCs w:val="0"/>
                <w:color w:val="auto"/>
                <w:sz w:val="21"/>
                <w:szCs w:val="21"/>
                <w:highlight w:val="none"/>
                <w:u w:val="none"/>
              </w:rPr>
            </w:pPr>
          </w:p>
        </w:tc>
        <w:tc>
          <w:tcPr>
            <w:tcW w:w="1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E2AB0E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补植、改植于5天内完成</w:t>
            </w:r>
          </w:p>
          <w:p w14:paraId="090EA1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草坪补植或改植后一个月内覆盖率达到95%以上其他植物补植或改植的成活率达到98%以上</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364F6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未能在5天内及时补植的，每处扣1分，对已要求补植但仍不按要求补植的，扣2分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4F70C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0A7FF6">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F497C">
            <w:pPr>
              <w:jc w:val="left"/>
              <w:rPr>
                <w:rFonts w:hint="eastAsia" w:ascii="宋体" w:hAnsi="宋体" w:eastAsia="宋体" w:cs="宋体"/>
                <w:i w:val="0"/>
                <w:iCs w:val="0"/>
                <w:color w:val="auto"/>
                <w:sz w:val="21"/>
                <w:szCs w:val="21"/>
                <w:highlight w:val="none"/>
                <w:u w:val="none"/>
              </w:rPr>
            </w:pPr>
          </w:p>
        </w:tc>
      </w:tr>
      <w:tr w14:paraId="4C69C72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23C56">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027730">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E12552">
            <w:pPr>
              <w:jc w:val="center"/>
              <w:rPr>
                <w:rFonts w:hint="eastAsia" w:ascii="宋体" w:hAnsi="宋体" w:eastAsia="宋体" w:cs="宋体"/>
                <w:i w:val="0"/>
                <w:iCs w:val="0"/>
                <w:color w:val="auto"/>
                <w:sz w:val="21"/>
                <w:szCs w:val="21"/>
                <w:highlight w:val="none"/>
                <w:u w:val="none"/>
              </w:rPr>
            </w:pPr>
          </w:p>
        </w:tc>
        <w:tc>
          <w:tcPr>
            <w:tcW w:w="1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BF0DEA">
            <w:pPr>
              <w:jc w:val="left"/>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6033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草坪补植或改植后一个月内覆盖率达到95%以上，每少1%扣1分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F844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DA471">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1048EB">
            <w:pPr>
              <w:jc w:val="left"/>
              <w:rPr>
                <w:rFonts w:hint="eastAsia" w:ascii="宋体" w:hAnsi="宋体" w:eastAsia="宋体" w:cs="宋体"/>
                <w:i w:val="0"/>
                <w:iCs w:val="0"/>
                <w:color w:val="auto"/>
                <w:sz w:val="21"/>
                <w:szCs w:val="21"/>
                <w:highlight w:val="none"/>
                <w:u w:val="none"/>
              </w:rPr>
            </w:pPr>
          </w:p>
        </w:tc>
      </w:tr>
      <w:tr w14:paraId="6E47753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0241E">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3234B6">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1ECC7B">
            <w:pPr>
              <w:jc w:val="center"/>
              <w:rPr>
                <w:rFonts w:hint="eastAsia" w:ascii="宋体" w:hAnsi="宋体" w:eastAsia="宋体" w:cs="宋体"/>
                <w:i w:val="0"/>
                <w:iCs w:val="0"/>
                <w:color w:val="auto"/>
                <w:sz w:val="21"/>
                <w:szCs w:val="21"/>
                <w:highlight w:val="none"/>
                <w:u w:val="none"/>
              </w:rPr>
            </w:pPr>
          </w:p>
        </w:tc>
        <w:tc>
          <w:tcPr>
            <w:tcW w:w="1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FEA112">
            <w:pPr>
              <w:jc w:val="left"/>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0097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其他植物补植或改植的成活率达到 98%以上，每少1%扣1分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BD70C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D55F7">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40390C">
            <w:pPr>
              <w:jc w:val="left"/>
              <w:rPr>
                <w:rFonts w:hint="eastAsia" w:ascii="宋体" w:hAnsi="宋体" w:eastAsia="宋体" w:cs="宋体"/>
                <w:i w:val="0"/>
                <w:iCs w:val="0"/>
                <w:color w:val="auto"/>
                <w:sz w:val="21"/>
                <w:szCs w:val="21"/>
                <w:highlight w:val="none"/>
                <w:u w:val="none"/>
              </w:rPr>
            </w:pPr>
          </w:p>
        </w:tc>
      </w:tr>
      <w:tr w14:paraId="2357F7F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21CE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C1975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16分</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1EA5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花卉、地被、草坪</w:t>
            </w:r>
          </w:p>
        </w:tc>
        <w:tc>
          <w:tcPr>
            <w:tcW w:w="1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443FC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花卉生长正常，株型完整，开花适时，开花时覆盖率达到90%以上，基本无杂草</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F5C8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花卉开花时覆盖率低于90%，以上情况出现每低1%扣1分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0D38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DC40E">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CFDC7F">
            <w:pPr>
              <w:jc w:val="left"/>
              <w:rPr>
                <w:rFonts w:hint="eastAsia" w:ascii="宋体" w:hAnsi="宋体" w:eastAsia="宋体" w:cs="宋体"/>
                <w:i w:val="0"/>
                <w:iCs w:val="0"/>
                <w:color w:val="auto"/>
                <w:sz w:val="21"/>
                <w:szCs w:val="21"/>
                <w:highlight w:val="none"/>
                <w:u w:val="none"/>
              </w:rPr>
            </w:pPr>
          </w:p>
        </w:tc>
      </w:tr>
      <w:tr w14:paraId="6499657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10F08">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BD8B5">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4B0ADA">
            <w:pPr>
              <w:jc w:val="center"/>
              <w:rPr>
                <w:rFonts w:hint="eastAsia" w:ascii="宋体" w:hAnsi="宋体" w:eastAsia="宋体" w:cs="宋体"/>
                <w:i w:val="0"/>
                <w:iCs w:val="0"/>
                <w:color w:val="auto"/>
                <w:sz w:val="21"/>
                <w:szCs w:val="21"/>
                <w:highlight w:val="none"/>
                <w:u w:val="none"/>
              </w:rPr>
            </w:pPr>
          </w:p>
        </w:tc>
        <w:tc>
          <w:tcPr>
            <w:tcW w:w="1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7E5BB8">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C389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花卉存在杂草应低于3%，每高出1%扣1分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FA4D4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ECE908">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4C02EB">
            <w:pPr>
              <w:jc w:val="left"/>
              <w:rPr>
                <w:rFonts w:hint="eastAsia" w:ascii="宋体" w:hAnsi="宋体" w:eastAsia="宋体" w:cs="宋体"/>
                <w:i w:val="0"/>
                <w:iCs w:val="0"/>
                <w:color w:val="auto"/>
                <w:sz w:val="21"/>
                <w:szCs w:val="21"/>
                <w:highlight w:val="none"/>
                <w:u w:val="none"/>
              </w:rPr>
            </w:pPr>
          </w:p>
        </w:tc>
      </w:tr>
      <w:tr w14:paraId="227C33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79EF17">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14F998">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EA4077">
            <w:pPr>
              <w:jc w:val="center"/>
              <w:rPr>
                <w:rFonts w:hint="eastAsia" w:ascii="宋体" w:hAnsi="宋体" w:eastAsia="宋体" w:cs="宋体"/>
                <w:i w:val="0"/>
                <w:iCs w:val="0"/>
                <w:color w:val="auto"/>
                <w:sz w:val="21"/>
                <w:szCs w:val="21"/>
                <w:highlight w:val="none"/>
                <w:u w:val="none"/>
              </w:rPr>
            </w:pPr>
          </w:p>
        </w:tc>
        <w:tc>
          <w:tcPr>
            <w:tcW w:w="1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746C4A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草坪及地被植物整齐，草坪的绿色期不少于250天覆盖率90%以上</w:t>
            </w:r>
          </w:p>
          <w:p w14:paraId="4526E0B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杂草的覆盖率不超过3%</w:t>
            </w:r>
          </w:p>
          <w:p w14:paraId="685D91F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无积水</w:t>
            </w:r>
          </w:p>
          <w:p w14:paraId="2950D1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草坪植物生长旺盛、无裸露地面，无成片枯黄，枯黄率控制在2%以内</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00B9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草坪及地被植物参差不齐，草坪的绿色期少于250天，以上情况出现每少3天扣1分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4F330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E10169">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55D124">
            <w:pPr>
              <w:jc w:val="left"/>
              <w:rPr>
                <w:rFonts w:hint="eastAsia" w:ascii="宋体" w:hAnsi="宋体" w:eastAsia="宋体" w:cs="宋体"/>
                <w:i w:val="0"/>
                <w:iCs w:val="0"/>
                <w:color w:val="auto"/>
                <w:sz w:val="21"/>
                <w:szCs w:val="21"/>
                <w:highlight w:val="none"/>
                <w:u w:val="none"/>
              </w:rPr>
            </w:pPr>
          </w:p>
        </w:tc>
      </w:tr>
      <w:tr w14:paraId="41C44E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ACC42F">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75FF9">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75A4A2">
            <w:pPr>
              <w:jc w:val="center"/>
              <w:rPr>
                <w:rFonts w:hint="eastAsia" w:ascii="宋体" w:hAnsi="宋体" w:eastAsia="宋体" w:cs="宋体"/>
                <w:i w:val="0"/>
                <w:iCs w:val="0"/>
                <w:color w:val="auto"/>
                <w:sz w:val="21"/>
                <w:szCs w:val="21"/>
                <w:highlight w:val="none"/>
                <w:u w:val="none"/>
              </w:rPr>
            </w:pPr>
          </w:p>
        </w:tc>
        <w:tc>
          <w:tcPr>
            <w:tcW w:w="1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31896F">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EEEEF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覆盖率低于90%，每低1%扣1分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C38F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24F5F">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4ED4AB">
            <w:pPr>
              <w:jc w:val="left"/>
              <w:rPr>
                <w:rFonts w:hint="eastAsia" w:ascii="宋体" w:hAnsi="宋体" w:eastAsia="宋体" w:cs="宋体"/>
                <w:i w:val="0"/>
                <w:iCs w:val="0"/>
                <w:color w:val="auto"/>
                <w:sz w:val="21"/>
                <w:szCs w:val="21"/>
                <w:highlight w:val="none"/>
                <w:u w:val="none"/>
              </w:rPr>
            </w:pPr>
          </w:p>
        </w:tc>
      </w:tr>
      <w:tr w14:paraId="2D61ABE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18EFF6">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350AA">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D6810D">
            <w:pPr>
              <w:jc w:val="center"/>
              <w:rPr>
                <w:rFonts w:hint="eastAsia" w:ascii="宋体" w:hAnsi="宋体" w:eastAsia="宋体" w:cs="宋体"/>
                <w:i w:val="0"/>
                <w:iCs w:val="0"/>
                <w:color w:val="auto"/>
                <w:sz w:val="21"/>
                <w:szCs w:val="21"/>
                <w:highlight w:val="none"/>
                <w:u w:val="none"/>
              </w:rPr>
            </w:pPr>
          </w:p>
        </w:tc>
        <w:tc>
          <w:tcPr>
            <w:tcW w:w="1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71E07C">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63785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每平方米杂草超过15株，每超过1株扣0.5分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5A4EA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879D7">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988FFE">
            <w:pPr>
              <w:jc w:val="left"/>
              <w:rPr>
                <w:rFonts w:hint="eastAsia" w:ascii="宋体" w:hAnsi="宋体" w:eastAsia="宋体" w:cs="宋体"/>
                <w:i w:val="0"/>
                <w:iCs w:val="0"/>
                <w:color w:val="auto"/>
                <w:sz w:val="21"/>
                <w:szCs w:val="21"/>
                <w:highlight w:val="none"/>
                <w:u w:val="none"/>
              </w:rPr>
            </w:pPr>
          </w:p>
        </w:tc>
      </w:tr>
      <w:tr w14:paraId="3523055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58A754">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F1B7CF">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5ACF27">
            <w:pPr>
              <w:jc w:val="center"/>
              <w:rPr>
                <w:rFonts w:hint="eastAsia" w:ascii="宋体" w:hAnsi="宋体" w:eastAsia="宋体" w:cs="宋体"/>
                <w:i w:val="0"/>
                <w:iCs w:val="0"/>
                <w:color w:val="auto"/>
                <w:sz w:val="21"/>
                <w:szCs w:val="21"/>
                <w:highlight w:val="none"/>
                <w:u w:val="none"/>
              </w:rPr>
            </w:pPr>
          </w:p>
        </w:tc>
        <w:tc>
          <w:tcPr>
            <w:tcW w:w="1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E6A32A">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7C33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存在积水，每处扣1分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B06D9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4003AD">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EB8313">
            <w:pPr>
              <w:jc w:val="left"/>
              <w:rPr>
                <w:rFonts w:hint="eastAsia" w:ascii="宋体" w:hAnsi="宋体" w:eastAsia="宋体" w:cs="宋体"/>
                <w:i w:val="0"/>
                <w:iCs w:val="0"/>
                <w:color w:val="auto"/>
                <w:sz w:val="21"/>
                <w:szCs w:val="21"/>
                <w:highlight w:val="none"/>
                <w:u w:val="none"/>
              </w:rPr>
            </w:pPr>
          </w:p>
        </w:tc>
      </w:tr>
      <w:tr w14:paraId="15853E4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E9A2ED">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8ECA5">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143134">
            <w:pPr>
              <w:jc w:val="center"/>
              <w:rPr>
                <w:rFonts w:hint="eastAsia" w:ascii="宋体" w:hAnsi="宋体" w:eastAsia="宋体" w:cs="宋体"/>
                <w:i w:val="0"/>
                <w:iCs w:val="0"/>
                <w:color w:val="auto"/>
                <w:sz w:val="21"/>
                <w:szCs w:val="21"/>
                <w:highlight w:val="none"/>
                <w:u w:val="none"/>
              </w:rPr>
            </w:pPr>
          </w:p>
        </w:tc>
        <w:tc>
          <w:tcPr>
            <w:tcW w:w="1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A86078">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0F94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草坪地面裸露，成片枯黄，枯黄率高于2%，每高1%扣1分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CE14A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C296">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5EFB79">
            <w:pPr>
              <w:jc w:val="left"/>
              <w:rPr>
                <w:rFonts w:hint="eastAsia" w:ascii="宋体" w:hAnsi="宋体" w:eastAsia="宋体" w:cs="宋体"/>
                <w:i w:val="0"/>
                <w:iCs w:val="0"/>
                <w:color w:val="auto"/>
                <w:sz w:val="21"/>
                <w:szCs w:val="21"/>
                <w:highlight w:val="none"/>
                <w:u w:val="none"/>
              </w:rPr>
            </w:pPr>
          </w:p>
        </w:tc>
      </w:tr>
      <w:tr w14:paraId="3AD04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C85A2D">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694090">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1A74C2">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04D6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花坛、花带、花台植物基本无杂草</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641B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花坛、花带、花台植物存在杂草应低于3%，每高1%扣1分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8CEF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26D693">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7B5CA8">
            <w:pPr>
              <w:jc w:val="left"/>
              <w:rPr>
                <w:rFonts w:hint="eastAsia" w:ascii="宋体" w:hAnsi="宋体" w:eastAsia="宋体" w:cs="宋体"/>
                <w:i w:val="0"/>
                <w:iCs w:val="0"/>
                <w:color w:val="auto"/>
                <w:sz w:val="21"/>
                <w:szCs w:val="21"/>
                <w:highlight w:val="none"/>
                <w:u w:val="none"/>
              </w:rPr>
            </w:pPr>
          </w:p>
        </w:tc>
      </w:tr>
      <w:tr w14:paraId="3A25BA3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CB3B8D">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7F13D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31分</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E048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修剪、淋水及施肥</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271B2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二级养护标准制定乔木、灌木、绿篱等苗木的修剪计划。自然形乔木每年不少于1次、造型乔木每年不少于4次、自然形灌木每年不少于1次、造型灌木每年不少于6次、绿篱、模纹花坛修剪：绿篱、模纹花坛修剪每年不少于6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83FA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未制定计划，扣3分；修剪计划有变化，未提前调整计划，每次扣1分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054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7FCEE">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2FC9FC">
            <w:pPr>
              <w:jc w:val="left"/>
              <w:rPr>
                <w:rFonts w:hint="eastAsia" w:ascii="宋体" w:hAnsi="宋体" w:eastAsia="宋体" w:cs="宋体"/>
                <w:i w:val="0"/>
                <w:iCs w:val="0"/>
                <w:color w:val="auto"/>
                <w:sz w:val="21"/>
                <w:szCs w:val="21"/>
                <w:highlight w:val="none"/>
                <w:u w:val="none"/>
              </w:rPr>
            </w:pPr>
          </w:p>
        </w:tc>
      </w:tr>
      <w:tr w14:paraId="001A2E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16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A8486">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B38C1">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7AC620">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9F5F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按照修剪计划完成乔木、灌木、绿篱、模纹花坛的修剪工作</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72B4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未按计划完成修剪工作，且未提前调整修剪计划，造成延后的，每次扣2分，未进行修剪扣5分。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B06B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599F25">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BD909E">
            <w:pPr>
              <w:jc w:val="left"/>
              <w:rPr>
                <w:rFonts w:hint="eastAsia" w:ascii="宋体" w:hAnsi="宋体" w:eastAsia="宋体" w:cs="宋体"/>
                <w:i w:val="0"/>
                <w:iCs w:val="0"/>
                <w:color w:val="auto"/>
                <w:sz w:val="21"/>
                <w:szCs w:val="21"/>
                <w:highlight w:val="none"/>
                <w:u w:val="none"/>
              </w:rPr>
            </w:pPr>
          </w:p>
        </w:tc>
      </w:tr>
      <w:tr w14:paraId="5D4B3D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B714F">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29BAD9">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395D17">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AF38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草坪修剪留茬高度1.3—5.0cm</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A93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修剪高度不在留茬高度范围内，每次扣1分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D2D8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10A06">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D35FD">
            <w:pPr>
              <w:jc w:val="left"/>
              <w:rPr>
                <w:rFonts w:hint="eastAsia" w:ascii="宋体" w:hAnsi="宋体" w:eastAsia="宋体" w:cs="宋体"/>
                <w:i w:val="0"/>
                <w:iCs w:val="0"/>
                <w:color w:val="auto"/>
                <w:sz w:val="21"/>
                <w:szCs w:val="21"/>
                <w:highlight w:val="none"/>
                <w:u w:val="none"/>
              </w:rPr>
            </w:pPr>
          </w:p>
        </w:tc>
      </w:tr>
      <w:tr w14:paraId="3538671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1F856">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624C68">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7DEA2A9">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F01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地表无自然沉降、隆起等现象，绿地内应保持清洁，做到无垃圾杂物，无石砾砖块，无成片干枯枝叶，无粪便污物，无悬挂物，无蚊蝇滋生</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75FA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绿地内存在垃圾杂物、 自然沉降、隆起、石砾砖块，成片干枯枝叶，粪便污物，悬挂物，每处扣1分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299C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15BFC1">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2741F82">
            <w:pPr>
              <w:jc w:val="left"/>
              <w:rPr>
                <w:rFonts w:hint="eastAsia" w:ascii="宋体" w:hAnsi="宋体" w:eastAsia="宋体" w:cs="宋体"/>
                <w:i w:val="0"/>
                <w:iCs w:val="0"/>
                <w:color w:val="auto"/>
                <w:sz w:val="21"/>
                <w:szCs w:val="21"/>
                <w:highlight w:val="none"/>
                <w:u w:val="none"/>
              </w:rPr>
            </w:pPr>
          </w:p>
        </w:tc>
      </w:tr>
      <w:tr w14:paraId="15C5FE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10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5694BD">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3E6E6A">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6F62B6">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A903A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根据二级养护标准制定乔灌木、观花灌木、草本花卉、绿篱、草地、地被的施肥计划。</w:t>
            </w:r>
          </w:p>
          <w:p w14:paraId="3E25DEE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乔灌木施肥每年不少于2次，2—3月和9—10月重点进行施肥，复合肥和基肥结合；观花灌木每年不少于3次；</w:t>
            </w:r>
          </w:p>
          <w:p w14:paraId="1CC0957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草本花卉每年不少于4次，成片花卉每月撒施复合肥1次，每年根据其长势和覆盖率情况适当施基肥 1—2次；</w:t>
            </w:r>
          </w:p>
          <w:p w14:paraId="77DED63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绿篱每年撒施复合肥不少于2次，每年根据其长势和 覆盖率情况适当施基肥1—2次；</w:t>
            </w:r>
          </w:p>
          <w:p w14:paraId="06419F9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草地、地被每年不少于2次。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191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未制定计划，扣3分；施肥计划有变化，未提前调整计划，每次扣1分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FD21C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73D110">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BEE60">
            <w:pPr>
              <w:jc w:val="left"/>
              <w:rPr>
                <w:rFonts w:hint="eastAsia" w:ascii="宋体" w:hAnsi="宋体" w:eastAsia="宋体" w:cs="宋体"/>
                <w:i w:val="0"/>
                <w:iCs w:val="0"/>
                <w:color w:val="auto"/>
                <w:sz w:val="21"/>
                <w:szCs w:val="21"/>
                <w:highlight w:val="none"/>
                <w:u w:val="none"/>
              </w:rPr>
            </w:pPr>
          </w:p>
        </w:tc>
      </w:tr>
      <w:tr w14:paraId="615048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753120">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8C386D">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6986349">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AC3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按照施肥计划完成乔灌木、观花灌木、草本花卉、绿篱、草地、地被的施肥工作。</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AEDB1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未按计划完成施肥工作，且未提前调整施肥计划，造成生长衰退的，每次扣2分；</w:t>
            </w:r>
          </w:p>
          <w:p w14:paraId="454979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如施肥次数未达到要求的，每少1次扣2分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9933D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841A79">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692A86">
            <w:pPr>
              <w:jc w:val="left"/>
              <w:rPr>
                <w:rFonts w:hint="eastAsia" w:ascii="宋体" w:hAnsi="宋体" w:eastAsia="宋体" w:cs="宋体"/>
                <w:i w:val="0"/>
                <w:iCs w:val="0"/>
                <w:color w:val="auto"/>
                <w:sz w:val="21"/>
                <w:szCs w:val="21"/>
                <w:highlight w:val="none"/>
                <w:u w:val="none"/>
              </w:rPr>
            </w:pPr>
          </w:p>
        </w:tc>
      </w:tr>
      <w:tr w14:paraId="0C02F8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A9A76A">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F3FAF0">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8E9BFD">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DF5F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及时淋水，旱季一般乔木3—5 天淋水1次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1FD17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旱季乔木淋水次数低于规定次数，每次扣1分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8590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3FDD9D">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E5DC57">
            <w:pPr>
              <w:jc w:val="left"/>
              <w:rPr>
                <w:rFonts w:hint="eastAsia" w:ascii="宋体" w:hAnsi="宋体" w:eastAsia="宋体" w:cs="宋体"/>
                <w:i w:val="0"/>
                <w:iCs w:val="0"/>
                <w:color w:val="auto"/>
                <w:sz w:val="21"/>
                <w:szCs w:val="21"/>
                <w:highlight w:val="none"/>
                <w:u w:val="none"/>
              </w:rPr>
            </w:pPr>
          </w:p>
        </w:tc>
      </w:tr>
      <w:tr w14:paraId="61CA1A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8A0A28">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5BDA6">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6CF091">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925D6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单丛灌木、成片花卉、绿篱一般2—3 天淋水1次 </w:t>
            </w:r>
          </w:p>
          <w:p w14:paraId="617473F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草地、地被一般每天淋水1次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8D40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单丛灌木、成片花卉、绿篱淋水次数低于规定次数，每次扣1分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76DA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A513BF">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D6EFBE">
            <w:pPr>
              <w:jc w:val="left"/>
              <w:rPr>
                <w:rFonts w:hint="eastAsia" w:ascii="宋体" w:hAnsi="宋体" w:eastAsia="宋体" w:cs="宋体"/>
                <w:i w:val="0"/>
                <w:iCs w:val="0"/>
                <w:color w:val="auto"/>
                <w:sz w:val="21"/>
                <w:szCs w:val="21"/>
                <w:highlight w:val="none"/>
                <w:u w:val="none"/>
              </w:rPr>
            </w:pPr>
          </w:p>
        </w:tc>
      </w:tr>
      <w:tr w14:paraId="6E90AA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34C0F3">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8B329E">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2D1558C">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AFA24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雨季根据天气情况适当调节</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AD5F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草地、地被淋水次数低于规定次数，每次扣1分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ECB6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734E2">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BEE883">
            <w:pPr>
              <w:jc w:val="left"/>
              <w:rPr>
                <w:rFonts w:hint="eastAsia" w:ascii="宋体" w:hAnsi="宋体" w:eastAsia="宋体" w:cs="宋体"/>
                <w:i w:val="0"/>
                <w:iCs w:val="0"/>
                <w:color w:val="auto"/>
                <w:sz w:val="21"/>
                <w:szCs w:val="21"/>
                <w:highlight w:val="none"/>
                <w:u w:val="none"/>
              </w:rPr>
            </w:pPr>
          </w:p>
        </w:tc>
      </w:tr>
      <w:tr w14:paraId="75A5A3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DFB21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412F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8分</w:t>
            </w:r>
          </w:p>
        </w:tc>
        <w:tc>
          <w:tcPr>
            <w:tcW w:w="45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FF212F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病虫害防治及用药安全</w:t>
            </w:r>
          </w:p>
        </w:tc>
        <w:tc>
          <w:tcPr>
            <w:tcW w:w="13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BEC22A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病虫害控制及时、有效，被害植株不超过5%被害叶片不超过叶片总量的3%</w:t>
            </w:r>
          </w:p>
          <w:p w14:paraId="4949C1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有害植物的危害得到有效治理，鼠害基本得到控制注意防治红火蚁</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1BAB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被害植株超过5%，每多1%扣0.5分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83DE6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D371A">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A3C3D8">
            <w:pPr>
              <w:jc w:val="left"/>
              <w:rPr>
                <w:rFonts w:hint="eastAsia" w:ascii="宋体" w:hAnsi="宋体" w:eastAsia="宋体" w:cs="宋体"/>
                <w:i w:val="0"/>
                <w:iCs w:val="0"/>
                <w:color w:val="auto"/>
                <w:sz w:val="21"/>
                <w:szCs w:val="21"/>
                <w:highlight w:val="none"/>
                <w:u w:val="none"/>
              </w:rPr>
            </w:pPr>
          </w:p>
        </w:tc>
      </w:tr>
      <w:tr w14:paraId="0AB5808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63A9F1">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F2C212">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247BB3">
            <w:pPr>
              <w:jc w:val="center"/>
              <w:rPr>
                <w:rFonts w:hint="eastAsia" w:ascii="宋体" w:hAnsi="宋体" w:eastAsia="宋体" w:cs="宋体"/>
                <w:i w:val="0"/>
                <w:iCs w:val="0"/>
                <w:color w:val="auto"/>
                <w:sz w:val="21"/>
                <w:szCs w:val="21"/>
                <w:highlight w:val="none"/>
                <w:u w:val="none"/>
              </w:rPr>
            </w:pPr>
          </w:p>
        </w:tc>
        <w:tc>
          <w:tcPr>
            <w:tcW w:w="1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C645EC">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3A9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被害叶片超过叶片总量的3%，每多1%扣0.5分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AC747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75F17F">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828DD9">
            <w:pPr>
              <w:jc w:val="left"/>
              <w:rPr>
                <w:rFonts w:hint="eastAsia" w:ascii="宋体" w:hAnsi="宋体" w:eastAsia="宋体" w:cs="宋体"/>
                <w:i w:val="0"/>
                <w:iCs w:val="0"/>
                <w:color w:val="auto"/>
                <w:sz w:val="21"/>
                <w:szCs w:val="21"/>
                <w:highlight w:val="none"/>
                <w:u w:val="none"/>
              </w:rPr>
            </w:pPr>
          </w:p>
        </w:tc>
      </w:tr>
      <w:tr w14:paraId="7D312B4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E6003F">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2AA31C">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AB4C848">
            <w:pPr>
              <w:jc w:val="center"/>
              <w:rPr>
                <w:rFonts w:hint="eastAsia" w:ascii="宋体" w:hAnsi="宋体" w:eastAsia="宋体" w:cs="宋体"/>
                <w:i w:val="0"/>
                <w:iCs w:val="0"/>
                <w:color w:val="auto"/>
                <w:sz w:val="21"/>
                <w:szCs w:val="21"/>
                <w:highlight w:val="none"/>
                <w:u w:val="none"/>
              </w:rPr>
            </w:pPr>
          </w:p>
        </w:tc>
        <w:tc>
          <w:tcPr>
            <w:tcW w:w="13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9206AB">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4FC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有害植物的危害未得到有效治理，存在鼠害，出现以上情况每处扣1分，未防治红火蚁，每次扣0.5分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891E3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32AFC">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561BA">
            <w:pPr>
              <w:jc w:val="left"/>
              <w:rPr>
                <w:rFonts w:hint="eastAsia" w:ascii="宋体" w:hAnsi="宋体" w:eastAsia="宋体" w:cs="宋体"/>
                <w:i w:val="0"/>
                <w:iCs w:val="0"/>
                <w:color w:val="auto"/>
                <w:sz w:val="21"/>
                <w:szCs w:val="21"/>
                <w:highlight w:val="none"/>
                <w:u w:val="none"/>
              </w:rPr>
            </w:pPr>
          </w:p>
        </w:tc>
      </w:tr>
      <w:tr w14:paraId="28BA3B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0" w:hRule="atLeast"/>
        </w:trPr>
        <w:tc>
          <w:tcPr>
            <w:tcW w:w="439"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A5F76D">
            <w:pPr>
              <w:jc w:val="center"/>
              <w:rPr>
                <w:rFonts w:hint="eastAsia" w:ascii="宋体" w:hAnsi="宋体" w:eastAsia="宋体" w:cs="宋体"/>
                <w:i w:val="0"/>
                <w:iCs w:val="0"/>
                <w:color w:val="auto"/>
                <w:sz w:val="20"/>
                <w:szCs w:val="20"/>
                <w:highlight w:val="none"/>
                <w:u w:val="none"/>
              </w:rPr>
            </w:pPr>
          </w:p>
        </w:tc>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B385E1">
            <w:pPr>
              <w:jc w:val="center"/>
              <w:rPr>
                <w:rFonts w:hint="eastAsia" w:ascii="宋体" w:hAnsi="宋体" w:eastAsia="宋体" w:cs="宋体"/>
                <w:i w:val="0"/>
                <w:iCs w:val="0"/>
                <w:color w:val="auto"/>
                <w:sz w:val="21"/>
                <w:szCs w:val="21"/>
                <w:highlight w:val="none"/>
                <w:u w:val="none"/>
              </w:rPr>
            </w:pPr>
          </w:p>
        </w:tc>
        <w:tc>
          <w:tcPr>
            <w:tcW w:w="45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BF14CCB">
            <w:pPr>
              <w:jc w:val="center"/>
              <w:rPr>
                <w:rFonts w:hint="eastAsia" w:ascii="宋体" w:hAnsi="宋体" w:eastAsia="宋体" w:cs="宋体"/>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A852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用药符合规定，选用高效、低毒、无污染，配比正确，</w:t>
            </w:r>
          </w:p>
          <w:p w14:paraId="24674F0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操作安全，不发生药害事故</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70C5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发生药害事故，危害树木明显影响景观的，</w:t>
            </w:r>
          </w:p>
          <w:p w14:paraId="2476EA9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每处扣 2 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79E23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85C44E">
            <w:pPr>
              <w:jc w:val="left"/>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8881B3">
            <w:pPr>
              <w:jc w:val="left"/>
              <w:rPr>
                <w:rFonts w:hint="eastAsia" w:ascii="宋体" w:hAnsi="宋体" w:eastAsia="宋体" w:cs="宋体"/>
                <w:i w:val="0"/>
                <w:iCs w:val="0"/>
                <w:color w:val="auto"/>
                <w:sz w:val="21"/>
                <w:szCs w:val="21"/>
                <w:highlight w:val="none"/>
                <w:u w:val="none"/>
              </w:rPr>
            </w:pPr>
          </w:p>
        </w:tc>
      </w:tr>
      <w:tr w14:paraId="07CCCD2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0EC46A">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7</w:t>
            </w:r>
          </w:p>
        </w:tc>
        <w:tc>
          <w:tcPr>
            <w:tcW w:w="44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5FCD">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5分</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C57B78">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其他要求</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A30D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u w:val="none"/>
                <w:lang w:val="en-US" w:eastAsia="zh-CN" w:bidi="ar"/>
              </w:rPr>
              <w:t>服从招标人突击性任务、迎检活动安排、紧急服务等工作要求。</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E535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val="en-US" w:eastAsia="zh-CN" w:bidi="ar"/>
              </w:rPr>
              <w:t>无正当理由拒不服从的，每次扣5分。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DEB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37ADD">
            <w:pPr>
              <w:jc w:val="both"/>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18511">
            <w:pPr>
              <w:rPr>
                <w:rFonts w:hint="eastAsia" w:ascii="宋体" w:hAnsi="宋体" w:eastAsia="宋体" w:cs="宋体"/>
                <w:i w:val="0"/>
                <w:iCs w:val="0"/>
                <w:color w:val="auto"/>
                <w:sz w:val="22"/>
                <w:szCs w:val="22"/>
                <w:highlight w:val="none"/>
                <w:u w:val="none"/>
              </w:rPr>
            </w:pPr>
          </w:p>
        </w:tc>
      </w:tr>
      <w:tr w14:paraId="4184AE1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0CF21E">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8</w:t>
            </w:r>
          </w:p>
        </w:tc>
        <w:tc>
          <w:tcPr>
            <w:tcW w:w="9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5D9B71">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扣分项</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5F87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val="en-US" w:eastAsia="zh-CN" w:bidi="ar"/>
              </w:rPr>
              <w:t>未在合同约定期限内更换或补充招标人所需人员的。</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F4AB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Cs w:val="21"/>
                <w:highlight w:val="none"/>
                <w:lang w:val="en-US" w:eastAsia="zh-CN" w:bidi="ar"/>
              </w:rPr>
              <w:t>每</w:t>
            </w:r>
            <w:r>
              <w:rPr>
                <w:rFonts w:hint="eastAsia" w:ascii="宋体" w:hAnsi="宋体" w:eastAsia="宋体" w:cs="宋体"/>
                <w:color w:val="auto"/>
                <w:kern w:val="0"/>
                <w:szCs w:val="21"/>
                <w:highlight w:val="none"/>
                <w:lang w:val="en-US" w:eastAsia="zh-CN" w:bidi="ar"/>
              </w:rPr>
              <w:t>违反一</w:t>
            </w:r>
            <w:r>
              <w:rPr>
                <w:rFonts w:hint="default" w:ascii="宋体" w:hAnsi="宋体" w:eastAsia="宋体" w:cs="宋体"/>
                <w:color w:val="auto"/>
                <w:kern w:val="0"/>
                <w:szCs w:val="21"/>
                <w:highlight w:val="none"/>
                <w:lang w:val="en-US" w:eastAsia="zh-CN" w:bidi="ar"/>
              </w:rPr>
              <w:t>次扣</w:t>
            </w:r>
            <w:r>
              <w:rPr>
                <w:rFonts w:hint="eastAsia" w:ascii="宋体" w:hAnsi="宋体" w:eastAsia="宋体" w:cs="宋体"/>
                <w:color w:val="auto"/>
                <w:kern w:val="0"/>
                <w:szCs w:val="21"/>
                <w:highlight w:val="none"/>
                <w:lang w:val="en-US" w:eastAsia="zh-CN" w:bidi="ar"/>
              </w:rPr>
              <w:t>10</w:t>
            </w:r>
            <w:r>
              <w:rPr>
                <w:rFonts w:hint="default" w:ascii="宋体" w:hAnsi="宋体" w:eastAsia="宋体" w:cs="宋体"/>
                <w:color w:val="auto"/>
                <w:kern w:val="0"/>
                <w:szCs w:val="21"/>
                <w:highlight w:val="none"/>
                <w:lang w:val="en-US" w:eastAsia="zh-CN" w:bidi="ar"/>
              </w:rPr>
              <w:t>分。</w:t>
            </w:r>
          </w:p>
        </w:tc>
        <w:tc>
          <w:tcPr>
            <w:tcW w:w="4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B9741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44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C3875F">
            <w:pPr>
              <w:jc w:val="both"/>
              <w:rPr>
                <w:rFonts w:hint="eastAsia" w:ascii="宋体" w:hAnsi="宋体" w:eastAsia="宋体" w:cs="宋体"/>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69CB1">
            <w:pPr>
              <w:rPr>
                <w:rFonts w:hint="eastAsia" w:ascii="宋体" w:hAnsi="宋体" w:eastAsia="宋体" w:cs="宋体"/>
                <w:i w:val="0"/>
                <w:iCs w:val="0"/>
                <w:color w:val="auto"/>
                <w:sz w:val="22"/>
                <w:szCs w:val="22"/>
                <w:highlight w:val="none"/>
                <w:u w:val="none"/>
              </w:rPr>
            </w:pPr>
          </w:p>
        </w:tc>
      </w:tr>
      <w:tr w14:paraId="78A214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97" w:hRule="atLeast"/>
        </w:trPr>
        <w:tc>
          <w:tcPr>
            <w:tcW w:w="4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B2380C">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365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FA79D34">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100分</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CCB1">
            <w:pPr>
              <w:rPr>
                <w:rFonts w:hint="eastAsia" w:ascii="宋体" w:hAnsi="宋体" w:eastAsia="宋体" w:cs="宋体"/>
                <w:b/>
                <w:bCs/>
                <w:i w:val="0"/>
                <w:iCs w:val="0"/>
                <w:color w:val="auto"/>
                <w:sz w:val="21"/>
                <w:szCs w:val="21"/>
                <w:highlight w:val="none"/>
                <w:u w:val="none"/>
              </w:rPr>
            </w:pPr>
          </w:p>
        </w:tc>
        <w:tc>
          <w:tcPr>
            <w:tcW w:w="46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95F65">
            <w:pPr>
              <w:rPr>
                <w:rFonts w:hint="eastAsia" w:ascii="宋体" w:hAnsi="宋体" w:eastAsia="宋体" w:cs="宋体"/>
                <w:b/>
                <w:bCs/>
                <w:i w:val="0"/>
                <w:iCs w:val="0"/>
                <w:color w:val="auto"/>
                <w:sz w:val="21"/>
                <w:szCs w:val="21"/>
                <w:highlight w:val="none"/>
                <w:u w:val="none"/>
              </w:rPr>
            </w:pPr>
          </w:p>
        </w:tc>
      </w:tr>
      <w:tr w14:paraId="1EE376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41F2AD0">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考核结果</w:t>
            </w:r>
          </w:p>
        </w:tc>
        <w:tc>
          <w:tcPr>
            <w:tcW w:w="45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546615">
            <w:pPr>
              <w:jc w:val="center"/>
              <w:rPr>
                <w:rFonts w:hint="eastAsia" w:ascii="宋体" w:hAnsi="宋体" w:eastAsia="宋体" w:cs="宋体"/>
                <w:b/>
                <w:bCs/>
                <w:i w:val="0"/>
                <w:iCs w:val="0"/>
                <w:color w:val="auto"/>
                <w:sz w:val="21"/>
                <w:szCs w:val="21"/>
                <w:highlight w:val="none"/>
                <w:u w:val="none"/>
              </w:rPr>
            </w:pP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AE4442">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合格</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57B594">
            <w:pPr>
              <w:rPr>
                <w:rFonts w:hint="eastAsia" w:ascii="宋体" w:hAnsi="宋体" w:eastAsia="宋体" w:cs="宋体"/>
                <w:i w:val="0"/>
                <w:iCs w:val="0"/>
                <w:color w:val="auto"/>
                <w:sz w:val="22"/>
                <w:szCs w:val="22"/>
                <w:highlight w:val="none"/>
                <w:u w:val="none"/>
              </w:rPr>
            </w:pPr>
          </w:p>
        </w:tc>
        <w:tc>
          <w:tcPr>
            <w:tcW w:w="45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2FC92A">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不合格</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51F284">
            <w:pPr>
              <w:jc w:val="center"/>
              <w:rPr>
                <w:rFonts w:hint="eastAsia" w:ascii="宋体" w:hAnsi="宋体" w:eastAsia="宋体" w:cs="宋体"/>
                <w:b/>
                <w:bCs/>
                <w:i w:val="0"/>
                <w:iCs w:val="0"/>
                <w:color w:val="auto"/>
                <w:sz w:val="21"/>
                <w:szCs w:val="21"/>
                <w:highlight w:val="none"/>
                <w:u w:val="none"/>
              </w:rPr>
            </w:pPr>
          </w:p>
        </w:tc>
      </w:tr>
      <w:tr w14:paraId="4074B5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BFE88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意见及建议</w:t>
            </w:r>
          </w:p>
        </w:tc>
        <w:tc>
          <w:tcPr>
            <w:tcW w:w="4113"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4E3CBB31">
            <w:pPr>
              <w:jc w:val="center"/>
              <w:rPr>
                <w:rFonts w:hint="eastAsia" w:ascii="宋体" w:hAnsi="宋体" w:eastAsia="宋体" w:cs="宋体"/>
                <w:b/>
                <w:bCs/>
                <w:i w:val="0"/>
                <w:iCs w:val="0"/>
                <w:color w:val="auto"/>
                <w:sz w:val="21"/>
                <w:szCs w:val="21"/>
                <w:highlight w:val="none"/>
                <w:u w:val="none"/>
              </w:rPr>
            </w:pPr>
          </w:p>
        </w:tc>
      </w:tr>
      <w:tr w14:paraId="5479F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88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6375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说明</w:t>
            </w:r>
          </w:p>
        </w:tc>
        <w:tc>
          <w:tcPr>
            <w:tcW w:w="17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D243DB">
            <w:pPr>
              <w:jc w:val="center"/>
              <w:rPr>
                <w:rFonts w:hint="eastAsia" w:ascii="宋体" w:hAnsi="宋体" w:eastAsia="宋体" w:cs="宋体"/>
                <w:b/>
                <w:bCs/>
                <w:i w:val="0"/>
                <w:iCs w:val="0"/>
                <w:color w:val="auto"/>
                <w:sz w:val="21"/>
                <w:szCs w:val="21"/>
                <w:highlight w:val="none"/>
                <w:u w:val="none"/>
              </w:rPr>
            </w:pPr>
          </w:p>
        </w:tc>
        <w:tc>
          <w:tcPr>
            <w:tcW w:w="2322"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DFA5EB5">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如评委在检查时指出绿化不当的地方，而服务单位人员态度懒散，置之不理。评委有权追扣分数（5-10分）</w:t>
            </w:r>
          </w:p>
        </w:tc>
      </w:tr>
    </w:tbl>
    <w:p w14:paraId="4C2D8C39">
      <w:pPr>
        <w:tabs>
          <w:tab w:val="left" w:pos="2340"/>
        </w:tabs>
        <w:autoSpaceDE w:val="0"/>
        <w:autoSpaceDN w:val="0"/>
        <w:adjustRightInd w:val="0"/>
        <w:spacing w:line="360" w:lineRule="auto"/>
        <w:jc w:val="left"/>
        <w:rPr>
          <w:rFonts w:ascii="宋体" w:hAnsi="宋体" w:eastAsia="宋体" w:cs="宋体"/>
          <w:b/>
          <w:color w:val="auto"/>
          <w:szCs w:val="21"/>
          <w:highlight w:val="none"/>
        </w:rPr>
      </w:pPr>
    </w:p>
    <w:p w14:paraId="48FC9308">
      <w:pPr>
        <w:tabs>
          <w:tab w:val="left" w:pos="2340"/>
        </w:tabs>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考核单位：                     考核人：                        考核时间：</w:t>
      </w:r>
    </w:p>
    <w:p w14:paraId="1605C62F">
      <w:pPr>
        <w:tabs>
          <w:tab w:val="left" w:pos="2340"/>
        </w:tabs>
        <w:autoSpaceDE w:val="0"/>
        <w:autoSpaceDN w:val="0"/>
        <w:adjustRightInd w:val="0"/>
        <w:spacing w:line="360" w:lineRule="auto"/>
        <w:jc w:val="left"/>
        <w:rPr>
          <w:rFonts w:ascii="宋体" w:hAnsi="宋体" w:eastAsia="宋体" w:cs="宋体"/>
          <w:color w:val="auto"/>
          <w:kern w:val="0"/>
          <w:szCs w:val="21"/>
          <w:highlight w:val="none"/>
          <w:lang w:bidi="ar"/>
        </w:rPr>
      </w:pPr>
    </w:p>
    <w:p w14:paraId="5C3188AB">
      <w:pPr>
        <w:tabs>
          <w:tab w:val="left" w:pos="2340"/>
        </w:tabs>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注：1、本考核评比实行百分制,与实际服务费挂钩。</w:t>
      </w:r>
    </w:p>
    <w:p w14:paraId="2794B206">
      <w:pPr>
        <w:tabs>
          <w:tab w:val="left" w:pos="2340"/>
        </w:tabs>
        <w:autoSpaceDE w:val="0"/>
        <w:autoSpaceDN w:val="0"/>
        <w:adjustRightInd w:val="0"/>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2、每项考评对应无扣分的，实得分等于应得分。</w:t>
      </w:r>
    </w:p>
    <w:p w14:paraId="06BA0D45">
      <w:pPr>
        <w:tabs>
          <w:tab w:val="left" w:pos="2340"/>
        </w:tabs>
        <w:autoSpaceDE w:val="0"/>
        <w:autoSpaceDN w:val="0"/>
        <w:adjustRightInd w:val="0"/>
        <w:spacing w:line="360" w:lineRule="auto"/>
        <w:ind w:firstLine="424" w:firstLineChars="202"/>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Cs w:val="21"/>
          <w:highlight w:val="none"/>
          <w:lang w:bidi="ar"/>
        </w:rPr>
        <w:t>每月根据考评结果情况支付实际服务费给</w:t>
      </w:r>
      <w:r>
        <w:rPr>
          <w:rFonts w:hint="eastAsia" w:ascii="宋体" w:hAnsi="宋体" w:eastAsia="宋体" w:cs="宋体"/>
          <w:color w:val="auto"/>
          <w:kern w:val="0"/>
          <w:szCs w:val="21"/>
          <w:highlight w:val="none"/>
          <w:lang w:val="en-US" w:eastAsia="zh-CN" w:bidi="ar"/>
        </w:rPr>
        <w:t>服务单位</w:t>
      </w:r>
      <w:r>
        <w:rPr>
          <w:rFonts w:hint="eastAsia" w:ascii="宋体" w:hAnsi="宋体" w:eastAsia="宋体" w:cs="宋体"/>
          <w:color w:val="auto"/>
          <w:kern w:val="0"/>
          <w:szCs w:val="21"/>
          <w:highlight w:val="none"/>
          <w:lang w:eastAsia="zh-CN" w:bidi="ar"/>
        </w:rPr>
        <w:t>：</w:t>
      </w:r>
    </w:p>
    <w:p w14:paraId="463E1485">
      <w:pPr>
        <w:tabs>
          <w:tab w:val="left" w:pos="2340"/>
        </w:tabs>
        <w:autoSpaceDE w:val="0"/>
        <w:autoSpaceDN w:val="0"/>
        <w:adjustRightInd w:val="0"/>
        <w:spacing w:line="360" w:lineRule="auto"/>
        <w:ind w:firstLine="424" w:firstLineChars="202"/>
        <w:jc w:val="left"/>
        <w:rPr>
          <w:rFonts w:hint="eastAsia" w:ascii="宋体" w:hAnsi="宋体" w:eastAsia="宋体" w:cs="宋体"/>
          <w:b/>
          <w:bCs/>
          <w:color w:val="auto"/>
          <w:kern w:val="0"/>
          <w:szCs w:val="21"/>
          <w:highlight w:val="none"/>
          <w:lang w:bidi="ar"/>
        </w:rPr>
      </w:pP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1</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 w:val="21"/>
          <w:szCs w:val="21"/>
          <w:highlight w:val="none"/>
          <w:lang w:eastAsia="zh-CN" w:bidi="ar"/>
        </w:rPr>
        <w:t>当实际考核项目总分满分为100分，</w:t>
      </w:r>
      <w:r>
        <w:rPr>
          <w:rFonts w:hint="eastAsia" w:ascii="宋体" w:hAnsi="宋体" w:eastAsia="宋体" w:cs="宋体"/>
          <w:color w:val="auto"/>
          <w:kern w:val="0"/>
          <w:szCs w:val="21"/>
          <w:highlight w:val="none"/>
          <w:lang w:bidi="ar"/>
        </w:rPr>
        <w:t>如</w:t>
      </w:r>
      <w:r>
        <w:rPr>
          <w:rFonts w:hint="eastAsia" w:ascii="宋体" w:hAnsi="宋体" w:eastAsia="宋体" w:cs="宋体"/>
          <w:color w:val="auto"/>
          <w:kern w:val="0"/>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Cs w:val="21"/>
          <w:highlight w:val="none"/>
          <w:lang w:bidi="ar"/>
        </w:rPr>
        <w:t>对</w:t>
      </w:r>
      <w:r>
        <w:rPr>
          <w:rFonts w:hint="eastAsia" w:ascii="宋体" w:hAnsi="宋体" w:eastAsia="宋体" w:cs="宋体"/>
          <w:color w:val="auto"/>
          <w:kern w:val="0"/>
          <w:szCs w:val="21"/>
          <w:highlight w:val="none"/>
          <w:lang w:val="en-US" w:eastAsia="zh-CN" w:bidi="ar"/>
        </w:rPr>
        <w:t>服务单位</w:t>
      </w:r>
      <w:r>
        <w:rPr>
          <w:rFonts w:hint="eastAsia" w:ascii="宋体" w:hAnsi="宋体" w:eastAsia="宋体" w:cs="宋体"/>
          <w:color w:val="auto"/>
          <w:kern w:val="0"/>
          <w:szCs w:val="21"/>
          <w:highlight w:val="none"/>
          <w:lang w:bidi="ar"/>
        </w:rPr>
        <w:t>的服务考核评分达到90分或以上的，该月服务费全额支付；如</w:t>
      </w:r>
      <w:r>
        <w:rPr>
          <w:rFonts w:hint="eastAsia" w:ascii="宋体" w:hAnsi="宋体" w:eastAsia="宋体" w:cs="宋体"/>
          <w:color w:val="auto"/>
          <w:kern w:val="0"/>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Cs w:val="21"/>
          <w:highlight w:val="none"/>
          <w:lang w:bidi="ar"/>
        </w:rPr>
        <w:t>对</w:t>
      </w:r>
      <w:r>
        <w:rPr>
          <w:rFonts w:hint="eastAsia" w:ascii="宋体" w:hAnsi="宋体" w:eastAsia="宋体" w:cs="宋体"/>
          <w:color w:val="auto"/>
          <w:kern w:val="0"/>
          <w:szCs w:val="21"/>
          <w:highlight w:val="none"/>
          <w:lang w:val="en-US" w:eastAsia="zh-CN" w:bidi="ar"/>
        </w:rPr>
        <w:t>服务单位</w:t>
      </w:r>
      <w:r>
        <w:rPr>
          <w:rFonts w:hint="eastAsia" w:ascii="宋体" w:hAnsi="宋体" w:eastAsia="宋体" w:cs="宋体"/>
          <w:color w:val="auto"/>
          <w:kern w:val="0"/>
          <w:szCs w:val="21"/>
          <w:highlight w:val="none"/>
          <w:lang w:bidi="ar"/>
        </w:rPr>
        <w:t>的服务考核评分不足90分的，该月实际支付的服务费=该月应支付服务费×当月考核评分占比；如发现累计两个月未达到60分时，</w:t>
      </w:r>
      <w:r>
        <w:rPr>
          <w:rFonts w:hint="eastAsia" w:eastAsia="宋体" w:cs="宋体"/>
          <w:sz w:val="21"/>
          <w:szCs w:val="21"/>
          <w:highlight w:val="none"/>
        </w:rPr>
        <w:t>且</w:t>
      </w:r>
      <w:r>
        <w:rPr>
          <w:rFonts w:hint="eastAsia" w:eastAsia="宋体" w:cs="宋体"/>
          <w:sz w:val="21"/>
          <w:szCs w:val="21"/>
          <w:highlight w:val="none"/>
          <w:lang w:val="en-US" w:eastAsia="zh-CN"/>
        </w:rPr>
        <w:t>服务单位</w:t>
      </w:r>
      <w:r>
        <w:rPr>
          <w:rFonts w:hint="eastAsia" w:eastAsia="宋体" w:cs="宋体"/>
          <w:sz w:val="21"/>
          <w:szCs w:val="21"/>
          <w:highlight w:val="none"/>
        </w:rPr>
        <w:t>没有提供令</w:t>
      </w:r>
      <w:r>
        <w:rPr>
          <w:rFonts w:hint="eastAsia" w:ascii="宋体" w:hAnsi="宋体" w:eastAsia="宋体" w:cs="宋体"/>
          <w:color w:val="auto"/>
          <w:kern w:val="0"/>
          <w:sz w:val="21"/>
          <w:szCs w:val="21"/>
          <w:highlight w:val="none"/>
          <w:lang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eastAsia="宋体" w:cs="宋体"/>
          <w:sz w:val="21"/>
          <w:szCs w:val="21"/>
          <w:highlight w:val="none"/>
        </w:rPr>
        <w:t>认可的整改方案的</w:t>
      </w:r>
      <w:r>
        <w:rPr>
          <w:rFonts w:hint="eastAsia" w:eastAsia="宋体" w:cs="宋体"/>
          <w:sz w:val="21"/>
          <w:szCs w:val="21"/>
          <w:highlight w:val="none"/>
          <w:lang w:eastAsia="zh-CN"/>
        </w:rPr>
        <w:t>，</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有权单方解除合同</w:t>
      </w:r>
      <w:r>
        <w:rPr>
          <w:rFonts w:hint="eastAsia" w:ascii="宋体" w:hAnsi="宋体" w:eastAsia="宋体" w:cs="宋体"/>
          <w:b w:val="0"/>
          <w:bCs w:val="0"/>
          <w:color w:val="auto"/>
          <w:kern w:val="0"/>
          <w:szCs w:val="21"/>
          <w:highlight w:val="none"/>
          <w:lang w:bidi="ar"/>
        </w:rPr>
        <w:t>。</w:t>
      </w:r>
    </w:p>
    <w:p w14:paraId="11545BF9">
      <w:pPr>
        <w:tabs>
          <w:tab w:val="left" w:pos="2340"/>
        </w:tabs>
        <w:spacing w:line="360" w:lineRule="auto"/>
        <w:ind w:firstLine="424" w:firstLineChars="202"/>
        <w:jc w:val="left"/>
        <w:rPr>
          <w:highlight w:val="none"/>
        </w:rPr>
      </w:pP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当实际考核项目总分满分不足100分，将考核分数按百分制进行折算（折算分数=实际得分/满分</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100），折算后高于90%</w:t>
      </w:r>
      <w:r>
        <w:rPr>
          <w:rFonts w:hint="eastAsia" w:ascii="宋体" w:hAnsi="宋体" w:eastAsia="宋体" w:cs="宋体"/>
          <w:kern w:val="0"/>
          <w:sz w:val="21"/>
          <w:szCs w:val="21"/>
          <w:highlight w:val="none"/>
          <w:lang w:bidi="ar"/>
        </w:rPr>
        <w:t>或以上的，该月服务费全额支付；如</w:t>
      </w:r>
      <w:r>
        <w:rPr>
          <w:rFonts w:hint="eastAsia" w:ascii="宋体" w:hAnsi="宋体" w:eastAsia="宋体" w:cs="宋体"/>
          <w:kern w:val="0"/>
          <w:sz w:val="21"/>
          <w:szCs w:val="21"/>
          <w:highlight w:val="none"/>
          <w:lang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对</w:t>
      </w:r>
      <w:r>
        <w:rPr>
          <w:rFonts w:hint="eastAsia" w:ascii="宋体" w:hAnsi="宋体" w:eastAsia="宋体" w:cs="宋体"/>
          <w:kern w:val="0"/>
          <w:sz w:val="21"/>
          <w:szCs w:val="21"/>
          <w:highlight w:val="none"/>
          <w:lang w:val="en-US" w:eastAsia="zh-CN" w:bidi="ar"/>
        </w:rPr>
        <w:t>服务单位</w:t>
      </w:r>
      <w:r>
        <w:rPr>
          <w:rFonts w:hint="eastAsia" w:ascii="宋体" w:hAnsi="宋体" w:eastAsia="宋体" w:cs="宋体"/>
          <w:kern w:val="0"/>
          <w:sz w:val="21"/>
          <w:szCs w:val="21"/>
          <w:highlight w:val="none"/>
          <w:lang w:bidi="ar"/>
        </w:rPr>
        <w:t>的服务考核评分</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不足90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的，该月实际支付的服务费=该月应支付服务费×</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折算分数/100</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；如发现累计两个月</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未达到60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时，且</w:t>
      </w:r>
      <w:r>
        <w:rPr>
          <w:rFonts w:hint="eastAsia" w:ascii="宋体" w:hAnsi="宋体" w:eastAsia="宋体" w:cs="宋体"/>
          <w:kern w:val="0"/>
          <w:sz w:val="21"/>
          <w:szCs w:val="21"/>
          <w:highlight w:val="none"/>
          <w:lang w:val="en-US" w:eastAsia="zh-CN" w:bidi="ar"/>
        </w:rPr>
        <w:t>服务单位</w:t>
      </w:r>
      <w:r>
        <w:rPr>
          <w:rFonts w:hint="eastAsia" w:ascii="宋体" w:hAnsi="宋体" w:eastAsia="宋体" w:cs="宋体"/>
          <w:kern w:val="0"/>
          <w:sz w:val="21"/>
          <w:szCs w:val="21"/>
          <w:highlight w:val="none"/>
          <w:lang w:bidi="ar"/>
        </w:rPr>
        <w:t>没有提供令</w:t>
      </w:r>
      <w:r>
        <w:rPr>
          <w:rFonts w:hint="eastAsia" w:ascii="宋体" w:hAnsi="宋体" w:eastAsia="宋体" w:cs="宋体"/>
          <w:kern w:val="0"/>
          <w:sz w:val="21"/>
          <w:szCs w:val="21"/>
          <w:highlight w:val="none"/>
          <w:lang w:val="en-US" w:eastAsia="zh-CN" w:bidi="ar"/>
        </w:rPr>
        <w:t>招标人</w:t>
      </w:r>
      <w:r>
        <w:rPr>
          <w:rFonts w:hint="eastAsia" w:ascii="宋体" w:hAnsi="宋体" w:eastAsia="宋体" w:cs="宋体"/>
          <w:kern w:val="0"/>
          <w:sz w:val="21"/>
          <w:szCs w:val="21"/>
          <w:highlight w:val="none"/>
          <w:lang w:bidi="ar"/>
        </w:rPr>
        <w:t>（含其权属分公司）认可的整改方案的</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招标人</w:t>
      </w:r>
      <w:r>
        <w:rPr>
          <w:rFonts w:hint="eastAsia" w:ascii="宋体" w:hAnsi="宋体" w:eastAsia="宋体" w:cs="宋体"/>
          <w:kern w:val="0"/>
          <w:sz w:val="21"/>
          <w:szCs w:val="21"/>
          <w:highlight w:val="none"/>
          <w:lang w:bidi="ar"/>
        </w:rPr>
        <w:t>有权单方解除合同</w:t>
      </w:r>
      <w:r>
        <w:rPr>
          <w:rFonts w:hint="eastAsia" w:ascii="宋体" w:hAnsi="宋体" w:eastAsia="宋体" w:cs="宋体"/>
          <w:color w:val="auto"/>
          <w:kern w:val="0"/>
          <w:szCs w:val="21"/>
          <w:highlight w:val="none"/>
          <w:lang w:bidi="ar"/>
        </w:rPr>
        <w:t>。</w:t>
      </w:r>
    </w:p>
    <w:p w14:paraId="5E561914">
      <w:pPr>
        <w:autoSpaceDE w:val="0"/>
        <w:autoSpaceDN w:val="0"/>
        <w:adjustRightInd w:val="0"/>
        <w:jc w:val="left"/>
        <w:rPr>
          <w:rFonts w:ascii="宋体" w:hAnsi="宋体" w:eastAsia="宋体" w:cs="宋体"/>
          <w:color w:val="auto"/>
          <w:highlight w:val="none"/>
        </w:rPr>
      </w:pPr>
      <w:r>
        <w:rPr>
          <w:rFonts w:hint="eastAsia" w:ascii="宋体" w:hAnsi="宋体" w:eastAsia="宋体" w:cs="宋体"/>
          <w:color w:val="auto"/>
          <w:sz w:val="24"/>
          <w:szCs w:val="24"/>
          <w:highlight w:val="none"/>
          <w:lang w:bidi="ar"/>
        </w:rPr>
        <w:br w:type="page"/>
      </w:r>
    </w:p>
    <w:p w14:paraId="03EB4B8C">
      <w:pPr>
        <w:tabs>
          <w:tab w:val="left" w:pos="2340"/>
        </w:tabs>
        <w:autoSpaceDE w:val="0"/>
        <w:autoSpaceDN w:val="0"/>
        <w:adjustRightInd w:val="0"/>
        <w:spacing w:line="360" w:lineRule="auto"/>
        <w:jc w:val="center"/>
        <w:outlineLvl w:val="2"/>
        <w:rPr>
          <w:rFonts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val="en-US" w:eastAsia="zh-CN" w:bidi="ar"/>
        </w:rPr>
        <w:t>2</w:t>
      </w:r>
      <w:r>
        <w:rPr>
          <w:rFonts w:hint="eastAsia" w:ascii="宋体" w:hAnsi="宋体" w:eastAsia="宋体" w:cs="宋体"/>
          <w:b/>
          <w:color w:val="auto"/>
          <w:kern w:val="0"/>
          <w:szCs w:val="21"/>
          <w:highlight w:val="none"/>
          <w:lang w:bidi="ar"/>
        </w:rPr>
        <w:t>.4《</w:t>
      </w:r>
      <w:r>
        <w:rPr>
          <w:rFonts w:hint="eastAsia" w:ascii="宋体" w:hAnsi="宋体" w:eastAsia="宋体" w:cs="宋体"/>
          <w:b/>
          <w:color w:val="auto"/>
          <w:kern w:val="0"/>
          <w:szCs w:val="21"/>
          <w:highlight w:val="none"/>
          <w:lang w:eastAsia="zh-CN" w:bidi="ar"/>
        </w:rPr>
        <w:t>东莞市水务环境投资控股集团供水有限公司</w:t>
      </w:r>
      <w:r>
        <w:rPr>
          <w:rFonts w:hint="eastAsia" w:ascii="宋体" w:hAnsi="宋体" w:eastAsia="宋体" w:cs="宋体"/>
          <w:b/>
          <w:color w:val="auto"/>
          <w:kern w:val="0"/>
          <w:szCs w:val="21"/>
          <w:highlight w:val="none"/>
          <w:lang w:bidi="ar"/>
        </w:rPr>
        <w:t>清洁保洁、绿化养护、除“四害”及灭蚁防治考核评分标准（适用于三级绿化养护项目）》</w:t>
      </w:r>
    </w:p>
    <w:tbl>
      <w:tblPr>
        <w:tblStyle w:val="37"/>
        <w:tblW w:w="498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7"/>
        <w:gridCol w:w="398"/>
        <w:gridCol w:w="440"/>
        <w:gridCol w:w="888"/>
        <w:gridCol w:w="2856"/>
        <w:gridCol w:w="1819"/>
        <w:gridCol w:w="18"/>
        <w:gridCol w:w="902"/>
        <w:gridCol w:w="878"/>
        <w:gridCol w:w="923"/>
      </w:tblGrid>
      <w:tr w14:paraId="70911E8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416" w:type="pct"/>
            <w:vMerge w:val="restart"/>
            <w:tcBorders>
              <w:top w:val="single" w:color="000000" w:sz="8" w:space="0"/>
              <w:left w:val="single" w:color="000000" w:sz="8" w:space="0"/>
              <w:right w:val="single" w:color="000000" w:sz="8" w:space="0"/>
            </w:tcBorders>
            <w:shd w:val="clear" w:color="auto" w:fill="auto"/>
            <w:noWrap/>
            <w:vAlign w:val="center"/>
          </w:tcPr>
          <w:p w14:paraId="3833B9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302" w:type="pct"/>
            <w:gridSpan w:val="4"/>
            <w:tcBorders>
              <w:top w:val="single" w:color="000000" w:sz="8" w:space="0"/>
              <w:left w:val="nil"/>
              <w:bottom w:val="single" w:color="000000" w:sz="8" w:space="0"/>
              <w:right w:val="single" w:color="000000" w:sz="8" w:space="0"/>
            </w:tcBorders>
            <w:shd w:val="clear" w:color="auto" w:fill="auto"/>
            <w:vAlign w:val="center"/>
          </w:tcPr>
          <w:p w14:paraId="499369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现场考核</w:t>
            </w:r>
          </w:p>
        </w:tc>
        <w:tc>
          <w:tcPr>
            <w:tcW w:w="914" w:type="pct"/>
            <w:vMerge w:val="restart"/>
            <w:tcBorders>
              <w:top w:val="single" w:color="000000" w:sz="8" w:space="0"/>
              <w:left w:val="nil"/>
              <w:bottom w:val="single" w:color="000000" w:sz="8" w:space="0"/>
              <w:right w:val="single" w:color="000000" w:sz="8" w:space="0"/>
            </w:tcBorders>
            <w:shd w:val="clear" w:color="auto" w:fill="auto"/>
            <w:vAlign w:val="center"/>
          </w:tcPr>
          <w:p w14:paraId="70D8D4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扣分办法</w:t>
            </w:r>
          </w:p>
        </w:tc>
        <w:tc>
          <w:tcPr>
            <w:tcW w:w="461" w:type="pct"/>
            <w:gridSpan w:val="2"/>
            <w:vMerge w:val="restart"/>
            <w:tcBorders>
              <w:top w:val="single" w:color="000000" w:sz="8" w:space="0"/>
              <w:left w:val="nil"/>
              <w:bottom w:val="single" w:color="000000" w:sz="8" w:space="0"/>
              <w:right w:val="single" w:color="000000" w:sz="8" w:space="0"/>
            </w:tcBorders>
            <w:shd w:val="clear" w:color="auto" w:fill="auto"/>
            <w:vAlign w:val="center"/>
          </w:tcPr>
          <w:p w14:paraId="18045D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应得分</w:t>
            </w:r>
          </w:p>
        </w:tc>
        <w:tc>
          <w:tcPr>
            <w:tcW w:w="441" w:type="pct"/>
            <w:vMerge w:val="restart"/>
            <w:tcBorders>
              <w:top w:val="single" w:color="000000" w:sz="8" w:space="0"/>
              <w:left w:val="nil"/>
              <w:bottom w:val="single" w:color="000000" w:sz="8" w:space="0"/>
              <w:right w:val="single" w:color="000000" w:sz="8" w:space="0"/>
            </w:tcBorders>
            <w:shd w:val="clear" w:color="auto" w:fill="auto"/>
            <w:vAlign w:val="center"/>
          </w:tcPr>
          <w:p w14:paraId="163ED6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检查扣分</w:t>
            </w:r>
          </w:p>
        </w:tc>
        <w:tc>
          <w:tcPr>
            <w:tcW w:w="463" w:type="pct"/>
            <w:vMerge w:val="restart"/>
            <w:tcBorders>
              <w:top w:val="single" w:color="000000" w:sz="8" w:space="0"/>
              <w:left w:val="nil"/>
              <w:bottom w:val="single" w:color="000000" w:sz="8" w:space="0"/>
              <w:right w:val="single" w:color="000000" w:sz="8" w:space="0"/>
            </w:tcBorders>
            <w:shd w:val="clear" w:color="auto" w:fill="auto"/>
            <w:vAlign w:val="center"/>
          </w:tcPr>
          <w:p w14:paraId="0A72E2D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实得分</w:t>
            </w:r>
          </w:p>
        </w:tc>
      </w:tr>
      <w:tr w14:paraId="7FBA44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416" w:type="pct"/>
            <w:vMerge w:val="continue"/>
            <w:tcBorders>
              <w:left w:val="single" w:color="000000" w:sz="8" w:space="0"/>
              <w:bottom w:val="single" w:color="000000" w:sz="8" w:space="0"/>
              <w:right w:val="single" w:color="000000" w:sz="8" w:space="0"/>
            </w:tcBorders>
            <w:shd w:val="clear" w:color="auto" w:fill="auto"/>
            <w:noWrap/>
            <w:vAlign w:val="center"/>
          </w:tcPr>
          <w:p w14:paraId="588E1E4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1" w:type="pct"/>
            <w:gridSpan w:val="2"/>
            <w:tcBorders>
              <w:top w:val="nil"/>
              <w:left w:val="nil"/>
              <w:bottom w:val="single" w:color="000000" w:sz="8" w:space="0"/>
              <w:right w:val="single" w:color="000000" w:sz="8" w:space="0"/>
            </w:tcBorders>
            <w:shd w:val="clear" w:color="auto" w:fill="auto"/>
            <w:vAlign w:val="center"/>
          </w:tcPr>
          <w:p w14:paraId="0D428C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满分值</w:t>
            </w:r>
          </w:p>
        </w:tc>
        <w:tc>
          <w:tcPr>
            <w:tcW w:w="446" w:type="pct"/>
            <w:tcBorders>
              <w:top w:val="nil"/>
              <w:left w:val="nil"/>
              <w:bottom w:val="single" w:color="000000" w:sz="8" w:space="0"/>
              <w:right w:val="single" w:color="000000" w:sz="8" w:space="0"/>
            </w:tcBorders>
            <w:shd w:val="clear" w:color="auto" w:fill="auto"/>
            <w:vAlign w:val="center"/>
          </w:tcPr>
          <w:p w14:paraId="495D3A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435" w:type="pct"/>
            <w:tcBorders>
              <w:top w:val="nil"/>
              <w:left w:val="nil"/>
              <w:bottom w:val="single" w:color="000000" w:sz="8" w:space="0"/>
              <w:right w:val="single" w:color="000000" w:sz="8" w:space="0"/>
            </w:tcBorders>
            <w:shd w:val="clear" w:color="auto" w:fill="auto"/>
            <w:vAlign w:val="center"/>
          </w:tcPr>
          <w:p w14:paraId="022428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评价依据及检查方法</w:t>
            </w:r>
          </w:p>
        </w:tc>
        <w:tc>
          <w:tcPr>
            <w:tcW w:w="914" w:type="pct"/>
            <w:vMerge w:val="continue"/>
            <w:tcBorders>
              <w:top w:val="single" w:color="000000" w:sz="8" w:space="0"/>
              <w:left w:val="nil"/>
              <w:bottom w:val="single" w:color="000000" w:sz="8" w:space="0"/>
              <w:right w:val="single" w:color="000000" w:sz="8" w:space="0"/>
            </w:tcBorders>
            <w:shd w:val="clear" w:color="auto" w:fill="auto"/>
            <w:vAlign w:val="center"/>
          </w:tcPr>
          <w:p w14:paraId="2B8D020F">
            <w:pPr>
              <w:jc w:val="center"/>
              <w:rPr>
                <w:rFonts w:hint="eastAsia" w:ascii="宋体" w:hAnsi="宋体" w:eastAsia="宋体" w:cs="宋体"/>
                <w:i w:val="0"/>
                <w:iCs w:val="0"/>
                <w:color w:val="auto"/>
                <w:sz w:val="21"/>
                <w:szCs w:val="21"/>
                <w:highlight w:val="none"/>
                <w:u w:val="none"/>
              </w:rPr>
            </w:pPr>
          </w:p>
        </w:tc>
        <w:tc>
          <w:tcPr>
            <w:tcW w:w="461" w:type="pct"/>
            <w:gridSpan w:val="2"/>
            <w:vMerge w:val="continue"/>
            <w:tcBorders>
              <w:top w:val="single" w:color="000000" w:sz="8" w:space="0"/>
              <w:left w:val="nil"/>
              <w:bottom w:val="single" w:color="000000" w:sz="8" w:space="0"/>
              <w:right w:val="single" w:color="000000" w:sz="8" w:space="0"/>
            </w:tcBorders>
            <w:shd w:val="clear" w:color="auto" w:fill="auto"/>
            <w:vAlign w:val="center"/>
          </w:tcPr>
          <w:p w14:paraId="2CF8B03A">
            <w:pPr>
              <w:jc w:val="center"/>
              <w:rPr>
                <w:rFonts w:hint="eastAsia" w:ascii="宋体" w:hAnsi="宋体" w:eastAsia="宋体" w:cs="宋体"/>
                <w:i w:val="0"/>
                <w:iCs w:val="0"/>
                <w:color w:val="auto"/>
                <w:sz w:val="21"/>
                <w:szCs w:val="21"/>
                <w:highlight w:val="none"/>
                <w:u w:val="none"/>
              </w:rPr>
            </w:pPr>
          </w:p>
        </w:tc>
        <w:tc>
          <w:tcPr>
            <w:tcW w:w="441" w:type="pct"/>
            <w:vMerge w:val="continue"/>
            <w:tcBorders>
              <w:top w:val="single" w:color="000000" w:sz="8" w:space="0"/>
              <w:left w:val="nil"/>
              <w:bottom w:val="single" w:color="000000" w:sz="8" w:space="0"/>
              <w:right w:val="single" w:color="000000" w:sz="8" w:space="0"/>
            </w:tcBorders>
            <w:shd w:val="clear" w:color="auto" w:fill="auto"/>
            <w:vAlign w:val="center"/>
          </w:tcPr>
          <w:p w14:paraId="142BC9AF">
            <w:pPr>
              <w:jc w:val="center"/>
              <w:rPr>
                <w:rFonts w:hint="eastAsia" w:ascii="宋体" w:hAnsi="宋体" w:eastAsia="宋体" w:cs="宋体"/>
                <w:i w:val="0"/>
                <w:iCs w:val="0"/>
                <w:color w:val="auto"/>
                <w:sz w:val="21"/>
                <w:szCs w:val="21"/>
                <w:highlight w:val="none"/>
                <w:u w:val="none"/>
              </w:rPr>
            </w:pPr>
          </w:p>
        </w:tc>
        <w:tc>
          <w:tcPr>
            <w:tcW w:w="463" w:type="pct"/>
            <w:vMerge w:val="continue"/>
            <w:tcBorders>
              <w:top w:val="single" w:color="000000" w:sz="8" w:space="0"/>
              <w:left w:val="nil"/>
              <w:bottom w:val="single" w:color="000000" w:sz="8" w:space="0"/>
              <w:right w:val="single" w:color="000000" w:sz="8" w:space="0"/>
            </w:tcBorders>
            <w:shd w:val="clear" w:color="auto" w:fill="auto"/>
            <w:vAlign w:val="center"/>
          </w:tcPr>
          <w:p w14:paraId="64747080">
            <w:pPr>
              <w:jc w:val="center"/>
              <w:rPr>
                <w:rFonts w:hint="eastAsia" w:ascii="宋体" w:hAnsi="宋体" w:eastAsia="宋体" w:cs="宋体"/>
                <w:i w:val="0"/>
                <w:iCs w:val="0"/>
                <w:color w:val="auto"/>
                <w:sz w:val="21"/>
                <w:szCs w:val="21"/>
                <w:highlight w:val="none"/>
                <w:u w:val="none"/>
              </w:rPr>
            </w:pPr>
          </w:p>
        </w:tc>
      </w:tr>
      <w:tr w14:paraId="2F837D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B0D8B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C29B1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9分</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49CD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日常制度</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FB1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在招标人提出的绿化养护方面存在工作疏忽而没按要求及时整改反馈的。</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2022E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没及时整改处理的，每次扣2分，扣完为止。</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65C0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9E1DB">
            <w:pPr>
              <w:jc w:val="center"/>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6E1C6D">
            <w:pPr>
              <w:jc w:val="center"/>
              <w:rPr>
                <w:rFonts w:hint="eastAsia" w:ascii="宋体" w:hAnsi="宋体" w:eastAsia="宋体" w:cs="宋体"/>
                <w:i w:val="0"/>
                <w:iCs w:val="0"/>
                <w:color w:val="auto"/>
                <w:sz w:val="21"/>
                <w:szCs w:val="21"/>
                <w:highlight w:val="none"/>
                <w:u w:val="none"/>
              </w:rPr>
            </w:pPr>
          </w:p>
        </w:tc>
      </w:tr>
      <w:tr w14:paraId="175ED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3362653">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FEB4B3">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4767AF">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87D8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穿统一工作服，不能出现穿拖鞋、高跟鞋、着装不整齐者等。</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70421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未按要求着装者，每人次扣1分，扣完为止。</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94B7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FFB7D">
            <w:pPr>
              <w:jc w:val="center"/>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25A91">
            <w:pPr>
              <w:jc w:val="center"/>
              <w:rPr>
                <w:rFonts w:hint="eastAsia" w:ascii="宋体" w:hAnsi="宋体" w:eastAsia="宋体" w:cs="宋体"/>
                <w:i w:val="0"/>
                <w:iCs w:val="0"/>
                <w:color w:val="auto"/>
                <w:sz w:val="21"/>
                <w:szCs w:val="21"/>
                <w:highlight w:val="none"/>
                <w:u w:val="none"/>
              </w:rPr>
            </w:pPr>
          </w:p>
        </w:tc>
      </w:tr>
      <w:tr w14:paraId="78EDB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600B558">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7D2B0A">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0462CF">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9B39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现场负责人要向招标人对应管理部门书面请假批准后才能离岗。</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5B8C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擅自离岗者，每人次扣1分,扣完为止。</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3FB80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3A548">
            <w:pPr>
              <w:jc w:val="center"/>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A40C2">
            <w:pPr>
              <w:jc w:val="both"/>
              <w:rPr>
                <w:rFonts w:hint="eastAsia" w:ascii="宋体" w:hAnsi="宋体" w:eastAsia="宋体" w:cs="宋体"/>
                <w:i w:val="0"/>
                <w:iCs w:val="0"/>
                <w:color w:val="auto"/>
                <w:sz w:val="22"/>
                <w:szCs w:val="22"/>
                <w:highlight w:val="none"/>
                <w:u w:val="none"/>
              </w:rPr>
            </w:pPr>
          </w:p>
        </w:tc>
      </w:tr>
      <w:tr w14:paraId="25941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5BF223">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31FD7C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13分</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E1706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绿地清洁卫生</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D2CE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天6：30、14：00时完成绿地清洁工作，做好保洁（日常保洁时段为6：30—18：30，重要情况保洁时间另行安排），抽查草地每100平方米、分车道绿化带每100米长度范围内有纸屑、胶袋、石块、杂物等（规格3cm×3cm），要求≤4单位。</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901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超过每单位扣1分，扣完为止。</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BC49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E81C3">
            <w:pPr>
              <w:jc w:val="center"/>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3FA58E">
            <w:pPr>
              <w:jc w:val="both"/>
              <w:rPr>
                <w:rFonts w:hint="eastAsia" w:ascii="宋体" w:hAnsi="宋体" w:eastAsia="宋体" w:cs="宋体"/>
                <w:i w:val="0"/>
                <w:iCs w:val="0"/>
                <w:color w:val="auto"/>
                <w:sz w:val="22"/>
                <w:szCs w:val="22"/>
                <w:highlight w:val="none"/>
                <w:u w:val="none"/>
              </w:rPr>
            </w:pPr>
          </w:p>
        </w:tc>
      </w:tr>
      <w:tr w14:paraId="5851B0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6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F19EF1">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38E48F">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4B064">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C185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未发现垃圾连片（面积≥6cm×6cm）的地方（特别是花生壳、瓜子壳、白色垃圾等）。</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2996F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发现一处扣1分，扣完为止。</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BB721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78695">
            <w:pPr>
              <w:jc w:val="center"/>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4332A">
            <w:pPr>
              <w:jc w:val="both"/>
              <w:rPr>
                <w:rFonts w:hint="eastAsia" w:ascii="宋体" w:hAnsi="宋体" w:eastAsia="宋体" w:cs="宋体"/>
                <w:i w:val="0"/>
                <w:iCs w:val="0"/>
                <w:color w:val="auto"/>
                <w:sz w:val="22"/>
                <w:szCs w:val="22"/>
                <w:highlight w:val="none"/>
                <w:u w:val="none"/>
              </w:rPr>
            </w:pPr>
          </w:p>
        </w:tc>
      </w:tr>
      <w:tr w14:paraId="0849EDC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C06EC">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15D2DD">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6E6FF9">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3543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在绿地区内未发现焚烧杂物；</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A4A0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绿地发生焚烧杂物的，每处扣0.5分；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CE7C99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61DA36">
            <w:pPr>
              <w:jc w:val="center"/>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824F89">
            <w:pPr>
              <w:jc w:val="both"/>
              <w:rPr>
                <w:rFonts w:hint="eastAsia" w:ascii="宋体" w:hAnsi="宋体" w:eastAsia="宋体" w:cs="宋体"/>
                <w:i w:val="0"/>
                <w:iCs w:val="0"/>
                <w:color w:val="auto"/>
                <w:sz w:val="22"/>
                <w:szCs w:val="22"/>
                <w:highlight w:val="none"/>
                <w:u w:val="none"/>
              </w:rPr>
            </w:pPr>
          </w:p>
        </w:tc>
      </w:tr>
      <w:tr w14:paraId="4CFDF9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DC44D4">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C992D6">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D295FD4">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CF93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绿化修剪后的枯枝干叶等，要在修剪当天及时清理运走；落叶要及时清扫保洁（绿地内水体水面上的枯枝烂叶、生活垃圾及其他漂浮物要及时清理）。</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47FD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未能及时运走和清扫保洁的以10平方米为单位，每单位扣1分，扣完为止。</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7D98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C8EEE0">
            <w:pPr>
              <w:jc w:val="center"/>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2A64F">
            <w:pPr>
              <w:jc w:val="both"/>
              <w:rPr>
                <w:rFonts w:hint="eastAsia" w:ascii="宋体" w:hAnsi="宋体" w:eastAsia="宋体" w:cs="宋体"/>
                <w:i w:val="0"/>
                <w:iCs w:val="0"/>
                <w:color w:val="auto"/>
                <w:sz w:val="22"/>
                <w:szCs w:val="22"/>
                <w:highlight w:val="none"/>
                <w:u w:val="none"/>
              </w:rPr>
            </w:pPr>
          </w:p>
        </w:tc>
      </w:tr>
      <w:tr w14:paraId="5369EB3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4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AFD33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B9D3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16分</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675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乔木、花灌木、行道树及其它树木</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5BAF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乔木树冠基本完整，分枝基本不影响游览及观景，乔木树杆无铁钉、木板等附着物。</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4466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分枝影响游览及观景、有铁钉、木板等附着物每处扣1分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0D046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6EF50D">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CA5FF">
            <w:pPr>
              <w:jc w:val="left"/>
              <w:rPr>
                <w:rFonts w:hint="eastAsia" w:ascii="宋体" w:hAnsi="宋体" w:eastAsia="宋体" w:cs="宋体"/>
                <w:i w:val="0"/>
                <w:iCs w:val="0"/>
                <w:color w:val="auto"/>
                <w:sz w:val="21"/>
                <w:szCs w:val="21"/>
                <w:highlight w:val="none"/>
                <w:u w:val="none"/>
              </w:rPr>
            </w:pPr>
          </w:p>
        </w:tc>
      </w:tr>
      <w:tr w14:paraId="01D141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843A60">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804177">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67A90">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E5E9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花灌木生长发育基本正常，木本地被覆盖率达95%以上。</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3FF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花灌木、木本地被植物覆盖率低于 95%，以上情况出现每少1%扣1分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D5570D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right w:val="single" w:color="000000" w:sz="4" w:space="0"/>
            </w:tcBorders>
            <w:shd w:val="clear" w:color="auto" w:fill="auto"/>
            <w:vAlign w:val="center"/>
          </w:tcPr>
          <w:p w14:paraId="5FFCEEA4">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0B9FBC">
            <w:pPr>
              <w:jc w:val="left"/>
              <w:rPr>
                <w:rFonts w:hint="eastAsia" w:ascii="宋体" w:hAnsi="宋体" w:eastAsia="宋体" w:cs="宋体"/>
                <w:i w:val="0"/>
                <w:iCs w:val="0"/>
                <w:color w:val="auto"/>
                <w:sz w:val="21"/>
                <w:szCs w:val="21"/>
                <w:highlight w:val="none"/>
                <w:u w:val="none"/>
              </w:rPr>
            </w:pPr>
          </w:p>
        </w:tc>
      </w:tr>
      <w:tr w14:paraId="784B34D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DBDD0C">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280D84">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6E9E5A">
            <w:pPr>
              <w:jc w:val="center"/>
              <w:rPr>
                <w:rFonts w:hint="eastAsia" w:ascii="宋体" w:hAnsi="宋体" w:eastAsia="宋体" w:cs="宋体"/>
                <w:i w:val="0"/>
                <w:iCs w:val="0"/>
                <w:color w:val="auto"/>
                <w:sz w:val="21"/>
                <w:szCs w:val="21"/>
                <w:highlight w:val="none"/>
                <w:u w:val="none"/>
              </w:rPr>
            </w:pP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E4BD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绿篱生长基本正常，无死株，无明显断垄，无高草杂草，无明显病虫害发生。</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6E0B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绿篱存在死株、明显断垄，每处扣1分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F57BDD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3332A">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3F0FDF">
            <w:pPr>
              <w:jc w:val="left"/>
              <w:rPr>
                <w:rFonts w:hint="eastAsia" w:ascii="宋体" w:hAnsi="宋体" w:eastAsia="宋体" w:cs="宋体"/>
                <w:i w:val="0"/>
                <w:iCs w:val="0"/>
                <w:color w:val="auto"/>
                <w:sz w:val="21"/>
                <w:szCs w:val="21"/>
                <w:highlight w:val="none"/>
                <w:u w:val="none"/>
              </w:rPr>
            </w:pPr>
          </w:p>
        </w:tc>
      </w:tr>
      <w:tr w14:paraId="650233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4F927C">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57EA21">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5803C2">
            <w:pPr>
              <w:jc w:val="center"/>
              <w:rPr>
                <w:rFonts w:hint="eastAsia" w:ascii="宋体" w:hAnsi="宋体" w:eastAsia="宋体" w:cs="宋体"/>
                <w:i w:val="0"/>
                <w:iCs w:val="0"/>
                <w:color w:val="auto"/>
                <w:sz w:val="21"/>
                <w:szCs w:val="21"/>
                <w:highlight w:val="none"/>
                <w:u w:val="none"/>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7F4F19">
            <w:pPr>
              <w:jc w:val="center"/>
              <w:rPr>
                <w:rFonts w:hint="eastAsia" w:ascii="宋体" w:hAnsi="宋体" w:eastAsia="宋体" w:cs="宋体"/>
                <w:i w:val="0"/>
                <w:iCs w:val="0"/>
                <w:color w:val="auto"/>
                <w:sz w:val="21"/>
                <w:szCs w:val="21"/>
                <w:highlight w:val="none"/>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9EDAF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发生病虫害，每处扣1分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E54F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58AA49">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574436">
            <w:pPr>
              <w:jc w:val="left"/>
              <w:rPr>
                <w:rFonts w:hint="eastAsia" w:ascii="宋体" w:hAnsi="宋体" w:eastAsia="宋体" w:cs="宋体"/>
                <w:i w:val="0"/>
                <w:iCs w:val="0"/>
                <w:color w:val="auto"/>
                <w:sz w:val="21"/>
                <w:szCs w:val="21"/>
                <w:highlight w:val="none"/>
                <w:u w:val="none"/>
              </w:rPr>
            </w:pPr>
          </w:p>
        </w:tc>
      </w:tr>
      <w:tr w14:paraId="6EBB60F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2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1E5813">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5760E1">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205C50">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471C2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藤本植物生长基本正常，牵引合理，覆盖率不低于80%</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E528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藤本植物覆盖率低于80%，以上情况出现每低10%扣1分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71EFF0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8E2D3">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2ACF4">
            <w:pPr>
              <w:jc w:val="left"/>
              <w:rPr>
                <w:rFonts w:hint="eastAsia" w:ascii="宋体" w:hAnsi="宋体" w:eastAsia="宋体" w:cs="宋体"/>
                <w:i w:val="0"/>
                <w:iCs w:val="0"/>
                <w:color w:val="auto"/>
                <w:sz w:val="21"/>
                <w:szCs w:val="21"/>
                <w:highlight w:val="none"/>
                <w:u w:val="none"/>
              </w:rPr>
            </w:pPr>
          </w:p>
        </w:tc>
      </w:tr>
      <w:tr w14:paraId="35CA06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B8A3EF">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2C969">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3348A0">
            <w:pPr>
              <w:jc w:val="center"/>
              <w:rPr>
                <w:rFonts w:hint="eastAsia" w:ascii="宋体" w:hAnsi="宋体" w:eastAsia="宋体" w:cs="宋体"/>
                <w:i w:val="0"/>
                <w:iCs w:val="0"/>
                <w:color w:val="auto"/>
                <w:sz w:val="21"/>
                <w:szCs w:val="21"/>
                <w:highlight w:val="none"/>
                <w:u w:val="none"/>
              </w:rPr>
            </w:pP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7BF37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补植、改植于7天内完成</w:t>
            </w:r>
          </w:p>
          <w:p w14:paraId="0F32E64B">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草坪补植或改植后一个月内覆盖率达到90%以上</w:t>
            </w:r>
          </w:p>
          <w:p w14:paraId="38B229F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其他植物补植或改植的成活率达到95%以上</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48B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未能在7天内及时补植的，每处扣1分，对已要求补植但仍不按要求补植的，扣2分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AE8C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FE4C84">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2D9E05">
            <w:pPr>
              <w:jc w:val="left"/>
              <w:rPr>
                <w:rFonts w:hint="eastAsia" w:ascii="宋体" w:hAnsi="宋体" w:eastAsia="宋体" w:cs="宋体"/>
                <w:i w:val="0"/>
                <w:iCs w:val="0"/>
                <w:color w:val="auto"/>
                <w:sz w:val="21"/>
                <w:szCs w:val="21"/>
                <w:highlight w:val="none"/>
                <w:u w:val="none"/>
              </w:rPr>
            </w:pPr>
          </w:p>
        </w:tc>
      </w:tr>
      <w:tr w14:paraId="4A73A1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D047BD">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2F8405">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FD4A71">
            <w:pPr>
              <w:jc w:val="center"/>
              <w:rPr>
                <w:rFonts w:hint="eastAsia" w:ascii="宋体" w:hAnsi="宋体" w:eastAsia="宋体" w:cs="宋体"/>
                <w:i w:val="0"/>
                <w:iCs w:val="0"/>
                <w:color w:val="auto"/>
                <w:sz w:val="21"/>
                <w:szCs w:val="21"/>
                <w:highlight w:val="none"/>
                <w:u w:val="none"/>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FDDCFEE">
            <w:pPr>
              <w:jc w:val="left"/>
              <w:rPr>
                <w:rFonts w:hint="eastAsia" w:ascii="宋体" w:hAnsi="宋体" w:eastAsia="宋体" w:cs="宋体"/>
                <w:i w:val="0"/>
                <w:iCs w:val="0"/>
                <w:color w:val="auto"/>
                <w:sz w:val="21"/>
                <w:szCs w:val="21"/>
                <w:highlight w:val="none"/>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6B0C6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草坪补植或改植后一个月内覆盖率达到 90%以上，每少1%扣1分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CF1CC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ECD13">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532E59">
            <w:pPr>
              <w:jc w:val="left"/>
              <w:rPr>
                <w:rFonts w:hint="eastAsia" w:ascii="宋体" w:hAnsi="宋体" w:eastAsia="宋体" w:cs="宋体"/>
                <w:i w:val="0"/>
                <w:iCs w:val="0"/>
                <w:color w:val="auto"/>
                <w:sz w:val="21"/>
                <w:szCs w:val="21"/>
                <w:highlight w:val="none"/>
                <w:u w:val="none"/>
              </w:rPr>
            </w:pPr>
          </w:p>
        </w:tc>
      </w:tr>
      <w:tr w14:paraId="15B18E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C639FE">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696890">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8343C0">
            <w:pPr>
              <w:jc w:val="center"/>
              <w:rPr>
                <w:rFonts w:hint="eastAsia" w:ascii="宋体" w:hAnsi="宋体" w:eastAsia="宋体" w:cs="宋体"/>
                <w:i w:val="0"/>
                <w:iCs w:val="0"/>
                <w:color w:val="auto"/>
                <w:sz w:val="21"/>
                <w:szCs w:val="21"/>
                <w:highlight w:val="none"/>
                <w:u w:val="none"/>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40941">
            <w:pPr>
              <w:jc w:val="left"/>
              <w:rPr>
                <w:rFonts w:hint="eastAsia" w:ascii="宋体" w:hAnsi="宋体" w:eastAsia="宋体" w:cs="宋体"/>
                <w:i w:val="0"/>
                <w:iCs w:val="0"/>
                <w:color w:val="auto"/>
                <w:sz w:val="21"/>
                <w:szCs w:val="21"/>
                <w:highlight w:val="none"/>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AC1C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其他植物补植或改植的成活率达到95%以 上，每少1%扣1分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41FE9F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534D18">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964D1C">
            <w:pPr>
              <w:jc w:val="left"/>
              <w:rPr>
                <w:rFonts w:hint="eastAsia" w:ascii="宋体" w:hAnsi="宋体" w:eastAsia="宋体" w:cs="宋体"/>
                <w:i w:val="0"/>
                <w:iCs w:val="0"/>
                <w:color w:val="auto"/>
                <w:sz w:val="21"/>
                <w:szCs w:val="21"/>
                <w:highlight w:val="none"/>
                <w:u w:val="none"/>
              </w:rPr>
            </w:pPr>
          </w:p>
        </w:tc>
      </w:tr>
      <w:tr w14:paraId="0509E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400CF">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D2F8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16分</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745FE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花卉、地被、草坪</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A9707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花卉基本正常，株型基本完整，开花时覆盖率达到80%以上，杂草覆盖率小于5%</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81D0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花卉开花时覆盖率低于80%，以上情况出现每低1%扣1分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B7FDBB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11BEFC">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394496">
            <w:pPr>
              <w:jc w:val="left"/>
              <w:rPr>
                <w:rFonts w:hint="eastAsia" w:ascii="宋体" w:hAnsi="宋体" w:eastAsia="宋体" w:cs="宋体"/>
                <w:i w:val="0"/>
                <w:iCs w:val="0"/>
                <w:color w:val="auto"/>
                <w:sz w:val="21"/>
                <w:szCs w:val="21"/>
                <w:highlight w:val="none"/>
                <w:u w:val="none"/>
              </w:rPr>
            </w:pPr>
          </w:p>
        </w:tc>
      </w:tr>
      <w:tr w14:paraId="5BDFF8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B1DDD0">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C81E0">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89D138">
            <w:pPr>
              <w:jc w:val="center"/>
              <w:rPr>
                <w:rFonts w:hint="eastAsia" w:ascii="宋体" w:hAnsi="宋体" w:eastAsia="宋体" w:cs="宋体"/>
                <w:i w:val="0"/>
                <w:iCs w:val="0"/>
                <w:color w:val="auto"/>
                <w:sz w:val="21"/>
                <w:szCs w:val="21"/>
                <w:highlight w:val="none"/>
                <w:u w:val="none"/>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466D58">
            <w:pPr>
              <w:jc w:val="center"/>
              <w:rPr>
                <w:rFonts w:hint="eastAsia" w:ascii="宋体" w:hAnsi="宋体" w:eastAsia="宋体" w:cs="宋体"/>
                <w:i w:val="0"/>
                <w:iCs w:val="0"/>
                <w:color w:val="auto"/>
                <w:sz w:val="21"/>
                <w:szCs w:val="21"/>
                <w:highlight w:val="none"/>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8983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花卉存在杂草应低于5%，每高出1%扣1分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5EB1DA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9B1C1">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411AD6">
            <w:pPr>
              <w:jc w:val="left"/>
              <w:rPr>
                <w:rFonts w:hint="eastAsia" w:ascii="宋体" w:hAnsi="宋体" w:eastAsia="宋体" w:cs="宋体"/>
                <w:i w:val="0"/>
                <w:iCs w:val="0"/>
                <w:color w:val="auto"/>
                <w:sz w:val="21"/>
                <w:szCs w:val="21"/>
                <w:highlight w:val="none"/>
                <w:u w:val="none"/>
              </w:rPr>
            </w:pPr>
          </w:p>
        </w:tc>
      </w:tr>
      <w:tr w14:paraId="3F7AF9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6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49FECB">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50D37E">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A49459">
            <w:pPr>
              <w:jc w:val="center"/>
              <w:rPr>
                <w:rFonts w:hint="eastAsia" w:ascii="宋体" w:hAnsi="宋体" w:eastAsia="宋体" w:cs="宋体"/>
                <w:i w:val="0"/>
                <w:iCs w:val="0"/>
                <w:color w:val="auto"/>
                <w:sz w:val="21"/>
                <w:szCs w:val="21"/>
                <w:highlight w:val="none"/>
                <w:u w:val="none"/>
              </w:rPr>
            </w:pP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96A6562">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草坪及地被植物整齐，草坪的绿色期不少于230天覆盖率85%以上</w:t>
            </w:r>
          </w:p>
          <w:p w14:paraId="7097E1B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杂草的覆盖率不超过5%</w:t>
            </w:r>
          </w:p>
          <w:p w14:paraId="6F4AEEF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草坪表面积水能在雨后24小时排清</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B4D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草坪及地被植物参差不齐，草坪的绿色期少于230天，以上情况出现每少3天扣1分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C22A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9D8169">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0DF1F8F">
            <w:pPr>
              <w:jc w:val="left"/>
              <w:rPr>
                <w:rFonts w:hint="eastAsia" w:ascii="宋体" w:hAnsi="宋体" w:eastAsia="宋体" w:cs="宋体"/>
                <w:i w:val="0"/>
                <w:iCs w:val="0"/>
                <w:color w:val="auto"/>
                <w:sz w:val="21"/>
                <w:szCs w:val="21"/>
                <w:highlight w:val="none"/>
                <w:u w:val="none"/>
              </w:rPr>
            </w:pPr>
          </w:p>
        </w:tc>
      </w:tr>
      <w:tr w14:paraId="5C83D4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D42AA">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3FD70">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18DE51">
            <w:pPr>
              <w:jc w:val="center"/>
              <w:rPr>
                <w:rFonts w:hint="eastAsia" w:ascii="宋体" w:hAnsi="宋体" w:eastAsia="宋体" w:cs="宋体"/>
                <w:i w:val="0"/>
                <w:iCs w:val="0"/>
                <w:color w:val="auto"/>
                <w:sz w:val="21"/>
                <w:szCs w:val="21"/>
                <w:highlight w:val="none"/>
                <w:u w:val="none"/>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736C98">
            <w:pPr>
              <w:jc w:val="center"/>
              <w:rPr>
                <w:rFonts w:hint="eastAsia" w:ascii="宋体" w:hAnsi="宋体" w:eastAsia="宋体" w:cs="宋体"/>
                <w:i w:val="0"/>
                <w:iCs w:val="0"/>
                <w:color w:val="auto"/>
                <w:sz w:val="21"/>
                <w:szCs w:val="21"/>
                <w:highlight w:val="none"/>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AD2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覆盖率低于85%，每低1%扣1分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F345E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BDCB7D">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2EC5D3">
            <w:pPr>
              <w:jc w:val="left"/>
              <w:rPr>
                <w:rFonts w:hint="eastAsia" w:ascii="宋体" w:hAnsi="宋体" w:eastAsia="宋体" w:cs="宋体"/>
                <w:i w:val="0"/>
                <w:iCs w:val="0"/>
                <w:color w:val="auto"/>
                <w:sz w:val="21"/>
                <w:szCs w:val="21"/>
                <w:highlight w:val="none"/>
                <w:u w:val="none"/>
              </w:rPr>
            </w:pPr>
          </w:p>
        </w:tc>
      </w:tr>
      <w:tr w14:paraId="692F6B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2C961A">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00D673">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6FAF16">
            <w:pPr>
              <w:jc w:val="center"/>
              <w:rPr>
                <w:rFonts w:hint="eastAsia" w:ascii="宋体" w:hAnsi="宋体" w:eastAsia="宋体" w:cs="宋体"/>
                <w:i w:val="0"/>
                <w:iCs w:val="0"/>
                <w:color w:val="auto"/>
                <w:sz w:val="21"/>
                <w:szCs w:val="21"/>
                <w:highlight w:val="none"/>
                <w:u w:val="none"/>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F24E1E">
            <w:pPr>
              <w:jc w:val="center"/>
              <w:rPr>
                <w:rFonts w:hint="eastAsia" w:ascii="宋体" w:hAnsi="宋体" w:eastAsia="宋体" w:cs="宋体"/>
                <w:i w:val="0"/>
                <w:iCs w:val="0"/>
                <w:color w:val="auto"/>
                <w:sz w:val="21"/>
                <w:szCs w:val="21"/>
                <w:highlight w:val="none"/>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920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每平方米杂草超过20株，每超过1株扣0.5分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5C6C7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700EE">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9DDEE8">
            <w:pPr>
              <w:jc w:val="left"/>
              <w:rPr>
                <w:rFonts w:hint="eastAsia" w:ascii="宋体" w:hAnsi="宋体" w:eastAsia="宋体" w:cs="宋体"/>
                <w:i w:val="0"/>
                <w:iCs w:val="0"/>
                <w:color w:val="auto"/>
                <w:sz w:val="21"/>
                <w:szCs w:val="21"/>
                <w:highlight w:val="none"/>
                <w:u w:val="none"/>
              </w:rPr>
            </w:pPr>
          </w:p>
        </w:tc>
      </w:tr>
      <w:tr w14:paraId="01FD39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2D2B">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77C19">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A19B42">
            <w:pPr>
              <w:jc w:val="center"/>
              <w:rPr>
                <w:rFonts w:hint="eastAsia" w:ascii="宋体" w:hAnsi="宋体" w:eastAsia="宋体" w:cs="宋体"/>
                <w:i w:val="0"/>
                <w:iCs w:val="0"/>
                <w:color w:val="auto"/>
                <w:sz w:val="21"/>
                <w:szCs w:val="21"/>
                <w:highlight w:val="none"/>
                <w:u w:val="none"/>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18D6D0">
            <w:pPr>
              <w:jc w:val="center"/>
              <w:rPr>
                <w:rFonts w:hint="eastAsia" w:ascii="宋体" w:hAnsi="宋体" w:eastAsia="宋体" w:cs="宋体"/>
                <w:i w:val="0"/>
                <w:iCs w:val="0"/>
                <w:color w:val="auto"/>
                <w:sz w:val="21"/>
                <w:szCs w:val="21"/>
                <w:highlight w:val="none"/>
                <w:u w:val="none"/>
              </w:rPr>
            </w:pPr>
          </w:p>
        </w:tc>
        <w:tc>
          <w:tcPr>
            <w:tcW w:w="9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333B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存在积水，雨后24小时内无法排清，每处扣1分</w:t>
            </w:r>
          </w:p>
        </w:tc>
        <w:tc>
          <w:tcPr>
            <w:tcW w:w="4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92143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E6B1C14">
            <w:pPr>
              <w:jc w:val="center"/>
              <w:rPr>
                <w:rFonts w:hint="eastAsia" w:ascii="宋体" w:hAnsi="宋体" w:eastAsia="宋体" w:cs="宋体"/>
                <w:i w:val="0"/>
                <w:iCs w:val="0"/>
                <w:color w:val="auto"/>
                <w:sz w:val="21"/>
                <w:szCs w:val="21"/>
                <w:highlight w:val="none"/>
                <w:u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E1A37A">
            <w:pPr>
              <w:jc w:val="center"/>
              <w:rPr>
                <w:rFonts w:hint="eastAsia" w:ascii="宋体" w:hAnsi="宋体" w:eastAsia="宋体" w:cs="宋体"/>
                <w:i w:val="0"/>
                <w:iCs w:val="0"/>
                <w:color w:val="auto"/>
                <w:sz w:val="21"/>
                <w:szCs w:val="21"/>
                <w:highlight w:val="none"/>
                <w:u w:val="none"/>
              </w:rPr>
            </w:pPr>
          </w:p>
        </w:tc>
      </w:tr>
      <w:tr w14:paraId="6CC700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70B42">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9067E9">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666367F">
            <w:pPr>
              <w:jc w:val="center"/>
              <w:rPr>
                <w:rFonts w:hint="eastAsia" w:ascii="宋体" w:hAnsi="宋体" w:eastAsia="宋体" w:cs="宋体"/>
                <w:i w:val="0"/>
                <w:iCs w:val="0"/>
                <w:color w:val="auto"/>
                <w:sz w:val="21"/>
                <w:szCs w:val="21"/>
                <w:highlight w:val="none"/>
                <w:u w:val="none"/>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43858C">
            <w:pPr>
              <w:jc w:val="center"/>
              <w:rPr>
                <w:rFonts w:hint="eastAsia" w:ascii="宋体" w:hAnsi="宋体" w:eastAsia="宋体" w:cs="宋体"/>
                <w:i w:val="0"/>
                <w:iCs w:val="0"/>
                <w:color w:val="auto"/>
                <w:sz w:val="21"/>
                <w:szCs w:val="21"/>
                <w:highlight w:val="none"/>
                <w:u w:val="none"/>
              </w:rPr>
            </w:pP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57EC6B">
            <w:pPr>
              <w:jc w:val="center"/>
              <w:rPr>
                <w:rFonts w:hint="eastAsia" w:ascii="宋体" w:hAnsi="宋体" w:eastAsia="宋体" w:cs="宋体"/>
                <w:i w:val="0"/>
                <w:iCs w:val="0"/>
                <w:color w:val="auto"/>
                <w:sz w:val="21"/>
                <w:szCs w:val="21"/>
                <w:highlight w:val="none"/>
                <w:u w:val="none"/>
              </w:rPr>
            </w:pPr>
          </w:p>
        </w:tc>
        <w:tc>
          <w:tcPr>
            <w:tcW w:w="4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789B66">
            <w:pPr>
              <w:jc w:val="center"/>
              <w:rPr>
                <w:rFonts w:hint="eastAsia" w:ascii="宋体" w:hAnsi="宋体" w:eastAsia="宋体" w:cs="宋体"/>
                <w:i w:val="0"/>
                <w:iCs w:val="0"/>
                <w:color w:val="auto"/>
                <w:sz w:val="21"/>
                <w:szCs w:val="21"/>
                <w:highlight w:val="none"/>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92CFC">
            <w:pPr>
              <w:jc w:val="center"/>
              <w:rPr>
                <w:rFonts w:hint="eastAsia" w:ascii="宋体" w:hAnsi="宋体" w:eastAsia="宋体" w:cs="宋体"/>
                <w:i w:val="0"/>
                <w:iCs w:val="0"/>
                <w:color w:val="auto"/>
                <w:sz w:val="21"/>
                <w:szCs w:val="21"/>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2DDD48">
            <w:pPr>
              <w:jc w:val="center"/>
              <w:rPr>
                <w:rFonts w:hint="eastAsia" w:ascii="宋体" w:hAnsi="宋体" w:eastAsia="宋体" w:cs="宋体"/>
                <w:i w:val="0"/>
                <w:iCs w:val="0"/>
                <w:color w:val="auto"/>
                <w:sz w:val="21"/>
                <w:szCs w:val="21"/>
                <w:highlight w:val="none"/>
                <w:u w:val="none"/>
              </w:rPr>
            </w:pPr>
          </w:p>
        </w:tc>
      </w:tr>
      <w:tr w14:paraId="1DFEFAB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091A43">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29C295">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02DDC3">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75540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花坛、花带及绿篱基本无残缺，杂草覆盖率小于5%</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72A6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花坛、花带、花台植物存在杂草应低于 5%，每高1%扣1分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AA685D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638536">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5B42E6">
            <w:pPr>
              <w:jc w:val="left"/>
              <w:rPr>
                <w:rFonts w:hint="eastAsia" w:ascii="宋体" w:hAnsi="宋体" w:eastAsia="宋体" w:cs="宋体"/>
                <w:i w:val="0"/>
                <w:iCs w:val="0"/>
                <w:color w:val="auto"/>
                <w:sz w:val="21"/>
                <w:szCs w:val="21"/>
                <w:highlight w:val="none"/>
                <w:u w:val="none"/>
              </w:rPr>
            </w:pPr>
          </w:p>
        </w:tc>
      </w:tr>
      <w:tr w14:paraId="4A68960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FC75B">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7D6A8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31分</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5A3A8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修剪、淋水及施肥</w:t>
            </w: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A185D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三级养护标准制定乔木、灌木、绿篱等苗木的修剪计划。自然形乔木每年不少于1次、造型乔木每年不少于2次、自然形灌木每年不少于1次、造型灌木每年不少于4次、绿篱、模纹花坛修剪：绿篱、模纹花坛修剪每年不少于4次。</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EA5B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未制定计划，扣3分；修剪计划有变化，未提前调整计划，每次扣1分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821C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shd w:val="clear" w:color="auto" w:fill="auto"/>
            <w:noWrap/>
            <w:vAlign w:val="center"/>
          </w:tcPr>
          <w:p w14:paraId="4430E517">
            <w:pPr>
              <w:rPr>
                <w:rFonts w:hint="eastAsia" w:ascii="宋体" w:hAnsi="宋体" w:eastAsia="宋体" w:cs="宋体"/>
                <w:i w:val="0"/>
                <w:iCs w:val="0"/>
                <w:color w:val="auto"/>
                <w:sz w:val="22"/>
                <w:szCs w:val="22"/>
                <w:highlight w:val="none"/>
                <w:u w:val="none"/>
              </w:rPr>
            </w:pPr>
          </w:p>
        </w:tc>
        <w:tc>
          <w:tcPr>
            <w:tcW w:w="463" w:type="pct"/>
            <w:tcBorders>
              <w:top w:val="nil"/>
              <w:left w:val="nil"/>
              <w:bottom w:val="single" w:color="000000" w:sz="8" w:space="0"/>
              <w:right w:val="single" w:color="000000" w:sz="8" w:space="0"/>
            </w:tcBorders>
            <w:shd w:val="clear" w:color="auto" w:fill="auto"/>
            <w:noWrap/>
            <w:vAlign w:val="center"/>
          </w:tcPr>
          <w:p w14:paraId="4728B18A">
            <w:pPr>
              <w:rPr>
                <w:rFonts w:hint="eastAsia" w:ascii="宋体" w:hAnsi="宋体" w:eastAsia="宋体" w:cs="宋体"/>
                <w:i w:val="0"/>
                <w:iCs w:val="0"/>
                <w:color w:val="auto"/>
                <w:sz w:val="22"/>
                <w:szCs w:val="22"/>
                <w:highlight w:val="none"/>
                <w:u w:val="none"/>
              </w:rPr>
            </w:pPr>
          </w:p>
        </w:tc>
      </w:tr>
      <w:tr w14:paraId="17FB629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2C9F5F">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638926">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B0EED2">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49F0C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按照修剪计划完成乔木、灌木、绿篱、模纹花坛的修剪工作</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D2A6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未按计划完成修剪工作，且未提前调整修剪计划，造成延后的，每次扣2分，未进行修剪扣5分。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12D75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41" w:type="pct"/>
            <w:tcBorders>
              <w:top w:val="nil"/>
              <w:left w:val="nil"/>
              <w:bottom w:val="single" w:color="000000" w:sz="8" w:space="0"/>
              <w:right w:val="single" w:color="000000" w:sz="8" w:space="0"/>
            </w:tcBorders>
            <w:shd w:val="clear" w:color="auto" w:fill="auto"/>
            <w:noWrap/>
            <w:vAlign w:val="center"/>
          </w:tcPr>
          <w:p w14:paraId="09543447">
            <w:pPr>
              <w:rPr>
                <w:rFonts w:hint="eastAsia" w:ascii="宋体" w:hAnsi="宋体" w:eastAsia="宋体" w:cs="宋体"/>
                <w:i w:val="0"/>
                <w:iCs w:val="0"/>
                <w:color w:val="auto"/>
                <w:sz w:val="22"/>
                <w:szCs w:val="22"/>
                <w:highlight w:val="none"/>
                <w:u w:val="none"/>
              </w:rPr>
            </w:pPr>
          </w:p>
        </w:tc>
        <w:tc>
          <w:tcPr>
            <w:tcW w:w="463" w:type="pct"/>
            <w:tcBorders>
              <w:top w:val="nil"/>
              <w:left w:val="nil"/>
              <w:bottom w:val="single" w:color="000000" w:sz="8" w:space="0"/>
              <w:right w:val="single" w:color="000000" w:sz="8" w:space="0"/>
            </w:tcBorders>
            <w:shd w:val="clear" w:color="auto" w:fill="auto"/>
            <w:noWrap/>
            <w:vAlign w:val="center"/>
          </w:tcPr>
          <w:p w14:paraId="7DFAE72D">
            <w:pPr>
              <w:rPr>
                <w:rFonts w:hint="eastAsia" w:ascii="宋体" w:hAnsi="宋体" w:eastAsia="宋体" w:cs="宋体"/>
                <w:i w:val="0"/>
                <w:iCs w:val="0"/>
                <w:color w:val="auto"/>
                <w:sz w:val="22"/>
                <w:szCs w:val="22"/>
                <w:highlight w:val="none"/>
                <w:u w:val="none"/>
              </w:rPr>
            </w:pPr>
          </w:p>
        </w:tc>
      </w:tr>
      <w:tr w14:paraId="1B67F36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0D0611">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769C3C">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B7AEE2">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98EA1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草坪修剪留茬高度1.3—5.0cm</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D1D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修剪高度不在留茬高度范围内，每次扣1分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EA2C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shd w:val="clear" w:color="auto" w:fill="auto"/>
            <w:noWrap/>
            <w:vAlign w:val="center"/>
          </w:tcPr>
          <w:p w14:paraId="526B938C">
            <w:pPr>
              <w:rPr>
                <w:rFonts w:hint="eastAsia" w:ascii="宋体" w:hAnsi="宋体" w:eastAsia="宋体" w:cs="宋体"/>
                <w:i w:val="0"/>
                <w:iCs w:val="0"/>
                <w:color w:val="auto"/>
                <w:sz w:val="22"/>
                <w:szCs w:val="22"/>
                <w:highlight w:val="none"/>
                <w:u w:val="none"/>
              </w:rPr>
            </w:pPr>
          </w:p>
        </w:tc>
        <w:tc>
          <w:tcPr>
            <w:tcW w:w="463" w:type="pct"/>
            <w:tcBorders>
              <w:top w:val="nil"/>
              <w:left w:val="nil"/>
              <w:bottom w:val="single" w:color="000000" w:sz="8" w:space="0"/>
              <w:right w:val="single" w:color="000000" w:sz="8" w:space="0"/>
            </w:tcBorders>
            <w:shd w:val="clear" w:color="auto" w:fill="auto"/>
            <w:noWrap/>
            <w:vAlign w:val="center"/>
          </w:tcPr>
          <w:p w14:paraId="07DA6271">
            <w:pPr>
              <w:rPr>
                <w:rFonts w:hint="eastAsia" w:ascii="宋体" w:hAnsi="宋体" w:eastAsia="宋体" w:cs="宋体"/>
                <w:i w:val="0"/>
                <w:iCs w:val="0"/>
                <w:color w:val="auto"/>
                <w:sz w:val="22"/>
                <w:szCs w:val="22"/>
                <w:highlight w:val="none"/>
                <w:u w:val="none"/>
              </w:rPr>
            </w:pPr>
          </w:p>
        </w:tc>
      </w:tr>
      <w:tr w14:paraId="249CC9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5A8559">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6A0FE9">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93F381">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629D7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地表无自然沉降、隆起等现象，绿地内应保持清洁，做到无垃圾杂物，无石砾砖块，无成片干枯枝叶，无粪便污物，无悬挂物，无蚊蝇滋生</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5E25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绿地内存在垃圾杂物、 自然沉降、隆起、石砾砖块，成片干枯枝叶，粪便污物，悬挂物，每处扣1分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BED09A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shd w:val="clear" w:color="auto" w:fill="auto"/>
            <w:noWrap/>
            <w:vAlign w:val="center"/>
          </w:tcPr>
          <w:p w14:paraId="5E03BB53">
            <w:pPr>
              <w:rPr>
                <w:rFonts w:hint="eastAsia" w:ascii="宋体" w:hAnsi="宋体" w:eastAsia="宋体" w:cs="宋体"/>
                <w:i w:val="0"/>
                <w:iCs w:val="0"/>
                <w:color w:val="auto"/>
                <w:sz w:val="22"/>
                <w:szCs w:val="22"/>
                <w:highlight w:val="none"/>
                <w:u w:val="none"/>
              </w:rPr>
            </w:pPr>
          </w:p>
        </w:tc>
        <w:tc>
          <w:tcPr>
            <w:tcW w:w="463" w:type="pct"/>
            <w:tcBorders>
              <w:top w:val="nil"/>
              <w:left w:val="nil"/>
              <w:bottom w:val="single" w:color="000000" w:sz="8" w:space="0"/>
              <w:right w:val="single" w:color="000000" w:sz="8" w:space="0"/>
            </w:tcBorders>
            <w:shd w:val="clear" w:color="auto" w:fill="auto"/>
            <w:noWrap/>
            <w:vAlign w:val="center"/>
          </w:tcPr>
          <w:p w14:paraId="519B82E7">
            <w:pPr>
              <w:rPr>
                <w:rFonts w:hint="eastAsia" w:ascii="宋体" w:hAnsi="宋体" w:eastAsia="宋体" w:cs="宋体"/>
                <w:i w:val="0"/>
                <w:iCs w:val="0"/>
                <w:color w:val="auto"/>
                <w:sz w:val="22"/>
                <w:szCs w:val="22"/>
                <w:highlight w:val="none"/>
                <w:u w:val="none"/>
              </w:rPr>
            </w:pPr>
          </w:p>
        </w:tc>
      </w:tr>
      <w:tr w14:paraId="19BC51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F7D7D0">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22FCF7">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E7FA23">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5554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根据三级养护标准制定乔灌木、观花灌木、草本花卉、绿篱、草地、地被的施肥计划。</w:t>
            </w:r>
          </w:p>
          <w:p w14:paraId="0AF143A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乔灌木施肥每年不少于1次，2—3月和9—10月重点进行施肥，复合肥和基肥结合；</w:t>
            </w:r>
          </w:p>
          <w:p w14:paraId="35EEC6C2">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观花灌木每年不少于2次；</w:t>
            </w:r>
          </w:p>
          <w:p w14:paraId="30722FE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草本花卉每年不少于2次，成片花卉每月撒施复合肥1次，每年根据其长势和覆盖率情况适当施基肥 1—2次；</w:t>
            </w:r>
          </w:p>
          <w:p w14:paraId="0FD3E61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绿篱每年撒施复合肥不少于2次，每年根据其长势和 覆盖率情况适当施基肥1—2次；</w:t>
            </w:r>
          </w:p>
          <w:p w14:paraId="56A89C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草地、地被每年不少于1次。</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9A68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未制定计划，扣3分；施肥计划有变化，未提前调整计划，每次扣1分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249E84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shd w:val="clear" w:color="auto" w:fill="auto"/>
            <w:noWrap/>
            <w:vAlign w:val="center"/>
          </w:tcPr>
          <w:p w14:paraId="62F1A705">
            <w:pPr>
              <w:rPr>
                <w:rFonts w:hint="eastAsia" w:ascii="宋体" w:hAnsi="宋体" w:eastAsia="宋体" w:cs="宋体"/>
                <w:i w:val="0"/>
                <w:iCs w:val="0"/>
                <w:color w:val="auto"/>
                <w:sz w:val="22"/>
                <w:szCs w:val="22"/>
                <w:highlight w:val="none"/>
                <w:u w:val="none"/>
              </w:rPr>
            </w:pPr>
          </w:p>
        </w:tc>
        <w:tc>
          <w:tcPr>
            <w:tcW w:w="463" w:type="pct"/>
            <w:tcBorders>
              <w:top w:val="nil"/>
              <w:left w:val="nil"/>
              <w:bottom w:val="single" w:color="000000" w:sz="8" w:space="0"/>
              <w:right w:val="single" w:color="000000" w:sz="8" w:space="0"/>
            </w:tcBorders>
            <w:shd w:val="clear" w:color="auto" w:fill="auto"/>
            <w:noWrap/>
            <w:vAlign w:val="center"/>
          </w:tcPr>
          <w:p w14:paraId="58DC9ECF">
            <w:pPr>
              <w:rPr>
                <w:rFonts w:hint="eastAsia" w:ascii="宋体" w:hAnsi="宋体" w:eastAsia="宋体" w:cs="宋体"/>
                <w:i w:val="0"/>
                <w:iCs w:val="0"/>
                <w:color w:val="auto"/>
                <w:sz w:val="22"/>
                <w:szCs w:val="22"/>
                <w:highlight w:val="none"/>
                <w:u w:val="none"/>
              </w:rPr>
            </w:pPr>
          </w:p>
        </w:tc>
      </w:tr>
      <w:tr w14:paraId="3A9322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12BF5D">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A892EF">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79BEECB">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D103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按照施肥计划完成乔灌木、观花灌木、草本花卉、绿篱、草地、地被的施肥工作。</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2273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未按计划完成施肥工作，且未提前调整施肥计划，造成生长衰退的，每次扣2分；</w:t>
            </w:r>
          </w:p>
          <w:p w14:paraId="00FEF98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如施肥次数未达到要求的，每少1次扣2分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6767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41" w:type="pct"/>
            <w:tcBorders>
              <w:top w:val="nil"/>
              <w:left w:val="nil"/>
              <w:bottom w:val="single" w:color="000000" w:sz="8" w:space="0"/>
              <w:right w:val="single" w:color="000000" w:sz="8" w:space="0"/>
            </w:tcBorders>
            <w:shd w:val="clear" w:color="auto" w:fill="auto"/>
            <w:noWrap/>
            <w:vAlign w:val="center"/>
          </w:tcPr>
          <w:p w14:paraId="7E551F1D">
            <w:pPr>
              <w:rPr>
                <w:rFonts w:hint="eastAsia" w:ascii="宋体" w:hAnsi="宋体" w:eastAsia="宋体" w:cs="宋体"/>
                <w:i w:val="0"/>
                <w:iCs w:val="0"/>
                <w:color w:val="auto"/>
                <w:sz w:val="22"/>
                <w:szCs w:val="22"/>
                <w:highlight w:val="none"/>
                <w:u w:val="none"/>
              </w:rPr>
            </w:pPr>
          </w:p>
        </w:tc>
        <w:tc>
          <w:tcPr>
            <w:tcW w:w="463" w:type="pct"/>
            <w:tcBorders>
              <w:top w:val="nil"/>
              <w:left w:val="nil"/>
              <w:bottom w:val="single" w:color="000000" w:sz="8" w:space="0"/>
              <w:right w:val="single" w:color="000000" w:sz="8" w:space="0"/>
            </w:tcBorders>
            <w:shd w:val="clear" w:color="auto" w:fill="auto"/>
            <w:noWrap/>
            <w:vAlign w:val="center"/>
          </w:tcPr>
          <w:p w14:paraId="3D3AB800">
            <w:pPr>
              <w:rPr>
                <w:rFonts w:hint="eastAsia" w:ascii="宋体" w:hAnsi="宋体" w:eastAsia="宋体" w:cs="宋体"/>
                <w:i w:val="0"/>
                <w:iCs w:val="0"/>
                <w:color w:val="auto"/>
                <w:sz w:val="22"/>
                <w:szCs w:val="22"/>
                <w:highlight w:val="none"/>
                <w:u w:val="none"/>
              </w:rPr>
            </w:pPr>
          </w:p>
        </w:tc>
      </w:tr>
      <w:tr w14:paraId="7C474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23F92">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F3CFE9">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E4E6FBC">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0A0D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及时淋水，旱季一般乔木5-6天淋水1次</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9126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旱季乔木淋水次数低于规定次数，每次扣1分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08D8A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shd w:val="clear" w:color="auto" w:fill="auto"/>
            <w:noWrap/>
            <w:vAlign w:val="center"/>
          </w:tcPr>
          <w:p w14:paraId="02240AF5">
            <w:pPr>
              <w:rPr>
                <w:rFonts w:hint="eastAsia" w:ascii="宋体" w:hAnsi="宋体" w:eastAsia="宋体" w:cs="宋体"/>
                <w:i w:val="0"/>
                <w:iCs w:val="0"/>
                <w:color w:val="auto"/>
                <w:sz w:val="22"/>
                <w:szCs w:val="22"/>
                <w:highlight w:val="none"/>
                <w:u w:val="none"/>
              </w:rPr>
            </w:pPr>
          </w:p>
        </w:tc>
        <w:tc>
          <w:tcPr>
            <w:tcW w:w="463" w:type="pct"/>
            <w:tcBorders>
              <w:top w:val="nil"/>
              <w:left w:val="nil"/>
              <w:bottom w:val="single" w:color="000000" w:sz="8" w:space="0"/>
              <w:right w:val="single" w:color="000000" w:sz="8" w:space="0"/>
            </w:tcBorders>
            <w:shd w:val="clear" w:color="auto" w:fill="auto"/>
            <w:noWrap/>
            <w:vAlign w:val="center"/>
          </w:tcPr>
          <w:p w14:paraId="765843F4">
            <w:pPr>
              <w:rPr>
                <w:rFonts w:hint="eastAsia" w:ascii="宋体" w:hAnsi="宋体" w:eastAsia="宋体" w:cs="宋体"/>
                <w:i w:val="0"/>
                <w:iCs w:val="0"/>
                <w:color w:val="auto"/>
                <w:sz w:val="22"/>
                <w:szCs w:val="22"/>
                <w:highlight w:val="none"/>
                <w:u w:val="none"/>
              </w:rPr>
            </w:pPr>
          </w:p>
        </w:tc>
      </w:tr>
      <w:tr w14:paraId="34339B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4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4B864D">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F83AC7">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25AABF">
            <w:pPr>
              <w:jc w:val="center"/>
              <w:rPr>
                <w:rFonts w:hint="eastAsia" w:ascii="宋体" w:hAnsi="宋体" w:eastAsia="宋体" w:cs="宋体"/>
                <w:i w:val="0"/>
                <w:iCs w:val="0"/>
                <w:color w:val="auto"/>
                <w:sz w:val="21"/>
                <w:szCs w:val="21"/>
                <w:highlight w:val="none"/>
                <w:u w:val="none"/>
              </w:rPr>
            </w:pP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708972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单丛灌木、成片花卉、绿篱一般3-4天淋水1次；</w:t>
            </w:r>
          </w:p>
          <w:p w14:paraId="0E5A4F3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草地、地被一般每天淋水1次</w:t>
            </w:r>
          </w:p>
          <w:p w14:paraId="6FA89AC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雨季根据天气情况适当调节</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E932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单丛灌木、成片花卉、绿篱淋水次数低于规定次数，每次扣1分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EAA63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shd w:val="clear" w:color="auto" w:fill="auto"/>
            <w:noWrap/>
            <w:vAlign w:val="center"/>
          </w:tcPr>
          <w:p w14:paraId="49BDDA03">
            <w:pPr>
              <w:rPr>
                <w:rFonts w:hint="eastAsia" w:ascii="宋体" w:hAnsi="宋体" w:eastAsia="宋体" w:cs="宋体"/>
                <w:i w:val="0"/>
                <w:iCs w:val="0"/>
                <w:color w:val="auto"/>
                <w:sz w:val="22"/>
                <w:szCs w:val="22"/>
                <w:highlight w:val="none"/>
                <w:u w:val="none"/>
              </w:rPr>
            </w:pPr>
          </w:p>
        </w:tc>
        <w:tc>
          <w:tcPr>
            <w:tcW w:w="463" w:type="pct"/>
            <w:tcBorders>
              <w:top w:val="nil"/>
              <w:left w:val="nil"/>
              <w:bottom w:val="single" w:color="000000" w:sz="8" w:space="0"/>
              <w:right w:val="single" w:color="000000" w:sz="8" w:space="0"/>
            </w:tcBorders>
            <w:shd w:val="clear" w:color="auto" w:fill="auto"/>
            <w:noWrap/>
            <w:vAlign w:val="center"/>
          </w:tcPr>
          <w:p w14:paraId="76FF204C">
            <w:pPr>
              <w:rPr>
                <w:rFonts w:hint="eastAsia" w:ascii="宋体" w:hAnsi="宋体" w:eastAsia="宋体" w:cs="宋体"/>
                <w:i w:val="0"/>
                <w:iCs w:val="0"/>
                <w:color w:val="auto"/>
                <w:sz w:val="22"/>
                <w:szCs w:val="22"/>
                <w:highlight w:val="none"/>
                <w:u w:val="none"/>
              </w:rPr>
            </w:pPr>
          </w:p>
        </w:tc>
      </w:tr>
      <w:tr w14:paraId="368710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256E86">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35421C">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273243">
            <w:pPr>
              <w:jc w:val="center"/>
              <w:rPr>
                <w:rFonts w:hint="eastAsia" w:ascii="宋体" w:hAnsi="宋体" w:eastAsia="宋体" w:cs="宋体"/>
                <w:i w:val="0"/>
                <w:iCs w:val="0"/>
                <w:color w:val="auto"/>
                <w:sz w:val="21"/>
                <w:szCs w:val="21"/>
                <w:highlight w:val="none"/>
                <w:u w:val="none"/>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74284D">
            <w:pPr>
              <w:jc w:val="center"/>
              <w:rPr>
                <w:rFonts w:hint="eastAsia" w:ascii="宋体" w:hAnsi="宋体" w:eastAsia="宋体" w:cs="宋体"/>
                <w:i w:val="0"/>
                <w:iCs w:val="0"/>
                <w:color w:val="auto"/>
                <w:sz w:val="21"/>
                <w:szCs w:val="21"/>
                <w:highlight w:val="none"/>
                <w:u w:val="none"/>
              </w:rPr>
            </w:pP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62C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草地、地被淋水次数低于规定次数，每次扣1分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7FE5F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nil"/>
              <w:left w:val="nil"/>
              <w:bottom w:val="single" w:color="000000" w:sz="8" w:space="0"/>
              <w:right w:val="single" w:color="000000" w:sz="8" w:space="0"/>
            </w:tcBorders>
            <w:shd w:val="clear" w:color="auto" w:fill="auto"/>
            <w:noWrap/>
            <w:vAlign w:val="center"/>
          </w:tcPr>
          <w:p w14:paraId="3187C608">
            <w:pPr>
              <w:rPr>
                <w:rFonts w:hint="eastAsia" w:ascii="宋体" w:hAnsi="宋体" w:eastAsia="宋体" w:cs="宋体"/>
                <w:i w:val="0"/>
                <w:iCs w:val="0"/>
                <w:color w:val="auto"/>
                <w:sz w:val="22"/>
                <w:szCs w:val="22"/>
                <w:highlight w:val="none"/>
                <w:u w:val="none"/>
              </w:rPr>
            </w:pPr>
          </w:p>
        </w:tc>
        <w:tc>
          <w:tcPr>
            <w:tcW w:w="463" w:type="pct"/>
            <w:tcBorders>
              <w:top w:val="nil"/>
              <w:left w:val="nil"/>
              <w:bottom w:val="single" w:color="000000" w:sz="8" w:space="0"/>
              <w:right w:val="single" w:color="000000" w:sz="8" w:space="0"/>
            </w:tcBorders>
            <w:shd w:val="clear" w:color="auto" w:fill="auto"/>
            <w:noWrap/>
            <w:vAlign w:val="center"/>
          </w:tcPr>
          <w:p w14:paraId="131A00C7">
            <w:pPr>
              <w:rPr>
                <w:rFonts w:hint="eastAsia" w:ascii="宋体" w:hAnsi="宋体" w:eastAsia="宋体" w:cs="宋体"/>
                <w:i w:val="0"/>
                <w:iCs w:val="0"/>
                <w:color w:val="auto"/>
                <w:sz w:val="22"/>
                <w:szCs w:val="22"/>
                <w:highlight w:val="none"/>
                <w:u w:val="none"/>
              </w:rPr>
            </w:pPr>
          </w:p>
        </w:tc>
      </w:tr>
      <w:tr w14:paraId="3115B4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1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75E3A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2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AE8E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10分</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F504B9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病虫害防治及用药安全</w:t>
            </w:r>
          </w:p>
        </w:tc>
        <w:tc>
          <w:tcPr>
            <w:tcW w:w="143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88A25B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病虫害得到控制，被害植株不超过7%被害叶片不超过植株叶片总量的5%。</w:t>
            </w:r>
          </w:p>
          <w:p w14:paraId="0B6AF1B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注意防治红火蚁</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4CB1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被害植株超过7%，每多1%扣1分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0DB818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DA6BB">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C108A5">
            <w:pPr>
              <w:jc w:val="left"/>
              <w:rPr>
                <w:rFonts w:hint="eastAsia" w:ascii="宋体" w:hAnsi="宋体" w:eastAsia="宋体" w:cs="宋体"/>
                <w:i w:val="0"/>
                <w:iCs w:val="0"/>
                <w:color w:val="auto"/>
                <w:sz w:val="21"/>
                <w:szCs w:val="21"/>
                <w:highlight w:val="none"/>
                <w:u w:val="none"/>
              </w:rPr>
            </w:pPr>
          </w:p>
        </w:tc>
      </w:tr>
      <w:tr w14:paraId="671D92B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335B34">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2D20EB">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2830E">
            <w:pPr>
              <w:jc w:val="center"/>
              <w:rPr>
                <w:rFonts w:hint="eastAsia" w:ascii="宋体" w:hAnsi="宋体" w:eastAsia="宋体" w:cs="宋体"/>
                <w:i w:val="0"/>
                <w:iCs w:val="0"/>
                <w:color w:val="auto"/>
                <w:sz w:val="21"/>
                <w:szCs w:val="21"/>
                <w:highlight w:val="none"/>
                <w:u w:val="none"/>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6B469F">
            <w:pPr>
              <w:jc w:val="left"/>
              <w:rPr>
                <w:rFonts w:hint="eastAsia" w:ascii="宋体" w:hAnsi="宋体" w:eastAsia="宋体" w:cs="宋体"/>
                <w:i w:val="0"/>
                <w:iCs w:val="0"/>
                <w:color w:val="auto"/>
                <w:sz w:val="21"/>
                <w:szCs w:val="21"/>
                <w:highlight w:val="none"/>
                <w:u w:val="none"/>
              </w:rPr>
            </w:pPr>
          </w:p>
        </w:tc>
        <w:tc>
          <w:tcPr>
            <w:tcW w:w="91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23961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被害叶片超过叶片总量的5%，每多1%扣1分，未防治红火蚁，每次扣1分</w:t>
            </w:r>
          </w:p>
        </w:tc>
        <w:tc>
          <w:tcPr>
            <w:tcW w:w="461"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25AB5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1D0FB8">
            <w:pPr>
              <w:jc w:val="center"/>
              <w:rPr>
                <w:rFonts w:hint="eastAsia" w:ascii="宋体" w:hAnsi="宋体" w:eastAsia="宋体" w:cs="宋体"/>
                <w:i w:val="0"/>
                <w:iCs w:val="0"/>
                <w:color w:val="auto"/>
                <w:sz w:val="21"/>
                <w:szCs w:val="21"/>
                <w:highlight w:val="none"/>
                <w:u w:val="none"/>
              </w:rPr>
            </w:pPr>
          </w:p>
        </w:tc>
        <w:tc>
          <w:tcPr>
            <w:tcW w:w="46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AFBB61">
            <w:pPr>
              <w:jc w:val="center"/>
              <w:rPr>
                <w:rFonts w:hint="eastAsia" w:ascii="宋体" w:hAnsi="宋体" w:eastAsia="宋体" w:cs="宋体"/>
                <w:i w:val="0"/>
                <w:iCs w:val="0"/>
                <w:color w:val="auto"/>
                <w:sz w:val="21"/>
                <w:szCs w:val="21"/>
                <w:highlight w:val="none"/>
                <w:u w:val="none"/>
              </w:rPr>
            </w:pPr>
          </w:p>
        </w:tc>
      </w:tr>
      <w:tr w14:paraId="4F35D8E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BA1DB6">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FD252">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785D87">
            <w:pPr>
              <w:jc w:val="center"/>
              <w:rPr>
                <w:rFonts w:hint="eastAsia" w:ascii="宋体" w:hAnsi="宋体" w:eastAsia="宋体" w:cs="宋体"/>
                <w:i w:val="0"/>
                <w:iCs w:val="0"/>
                <w:color w:val="auto"/>
                <w:sz w:val="21"/>
                <w:szCs w:val="21"/>
                <w:highlight w:val="none"/>
                <w:u w:val="none"/>
              </w:rPr>
            </w:pPr>
          </w:p>
        </w:tc>
        <w:tc>
          <w:tcPr>
            <w:tcW w:w="143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885D9C">
            <w:pPr>
              <w:jc w:val="left"/>
              <w:rPr>
                <w:rFonts w:hint="eastAsia" w:ascii="宋体" w:hAnsi="宋体" w:eastAsia="宋体" w:cs="宋体"/>
                <w:i w:val="0"/>
                <w:iCs w:val="0"/>
                <w:color w:val="auto"/>
                <w:sz w:val="21"/>
                <w:szCs w:val="21"/>
                <w:highlight w:val="none"/>
                <w:u w:val="none"/>
              </w:rPr>
            </w:pPr>
          </w:p>
        </w:tc>
        <w:tc>
          <w:tcPr>
            <w:tcW w:w="91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ADDCF">
            <w:pPr>
              <w:jc w:val="center"/>
              <w:rPr>
                <w:rFonts w:hint="eastAsia" w:ascii="宋体" w:hAnsi="宋体" w:eastAsia="宋体" w:cs="宋体"/>
                <w:i w:val="0"/>
                <w:iCs w:val="0"/>
                <w:color w:val="auto"/>
                <w:sz w:val="21"/>
                <w:szCs w:val="21"/>
                <w:highlight w:val="none"/>
                <w:u w:val="none"/>
              </w:rPr>
            </w:pPr>
          </w:p>
        </w:tc>
        <w:tc>
          <w:tcPr>
            <w:tcW w:w="46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EFF3EC1">
            <w:pPr>
              <w:jc w:val="center"/>
              <w:rPr>
                <w:rFonts w:hint="eastAsia" w:ascii="宋体" w:hAnsi="宋体" w:eastAsia="宋体" w:cs="宋体"/>
                <w:i w:val="0"/>
                <w:iCs w:val="0"/>
                <w:color w:val="auto"/>
                <w:sz w:val="21"/>
                <w:szCs w:val="21"/>
                <w:highlight w:val="none"/>
                <w:u w:val="none"/>
              </w:rPr>
            </w:pPr>
          </w:p>
        </w:tc>
        <w:tc>
          <w:tcPr>
            <w:tcW w:w="4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9D1FFD">
            <w:pPr>
              <w:jc w:val="center"/>
              <w:rPr>
                <w:rFonts w:hint="eastAsia" w:ascii="宋体" w:hAnsi="宋体" w:eastAsia="宋体" w:cs="宋体"/>
                <w:i w:val="0"/>
                <w:iCs w:val="0"/>
                <w:color w:val="auto"/>
                <w:sz w:val="21"/>
                <w:szCs w:val="21"/>
                <w:highlight w:val="none"/>
                <w:u w:val="none"/>
              </w:rPr>
            </w:pPr>
          </w:p>
        </w:tc>
        <w:tc>
          <w:tcPr>
            <w:tcW w:w="46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37235">
            <w:pPr>
              <w:jc w:val="center"/>
              <w:rPr>
                <w:rFonts w:hint="eastAsia" w:ascii="宋体" w:hAnsi="宋体" w:eastAsia="宋体" w:cs="宋体"/>
                <w:i w:val="0"/>
                <w:iCs w:val="0"/>
                <w:color w:val="auto"/>
                <w:sz w:val="21"/>
                <w:szCs w:val="21"/>
                <w:highlight w:val="none"/>
                <w:u w:val="none"/>
              </w:rPr>
            </w:pPr>
          </w:p>
        </w:tc>
      </w:tr>
      <w:tr w14:paraId="2D1F8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1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4F4E5">
            <w:pPr>
              <w:jc w:val="center"/>
              <w:rPr>
                <w:rFonts w:hint="eastAsia" w:ascii="宋体" w:hAnsi="宋体" w:eastAsia="宋体" w:cs="宋体"/>
                <w:i w:val="0"/>
                <w:iCs w:val="0"/>
                <w:color w:val="auto"/>
                <w:sz w:val="20"/>
                <w:szCs w:val="20"/>
                <w:highlight w:val="none"/>
                <w:u w:val="none"/>
              </w:rPr>
            </w:pPr>
          </w:p>
        </w:tc>
        <w:tc>
          <w:tcPr>
            <w:tcW w:w="421"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5DE081">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8E9C14">
            <w:pPr>
              <w:jc w:val="center"/>
              <w:rPr>
                <w:rFonts w:hint="eastAsia" w:ascii="宋体" w:hAnsi="宋体" w:eastAsia="宋体" w:cs="宋体"/>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2258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用药符合规定，选用高效、低毒、无污染，配比正确，</w:t>
            </w:r>
          </w:p>
          <w:p w14:paraId="12BDDE5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操作安全，不发生药害事故</w:t>
            </w:r>
          </w:p>
        </w:tc>
        <w:tc>
          <w:tcPr>
            <w:tcW w:w="91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24D1A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发生药害事故，危害树木明显影响景观的，</w:t>
            </w:r>
          </w:p>
          <w:p w14:paraId="112902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每处扣 2 分</w:t>
            </w:r>
          </w:p>
        </w:tc>
        <w:tc>
          <w:tcPr>
            <w:tcW w:w="46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9F705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A63612">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085A39">
            <w:pPr>
              <w:jc w:val="left"/>
              <w:rPr>
                <w:rFonts w:hint="eastAsia" w:ascii="宋体" w:hAnsi="宋体" w:eastAsia="宋体" w:cs="宋体"/>
                <w:i w:val="0"/>
                <w:iCs w:val="0"/>
                <w:color w:val="auto"/>
                <w:sz w:val="21"/>
                <w:szCs w:val="21"/>
                <w:highlight w:val="none"/>
                <w:u w:val="none"/>
              </w:rPr>
            </w:pPr>
          </w:p>
        </w:tc>
      </w:tr>
      <w:tr w14:paraId="5AF60CD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1CAB18">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7</w:t>
            </w:r>
          </w:p>
        </w:tc>
        <w:tc>
          <w:tcPr>
            <w:tcW w:w="838" w:type="dxa"/>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3D167D">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5分</w:t>
            </w:r>
          </w:p>
        </w:tc>
        <w:tc>
          <w:tcPr>
            <w:tcW w:w="88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2601B94">
            <w:pPr>
              <w:jc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其他要求</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CD91B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u w:val="none"/>
                <w:lang w:val="en-US" w:eastAsia="zh-CN" w:bidi="ar"/>
              </w:rPr>
              <w:t>服从招标人突击性任务、迎检活动安排、紧急服务等工作要求。</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F6E1991">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val="en-US" w:eastAsia="zh-CN" w:bidi="ar"/>
              </w:rPr>
              <w:t>无正当理由拒不服从的，每次扣5分。</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BB50E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5</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F5D4D1">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0357168">
            <w:pPr>
              <w:jc w:val="left"/>
              <w:rPr>
                <w:rFonts w:hint="eastAsia" w:ascii="宋体" w:hAnsi="宋体" w:eastAsia="宋体" w:cs="宋体"/>
                <w:i w:val="0"/>
                <w:iCs w:val="0"/>
                <w:color w:val="auto"/>
                <w:sz w:val="21"/>
                <w:szCs w:val="21"/>
                <w:highlight w:val="none"/>
                <w:u w:val="none"/>
              </w:rPr>
            </w:pPr>
          </w:p>
        </w:tc>
      </w:tr>
      <w:tr w14:paraId="2CB9A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82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31FD5E">
            <w:pPr>
              <w:jc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sz w:val="20"/>
                <w:szCs w:val="20"/>
                <w:highlight w:val="none"/>
                <w:u w:val="none"/>
                <w:lang w:val="en-US" w:eastAsia="zh-CN"/>
              </w:rPr>
              <w:t>8</w:t>
            </w:r>
          </w:p>
        </w:tc>
        <w:tc>
          <w:tcPr>
            <w:tcW w:w="1726" w:type="dxa"/>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079DCB">
            <w:pPr>
              <w:keepNext w:val="0"/>
              <w:keepLines w:val="0"/>
              <w:widowControl/>
              <w:suppressLineNumbers w:val="0"/>
              <w:jc w:val="center"/>
              <w:textAlignment w:val="auto"/>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sz w:val="21"/>
                <w:szCs w:val="21"/>
                <w:highlight w:val="none"/>
                <w:u w:val="none"/>
                <w:lang w:val="en-US" w:eastAsia="zh-CN"/>
              </w:rPr>
              <w:t>扣分项</w:t>
            </w:r>
          </w:p>
        </w:tc>
        <w:tc>
          <w:tcPr>
            <w:tcW w:w="285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AB75810">
            <w:pPr>
              <w:keepNext w:val="0"/>
              <w:keepLines w:val="0"/>
              <w:widowControl/>
              <w:suppressLineNumbers w:val="0"/>
              <w:tabs>
                <w:tab w:val="center" w:pos="1317"/>
              </w:tabs>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val="en-US" w:eastAsia="zh-CN" w:bidi="ar"/>
              </w:rPr>
              <w:t>未在合同约定期限内更换或补充</w:t>
            </w:r>
            <w:r>
              <w:rPr>
                <w:rFonts w:hint="eastAsia" w:ascii="宋体" w:hAnsi="宋体" w:eastAsia="宋体" w:cs="宋体"/>
                <w:color w:val="auto"/>
                <w:kern w:val="0"/>
                <w:szCs w:val="21"/>
                <w:highlight w:val="none"/>
                <w:u w:val="none"/>
                <w:lang w:val="en-US" w:eastAsia="zh-CN" w:bidi="ar"/>
              </w:rPr>
              <w:t>招标人</w:t>
            </w:r>
            <w:r>
              <w:rPr>
                <w:rFonts w:hint="eastAsia" w:ascii="宋体" w:hAnsi="宋体" w:eastAsia="宋体" w:cs="宋体"/>
                <w:color w:val="auto"/>
                <w:kern w:val="0"/>
                <w:szCs w:val="21"/>
                <w:highlight w:val="none"/>
                <w:lang w:val="en-US" w:eastAsia="zh-CN" w:bidi="ar"/>
              </w:rPr>
              <w:t>所需人员的。</w:t>
            </w:r>
          </w:p>
        </w:tc>
        <w:tc>
          <w:tcPr>
            <w:tcW w:w="181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291AF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Cs w:val="21"/>
                <w:highlight w:val="none"/>
                <w:lang w:val="en-US" w:eastAsia="zh-CN" w:bidi="ar"/>
              </w:rPr>
              <w:t>每</w:t>
            </w:r>
            <w:r>
              <w:rPr>
                <w:rFonts w:hint="eastAsia" w:ascii="宋体" w:hAnsi="宋体" w:eastAsia="宋体" w:cs="宋体"/>
                <w:color w:val="auto"/>
                <w:kern w:val="0"/>
                <w:szCs w:val="21"/>
                <w:highlight w:val="none"/>
                <w:lang w:val="en-US" w:eastAsia="zh-CN" w:bidi="ar"/>
              </w:rPr>
              <w:t>违反一</w:t>
            </w:r>
            <w:r>
              <w:rPr>
                <w:rFonts w:hint="default" w:ascii="宋体" w:hAnsi="宋体" w:eastAsia="宋体" w:cs="宋体"/>
                <w:color w:val="auto"/>
                <w:kern w:val="0"/>
                <w:szCs w:val="21"/>
                <w:highlight w:val="none"/>
                <w:lang w:val="en-US" w:eastAsia="zh-CN" w:bidi="ar"/>
              </w:rPr>
              <w:t>次扣</w:t>
            </w:r>
            <w:r>
              <w:rPr>
                <w:rFonts w:hint="eastAsia" w:ascii="宋体" w:hAnsi="宋体" w:eastAsia="宋体" w:cs="宋体"/>
                <w:color w:val="auto"/>
                <w:kern w:val="0"/>
                <w:szCs w:val="21"/>
                <w:highlight w:val="none"/>
                <w:lang w:val="en-US" w:eastAsia="zh-CN" w:bidi="ar"/>
              </w:rPr>
              <w:t>10</w:t>
            </w:r>
            <w:r>
              <w:rPr>
                <w:rFonts w:hint="default" w:ascii="宋体" w:hAnsi="宋体" w:eastAsia="宋体" w:cs="宋体"/>
                <w:color w:val="auto"/>
                <w:kern w:val="0"/>
                <w:szCs w:val="21"/>
                <w:highlight w:val="none"/>
                <w:lang w:val="en-US" w:eastAsia="zh-CN" w:bidi="ar"/>
              </w:rPr>
              <w:t>分。</w:t>
            </w:r>
          </w:p>
        </w:tc>
        <w:tc>
          <w:tcPr>
            <w:tcW w:w="920"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4F08A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97E33E">
            <w:pPr>
              <w:jc w:val="left"/>
              <w:rPr>
                <w:rFonts w:hint="eastAsia" w:ascii="宋体" w:hAnsi="宋体" w:eastAsia="宋体" w:cs="宋体"/>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648B78">
            <w:pPr>
              <w:jc w:val="left"/>
              <w:rPr>
                <w:rFonts w:hint="eastAsia" w:ascii="宋体" w:hAnsi="宋体" w:eastAsia="宋体" w:cs="宋体"/>
                <w:i w:val="0"/>
                <w:iCs w:val="0"/>
                <w:color w:val="auto"/>
                <w:sz w:val="21"/>
                <w:szCs w:val="21"/>
                <w:highlight w:val="none"/>
                <w:u w:val="none"/>
              </w:rPr>
            </w:pPr>
          </w:p>
        </w:tc>
      </w:tr>
      <w:tr w14:paraId="6BC0700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AC7FB">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3678"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2EDB96D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100分</w:t>
            </w:r>
          </w:p>
        </w:tc>
        <w:tc>
          <w:tcPr>
            <w:tcW w:w="4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D16F20">
            <w:pPr>
              <w:rPr>
                <w:rFonts w:hint="eastAsia" w:ascii="宋体" w:hAnsi="宋体" w:eastAsia="宋体" w:cs="宋体"/>
                <w:b/>
                <w:bCs/>
                <w:i w:val="0"/>
                <w:iCs w:val="0"/>
                <w:color w:val="auto"/>
                <w:sz w:val="21"/>
                <w:szCs w:val="21"/>
                <w:highlight w:val="none"/>
                <w:u w:val="none"/>
              </w:rPr>
            </w:pPr>
          </w:p>
        </w:tc>
        <w:tc>
          <w:tcPr>
            <w:tcW w:w="4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63F52">
            <w:pPr>
              <w:rPr>
                <w:rFonts w:hint="eastAsia" w:ascii="宋体" w:hAnsi="宋体" w:eastAsia="宋体" w:cs="宋体"/>
                <w:b/>
                <w:bCs/>
                <w:i w:val="0"/>
                <w:iCs w:val="0"/>
                <w:color w:val="auto"/>
                <w:sz w:val="21"/>
                <w:szCs w:val="21"/>
                <w:highlight w:val="none"/>
                <w:u w:val="none"/>
              </w:rPr>
            </w:pPr>
          </w:p>
        </w:tc>
      </w:tr>
      <w:tr w14:paraId="43033F6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609689">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考核结果</w:t>
            </w:r>
          </w:p>
        </w:tc>
        <w:tc>
          <w:tcPr>
            <w:tcW w:w="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5A8F52F">
            <w:pPr>
              <w:jc w:val="center"/>
              <w:rPr>
                <w:rFonts w:hint="eastAsia" w:ascii="宋体" w:hAnsi="宋体" w:eastAsia="宋体" w:cs="宋体"/>
                <w:b/>
                <w:bCs/>
                <w:i w:val="0"/>
                <w:iCs w:val="0"/>
                <w:color w:val="auto"/>
                <w:sz w:val="21"/>
                <w:szCs w:val="21"/>
                <w:highlight w:val="none"/>
                <w:u w:val="none"/>
              </w:rPr>
            </w:pPr>
          </w:p>
        </w:tc>
        <w:tc>
          <w:tcPr>
            <w:tcW w:w="143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DBC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合格</w:t>
            </w:r>
          </w:p>
        </w:tc>
        <w:tc>
          <w:tcPr>
            <w:tcW w:w="92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E831D">
            <w:pPr>
              <w:jc w:val="center"/>
              <w:rPr>
                <w:rFonts w:hint="eastAsia" w:ascii="宋体" w:hAnsi="宋体" w:eastAsia="宋体" w:cs="宋体"/>
                <w:i w:val="0"/>
                <w:iCs w:val="0"/>
                <w:color w:val="auto"/>
                <w:sz w:val="22"/>
                <w:szCs w:val="22"/>
                <w:highlight w:val="none"/>
                <w:u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463B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不合格</w:t>
            </w:r>
          </w:p>
        </w:tc>
        <w:tc>
          <w:tcPr>
            <w:tcW w:w="90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7D7609">
            <w:pPr>
              <w:jc w:val="center"/>
              <w:rPr>
                <w:rFonts w:hint="eastAsia" w:ascii="宋体" w:hAnsi="宋体" w:eastAsia="宋体" w:cs="宋体"/>
                <w:b/>
                <w:bCs/>
                <w:i w:val="0"/>
                <w:iCs w:val="0"/>
                <w:color w:val="auto"/>
                <w:sz w:val="21"/>
                <w:szCs w:val="21"/>
                <w:highlight w:val="none"/>
                <w:u w:val="none"/>
              </w:rPr>
            </w:pPr>
          </w:p>
        </w:tc>
      </w:tr>
      <w:tr w14:paraId="03A936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53F27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意见及建议</w:t>
            </w:r>
          </w:p>
        </w:tc>
        <w:tc>
          <w:tcPr>
            <w:tcW w:w="43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40086B79">
            <w:pPr>
              <w:jc w:val="center"/>
              <w:rPr>
                <w:rFonts w:hint="eastAsia" w:ascii="宋体" w:hAnsi="宋体" w:eastAsia="宋体" w:cs="宋体"/>
                <w:b/>
                <w:bCs/>
                <w:i w:val="0"/>
                <w:iCs w:val="0"/>
                <w:color w:val="auto"/>
                <w:sz w:val="21"/>
                <w:szCs w:val="21"/>
                <w:highlight w:val="none"/>
                <w:u w:val="none"/>
              </w:rPr>
            </w:pPr>
          </w:p>
        </w:tc>
      </w:tr>
      <w:tr w14:paraId="4513CF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30B02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说明</w:t>
            </w:r>
          </w:p>
        </w:tc>
        <w:tc>
          <w:tcPr>
            <w:tcW w:w="210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B71763">
            <w:pPr>
              <w:jc w:val="center"/>
              <w:rPr>
                <w:rFonts w:hint="eastAsia" w:ascii="宋体" w:hAnsi="宋体" w:eastAsia="宋体" w:cs="宋体"/>
                <w:b/>
                <w:bCs/>
                <w:i w:val="0"/>
                <w:iCs w:val="0"/>
                <w:color w:val="auto"/>
                <w:sz w:val="21"/>
                <w:szCs w:val="21"/>
                <w:highlight w:val="none"/>
                <w:u w:val="none"/>
              </w:rPr>
            </w:pPr>
          </w:p>
        </w:tc>
        <w:tc>
          <w:tcPr>
            <w:tcW w:w="22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1C60B34D">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如评委在检查时指出绿化不当的地方，而服务单位人员态度懒散，置之不理。评委有权追扣分数（5-10分）</w:t>
            </w:r>
          </w:p>
        </w:tc>
      </w:tr>
    </w:tbl>
    <w:p w14:paraId="5EFCD2F3">
      <w:pPr>
        <w:tabs>
          <w:tab w:val="left" w:pos="2340"/>
        </w:tabs>
        <w:autoSpaceDE w:val="0"/>
        <w:autoSpaceDN w:val="0"/>
        <w:adjustRightInd w:val="0"/>
        <w:spacing w:line="360" w:lineRule="auto"/>
        <w:jc w:val="center"/>
        <w:rPr>
          <w:rFonts w:ascii="宋体" w:hAnsi="宋体" w:eastAsia="宋体" w:cs="宋体"/>
          <w:b/>
          <w:color w:val="auto"/>
          <w:kern w:val="0"/>
          <w:szCs w:val="21"/>
          <w:highlight w:val="none"/>
          <w:lang w:bidi="ar"/>
        </w:rPr>
      </w:pPr>
    </w:p>
    <w:p w14:paraId="0A494D7D">
      <w:pPr>
        <w:tabs>
          <w:tab w:val="left" w:pos="2340"/>
        </w:tabs>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考核单位：                     考核人：                        考核时间：</w:t>
      </w:r>
    </w:p>
    <w:p w14:paraId="5BD8F64A">
      <w:pPr>
        <w:tabs>
          <w:tab w:val="left" w:pos="2340"/>
        </w:tabs>
        <w:autoSpaceDE w:val="0"/>
        <w:autoSpaceDN w:val="0"/>
        <w:adjustRightInd w:val="0"/>
        <w:spacing w:line="360" w:lineRule="auto"/>
        <w:jc w:val="left"/>
        <w:rPr>
          <w:rFonts w:ascii="宋体" w:hAnsi="宋体" w:eastAsia="宋体" w:cs="宋体"/>
          <w:color w:val="auto"/>
          <w:kern w:val="0"/>
          <w:szCs w:val="21"/>
          <w:highlight w:val="none"/>
          <w:lang w:bidi="ar"/>
        </w:rPr>
      </w:pPr>
    </w:p>
    <w:p w14:paraId="4BDDFF86">
      <w:pPr>
        <w:tabs>
          <w:tab w:val="left" w:pos="2340"/>
        </w:tabs>
        <w:autoSpaceDE w:val="0"/>
        <w:autoSpaceDN w:val="0"/>
        <w:adjustRightInd w:val="0"/>
        <w:spacing w:line="360" w:lineRule="auto"/>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注：1、本考核评比实行百分制,与实际服务费挂钩。</w:t>
      </w:r>
    </w:p>
    <w:p w14:paraId="3BE202F1">
      <w:pPr>
        <w:tabs>
          <w:tab w:val="left" w:pos="2340"/>
        </w:tabs>
        <w:autoSpaceDE w:val="0"/>
        <w:autoSpaceDN w:val="0"/>
        <w:adjustRightInd w:val="0"/>
        <w:spacing w:line="360" w:lineRule="auto"/>
        <w:ind w:firstLine="424" w:firstLineChars="202"/>
        <w:jc w:val="left"/>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2、每项考评对应无扣分的，实得分等于应得分。</w:t>
      </w:r>
    </w:p>
    <w:p w14:paraId="0ACFC0C2">
      <w:pPr>
        <w:tabs>
          <w:tab w:val="left" w:pos="2340"/>
        </w:tabs>
        <w:autoSpaceDE w:val="0"/>
        <w:autoSpaceDN w:val="0"/>
        <w:adjustRightInd w:val="0"/>
        <w:spacing w:line="360" w:lineRule="auto"/>
        <w:ind w:firstLine="424" w:firstLineChars="202"/>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3、</w:t>
      </w:r>
      <w:r>
        <w:rPr>
          <w:rFonts w:hint="eastAsia" w:ascii="宋体" w:hAnsi="宋体" w:eastAsia="宋体" w:cs="宋体"/>
          <w:color w:val="auto"/>
          <w:kern w:val="0"/>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Cs w:val="21"/>
          <w:highlight w:val="none"/>
          <w:lang w:bidi="ar"/>
        </w:rPr>
        <w:t>每月根据考评结果情况支付实际服务费给</w:t>
      </w:r>
      <w:r>
        <w:rPr>
          <w:rFonts w:hint="eastAsia" w:ascii="宋体" w:hAnsi="宋体" w:eastAsia="宋体" w:cs="宋体"/>
          <w:color w:val="auto"/>
          <w:kern w:val="0"/>
          <w:szCs w:val="21"/>
          <w:highlight w:val="none"/>
          <w:lang w:val="en-US" w:eastAsia="zh-CN" w:bidi="ar"/>
        </w:rPr>
        <w:t>服务单位</w:t>
      </w:r>
      <w:r>
        <w:rPr>
          <w:rFonts w:hint="eastAsia" w:ascii="宋体" w:hAnsi="宋体" w:eastAsia="宋体" w:cs="宋体"/>
          <w:color w:val="auto"/>
          <w:kern w:val="0"/>
          <w:szCs w:val="21"/>
          <w:highlight w:val="none"/>
          <w:lang w:eastAsia="zh-CN" w:bidi="ar"/>
        </w:rPr>
        <w:t>：</w:t>
      </w:r>
    </w:p>
    <w:p w14:paraId="5731F1BC">
      <w:pPr>
        <w:tabs>
          <w:tab w:val="left" w:pos="2340"/>
        </w:tabs>
        <w:autoSpaceDE w:val="0"/>
        <w:autoSpaceDN w:val="0"/>
        <w:adjustRightInd w:val="0"/>
        <w:spacing w:line="360" w:lineRule="auto"/>
        <w:ind w:firstLine="424" w:firstLineChars="202"/>
        <w:jc w:val="left"/>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（1）当实际考核项目总分满分为100分，如</w:t>
      </w:r>
      <w:r>
        <w:rPr>
          <w:rFonts w:hint="eastAsia" w:ascii="宋体" w:hAnsi="宋体" w:eastAsia="宋体" w:cs="宋体"/>
          <w:color w:val="auto"/>
          <w:kern w:val="0"/>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Cs w:val="21"/>
          <w:highlight w:val="none"/>
          <w:lang w:bidi="ar"/>
        </w:rPr>
        <w:t>对</w:t>
      </w:r>
      <w:r>
        <w:rPr>
          <w:rFonts w:hint="eastAsia" w:ascii="宋体" w:hAnsi="宋体" w:eastAsia="宋体" w:cs="宋体"/>
          <w:color w:val="auto"/>
          <w:kern w:val="0"/>
          <w:szCs w:val="21"/>
          <w:highlight w:val="none"/>
          <w:lang w:val="en-US" w:eastAsia="zh-CN" w:bidi="ar"/>
        </w:rPr>
        <w:t>服务单位</w:t>
      </w:r>
      <w:r>
        <w:rPr>
          <w:rFonts w:hint="eastAsia" w:ascii="宋体" w:hAnsi="宋体" w:eastAsia="宋体" w:cs="宋体"/>
          <w:color w:val="auto"/>
          <w:kern w:val="0"/>
          <w:szCs w:val="21"/>
          <w:highlight w:val="none"/>
          <w:lang w:bidi="ar"/>
        </w:rPr>
        <w:t>的服务考核评分达到90分或以上的，该月服务费全额支付；如</w:t>
      </w:r>
      <w:r>
        <w:rPr>
          <w:rFonts w:hint="eastAsia" w:ascii="宋体" w:hAnsi="宋体" w:eastAsia="宋体" w:cs="宋体"/>
          <w:color w:val="auto"/>
          <w:kern w:val="0"/>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Cs w:val="21"/>
          <w:highlight w:val="none"/>
          <w:lang w:bidi="ar"/>
        </w:rPr>
        <w:t>对</w:t>
      </w:r>
      <w:r>
        <w:rPr>
          <w:rFonts w:hint="eastAsia" w:ascii="宋体" w:hAnsi="宋体" w:eastAsia="宋体" w:cs="宋体"/>
          <w:color w:val="auto"/>
          <w:kern w:val="0"/>
          <w:szCs w:val="21"/>
          <w:highlight w:val="none"/>
          <w:lang w:val="en-US" w:eastAsia="zh-CN" w:bidi="ar"/>
        </w:rPr>
        <w:t>服务单位</w:t>
      </w:r>
      <w:r>
        <w:rPr>
          <w:rFonts w:hint="eastAsia" w:ascii="宋体" w:hAnsi="宋体" w:eastAsia="宋体" w:cs="宋体"/>
          <w:color w:val="auto"/>
          <w:kern w:val="0"/>
          <w:szCs w:val="21"/>
          <w:highlight w:val="none"/>
          <w:lang w:bidi="ar"/>
        </w:rPr>
        <w:t>的服务考核评分不足90分的，该月实际支付的服务费=该月应支付服务费×当月考核评分占比；如发现累计两个月未达到60分时，</w:t>
      </w:r>
      <w:r>
        <w:rPr>
          <w:rFonts w:hint="eastAsia" w:eastAsia="宋体" w:cs="宋体"/>
          <w:sz w:val="21"/>
          <w:szCs w:val="21"/>
          <w:highlight w:val="none"/>
        </w:rPr>
        <w:t>且</w:t>
      </w:r>
      <w:r>
        <w:rPr>
          <w:rFonts w:hint="eastAsia" w:eastAsia="宋体" w:cs="宋体"/>
          <w:sz w:val="21"/>
          <w:szCs w:val="21"/>
          <w:highlight w:val="none"/>
          <w:lang w:val="en-US" w:eastAsia="zh-CN"/>
        </w:rPr>
        <w:t>服务单位</w:t>
      </w:r>
      <w:r>
        <w:rPr>
          <w:rFonts w:hint="eastAsia" w:eastAsia="宋体" w:cs="宋体"/>
          <w:sz w:val="21"/>
          <w:szCs w:val="21"/>
          <w:highlight w:val="none"/>
        </w:rPr>
        <w:t>没有提供令</w:t>
      </w:r>
      <w:r>
        <w:rPr>
          <w:rFonts w:hint="eastAsia" w:ascii="宋体" w:hAnsi="宋体" w:eastAsia="宋体" w:cs="宋体"/>
          <w:color w:val="auto"/>
          <w:kern w:val="0"/>
          <w:sz w:val="21"/>
          <w:szCs w:val="21"/>
          <w:highlight w:val="none"/>
          <w:lang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eastAsia="宋体" w:cs="宋体"/>
          <w:sz w:val="21"/>
          <w:szCs w:val="21"/>
          <w:highlight w:val="none"/>
        </w:rPr>
        <w:t>认可的整改方案的</w:t>
      </w:r>
      <w:r>
        <w:rPr>
          <w:rFonts w:hint="eastAsia" w:eastAsia="宋体" w:cs="宋体"/>
          <w:sz w:val="21"/>
          <w:szCs w:val="21"/>
          <w:highlight w:val="none"/>
          <w:lang w:eastAsia="zh-CN"/>
        </w:rPr>
        <w:t>，</w:t>
      </w:r>
      <w:r>
        <w:rPr>
          <w:rFonts w:hint="eastAsia" w:ascii="宋体" w:hAnsi="宋体" w:eastAsia="宋体" w:cs="宋体"/>
          <w:color w:val="auto"/>
          <w:kern w:val="0"/>
          <w:szCs w:val="21"/>
          <w:highlight w:val="none"/>
          <w:lang w:val="en-US" w:eastAsia="zh-CN" w:bidi="ar"/>
        </w:rPr>
        <w:t>招标人</w:t>
      </w:r>
      <w:r>
        <w:rPr>
          <w:rFonts w:hint="eastAsia" w:ascii="宋体" w:hAnsi="宋体" w:eastAsia="宋体" w:cs="宋体"/>
          <w:color w:val="auto"/>
          <w:kern w:val="0"/>
          <w:szCs w:val="21"/>
          <w:highlight w:val="none"/>
          <w:lang w:bidi="ar"/>
        </w:rPr>
        <w:t>有权单方解除合同</w:t>
      </w:r>
      <w:r>
        <w:rPr>
          <w:rFonts w:hint="eastAsia" w:ascii="宋体" w:hAnsi="宋体" w:eastAsia="宋体" w:cs="宋体"/>
          <w:color w:val="auto"/>
          <w:kern w:val="0"/>
          <w:szCs w:val="21"/>
          <w:highlight w:val="none"/>
          <w:lang w:eastAsia="zh-CN" w:bidi="ar"/>
        </w:rPr>
        <w:t>。</w:t>
      </w:r>
    </w:p>
    <w:p w14:paraId="4898F7B0">
      <w:pPr>
        <w:tabs>
          <w:tab w:val="left" w:pos="2340"/>
        </w:tabs>
        <w:autoSpaceDE w:val="0"/>
        <w:autoSpaceDN w:val="0"/>
        <w:adjustRightInd w:val="0"/>
        <w:spacing w:line="360" w:lineRule="auto"/>
        <w:ind w:firstLine="424" w:firstLineChars="202"/>
        <w:jc w:val="left"/>
        <w:rPr>
          <w:rFonts w:ascii="宋体" w:hAnsi="宋体" w:eastAsia="宋体" w:cs="宋体"/>
          <w:b/>
          <w:color w:val="auto"/>
          <w:kern w:val="0"/>
          <w:szCs w:val="21"/>
          <w:highlight w:val="none"/>
          <w:lang w:bidi="ar"/>
        </w:rPr>
      </w:pP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当实际考核项目总分满分不足100分，将考核分数按百分制进行折算（折算分数=实际得分/满分</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100），折算后高于90%</w:t>
      </w:r>
      <w:r>
        <w:rPr>
          <w:rFonts w:hint="eastAsia" w:ascii="宋体" w:hAnsi="宋体" w:eastAsia="宋体" w:cs="宋体"/>
          <w:kern w:val="0"/>
          <w:sz w:val="21"/>
          <w:szCs w:val="21"/>
          <w:highlight w:val="none"/>
          <w:lang w:bidi="ar"/>
        </w:rPr>
        <w:t>或以上的，该月服务费全额支付；如</w:t>
      </w:r>
      <w:r>
        <w:rPr>
          <w:rFonts w:hint="eastAsia" w:ascii="宋体" w:hAnsi="宋体" w:eastAsia="宋体" w:cs="宋体"/>
          <w:kern w:val="0"/>
          <w:sz w:val="21"/>
          <w:szCs w:val="21"/>
          <w:highlight w:val="none"/>
          <w:lang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对</w:t>
      </w:r>
      <w:r>
        <w:rPr>
          <w:rFonts w:hint="eastAsia" w:ascii="宋体" w:hAnsi="宋体" w:eastAsia="宋体" w:cs="宋体"/>
          <w:kern w:val="0"/>
          <w:sz w:val="21"/>
          <w:szCs w:val="21"/>
          <w:highlight w:val="none"/>
          <w:lang w:val="en-US" w:eastAsia="zh-CN" w:bidi="ar"/>
        </w:rPr>
        <w:t>服务单位</w:t>
      </w:r>
      <w:r>
        <w:rPr>
          <w:rFonts w:hint="eastAsia" w:ascii="宋体" w:hAnsi="宋体" w:eastAsia="宋体" w:cs="宋体"/>
          <w:kern w:val="0"/>
          <w:sz w:val="21"/>
          <w:szCs w:val="21"/>
          <w:highlight w:val="none"/>
          <w:lang w:bidi="ar"/>
        </w:rPr>
        <w:t>的服务考核评分</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不足90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的，该月实际支付的服务费=该月应支付服务费×</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折算分数/100</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；如发现累计两个月</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未达到60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时，且</w:t>
      </w:r>
      <w:r>
        <w:rPr>
          <w:rFonts w:hint="eastAsia" w:ascii="宋体" w:hAnsi="宋体" w:eastAsia="宋体" w:cs="宋体"/>
          <w:kern w:val="0"/>
          <w:sz w:val="21"/>
          <w:szCs w:val="21"/>
          <w:highlight w:val="none"/>
          <w:lang w:val="en-US" w:eastAsia="zh-CN" w:bidi="ar"/>
        </w:rPr>
        <w:t>服务单位</w:t>
      </w:r>
      <w:r>
        <w:rPr>
          <w:rFonts w:hint="eastAsia" w:ascii="宋体" w:hAnsi="宋体" w:eastAsia="宋体" w:cs="宋体"/>
          <w:kern w:val="0"/>
          <w:sz w:val="21"/>
          <w:szCs w:val="21"/>
          <w:highlight w:val="none"/>
          <w:lang w:bidi="ar"/>
        </w:rPr>
        <w:t>没有提供令</w:t>
      </w:r>
      <w:r>
        <w:rPr>
          <w:rFonts w:hint="eastAsia" w:ascii="宋体" w:hAnsi="宋体" w:eastAsia="宋体" w:cs="宋体"/>
          <w:kern w:val="0"/>
          <w:sz w:val="21"/>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认可的整改方案的</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招标人</w:t>
      </w:r>
      <w:r>
        <w:rPr>
          <w:rFonts w:hint="eastAsia" w:ascii="宋体" w:hAnsi="宋体" w:eastAsia="宋体" w:cs="宋体"/>
          <w:kern w:val="0"/>
          <w:sz w:val="21"/>
          <w:szCs w:val="21"/>
          <w:highlight w:val="none"/>
          <w:lang w:bidi="ar"/>
        </w:rPr>
        <w:t>有权单方解除合同</w:t>
      </w:r>
      <w:r>
        <w:rPr>
          <w:rFonts w:hint="eastAsia" w:ascii="宋体" w:hAnsi="宋体" w:eastAsia="宋体" w:cs="宋体"/>
          <w:color w:val="auto"/>
          <w:kern w:val="0"/>
          <w:szCs w:val="21"/>
          <w:highlight w:val="none"/>
          <w:lang w:bidi="ar"/>
        </w:rPr>
        <w:t>。</w:t>
      </w:r>
    </w:p>
    <w:p w14:paraId="66720317">
      <w:pPr>
        <w:jc w:val="left"/>
        <w:rPr>
          <w:rFonts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bidi="ar"/>
        </w:rPr>
        <w:br w:type="page"/>
      </w:r>
    </w:p>
    <w:p w14:paraId="684EEFD7">
      <w:pPr>
        <w:tabs>
          <w:tab w:val="left" w:pos="2340"/>
        </w:tabs>
        <w:autoSpaceDE w:val="0"/>
        <w:autoSpaceDN w:val="0"/>
        <w:adjustRightInd w:val="0"/>
        <w:spacing w:line="360" w:lineRule="auto"/>
        <w:jc w:val="center"/>
        <w:outlineLvl w:val="2"/>
        <w:rPr>
          <w:rFonts w:hint="eastAsia" w:ascii="宋体" w:hAnsi="宋体" w:eastAsia="宋体" w:cs="宋体"/>
          <w:b/>
          <w:color w:val="auto"/>
          <w:kern w:val="0"/>
          <w:szCs w:val="21"/>
          <w:highlight w:val="none"/>
          <w:lang w:bidi="ar"/>
        </w:rPr>
      </w:pPr>
      <w:r>
        <w:rPr>
          <w:rFonts w:hint="eastAsia" w:ascii="宋体" w:hAnsi="宋体" w:eastAsia="宋体" w:cs="宋体"/>
          <w:b/>
          <w:color w:val="auto"/>
          <w:kern w:val="0"/>
          <w:szCs w:val="21"/>
          <w:highlight w:val="none"/>
          <w:lang w:val="en-US" w:eastAsia="zh-CN" w:bidi="ar"/>
        </w:rPr>
        <w:t>2</w:t>
      </w:r>
      <w:r>
        <w:rPr>
          <w:rFonts w:hint="eastAsia" w:ascii="宋体" w:hAnsi="宋体" w:eastAsia="宋体" w:cs="宋体"/>
          <w:b/>
          <w:color w:val="auto"/>
          <w:kern w:val="0"/>
          <w:szCs w:val="21"/>
          <w:highlight w:val="none"/>
          <w:lang w:bidi="ar"/>
        </w:rPr>
        <w:t>.5《</w:t>
      </w:r>
      <w:r>
        <w:rPr>
          <w:rFonts w:hint="eastAsia" w:ascii="宋体" w:hAnsi="宋体" w:eastAsia="宋体" w:cs="宋体"/>
          <w:b/>
          <w:color w:val="auto"/>
          <w:kern w:val="0"/>
          <w:szCs w:val="21"/>
          <w:highlight w:val="none"/>
          <w:lang w:eastAsia="zh-CN" w:bidi="ar"/>
        </w:rPr>
        <w:t>东莞市水务环境投资控股集团供水有限公司</w:t>
      </w:r>
      <w:r>
        <w:rPr>
          <w:rFonts w:hint="eastAsia" w:ascii="宋体" w:hAnsi="宋体" w:eastAsia="宋体" w:cs="宋体"/>
          <w:b/>
          <w:color w:val="auto"/>
          <w:kern w:val="0"/>
          <w:szCs w:val="21"/>
          <w:highlight w:val="none"/>
          <w:lang w:bidi="ar"/>
        </w:rPr>
        <w:t>清洁保洁、绿化养护、除“四害”及灭蚁防治考核评分标准（适用于除“四害”及灭蚁项目）》</w:t>
      </w:r>
    </w:p>
    <w:tbl>
      <w:tblPr>
        <w:tblStyle w:val="37"/>
        <w:tblpPr w:leftFromText="180" w:rightFromText="180" w:vertAnchor="text" w:horzAnchor="page" w:tblpX="1059" w:tblpY="23"/>
        <w:tblOverlap w:val="never"/>
        <w:tblW w:w="4974"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79"/>
        <w:gridCol w:w="871"/>
        <w:gridCol w:w="1401"/>
        <w:gridCol w:w="1220"/>
        <w:gridCol w:w="145"/>
        <w:gridCol w:w="1355"/>
        <w:gridCol w:w="1067"/>
        <w:gridCol w:w="1204"/>
        <w:gridCol w:w="774"/>
        <w:gridCol w:w="1103"/>
      </w:tblGrid>
      <w:tr w14:paraId="77503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393" w:type="pct"/>
            <w:shd w:val="clear" w:color="auto" w:fill="auto"/>
            <w:vAlign w:val="center"/>
          </w:tcPr>
          <w:p w14:paraId="44C41B6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1760" w:type="pct"/>
            <w:gridSpan w:val="3"/>
            <w:shd w:val="clear" w:color="auto" w:fill="auto"/>
            <w:vAlign w:val="center"/>
          </w:tcPr>
          <w:p w14:paraId="710B6F8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现场考核</w:t>
            </w:r>
          </w:p>
        </w:tc>
        <w:tc>
          <w:tcPr>
            <w:tcW w:w="1294" w:type="pct"/>
            <w:gridSpan w:val="3"/>
            <w:shd w:val="clear" w:color="auto" w:fill="auto"/>
            <w:vAlign w:val="center"/>
          </w:tcPr>
          <w:p w14:paraId="516154EA">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扣分办法</w:t>
            </w:r>
          </w:p>
        </w:tc>
        <w:tc>
          <w:tcPr>
            <w:tcW w:w="606" w:type="pct"/>
            <w:shd w:val="clear" w:color="auto" w:fill="auto"/>
            <w:vAlign w:val="center"/>
          </w:tcPr>
          <w:p w14:paraId="47D6D300">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考核项目总分</w:t>
            </w:r>
          </w:p>
        </w:tc>
        <w:tc>
          <w:tcPr>
            <w:tcW w:w="390" w:type="pct"/>
            <w:shd w:val="clear" w:color="auto" w:fill="auto"/>
            <w:vAlign w:val="center"/>
          </w:tcPr>
          <w:p w14:paraId="30EDACB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检查</w:t>
            </w:r>
          </w:p>
          <w:p w14:paraId="074AD4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扣分</w:t>
            </w:r>
          </w:p>
        </w:tc>
        <w:tc>
          <w:tcPr>
            <w:tcW w:w="555" w:type="pct"/>
            <w:shd w:val="clear" w:color="auto" w:fill="auto"/>
            <w:vAlign w:val="center"/>
          </w:tcPr>
          <w:p w14:paraId="37A7D879">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考核项目</w:t>
            </w:r>
          </w:p>
          <w:p w14:paraId="21B3DA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得分</w:t>
            </w:r>
          </w:p>
        </w:tc>
      </w:tr>
      <w:tr w14:paraId="16C5F2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9" w:hRule="atLeast"/>
        </w:trPr>
        <w:tc>
          <w:tcPr>
            <w:tcW w:w="393" w:type="pct"/>
            <w:vMerge w:val="restart"/>
            <w:shd w:val="clear" w:color="auto" w:fill="auto"/>
            <w:vAlign w:val="center"/>
          </w:tcPr>
          <w:p w14:paraId="23747C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60" w:type="pct"/>
            <w:gridSpan w:val="3"/>
            <w:shd w:val="clear" w:color="auto" w:fill="auto"/>
            <w:vAlign w:val="center"/>
          </w:tcPr>
          <w:p w14:paraId="494C734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必须具备“四害”消杀及白蚁防治上岗证。</w:t>
            </w:r>
          </w:p>
        </w:tc>
        <w:tc>
          <w:tcPr>
            <w:tcW w:w="1294" w:type="pct"/>
            <w:gridSpan w:val="3"/>
            <w:shd w:val="clear" w:color="auto" w:fill="auto"/>
            <w:vAlign w:val="center"/>
          </w:tcPr>
          <w:p w14:paraId="6AE8D63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不具备上岗证的，扣20分。</w:t>
            </w:r>
          </w:p>
        </w:tc>
        <w:tc>
          <w:tcPr>
            <w:tcW w:w="606" w:type="pct"/>
            <w:shd w:val="clear" w:color="auto" w:fill="auto"/>
            <w:vAlign w:val="center"/>
          </w:tcPr>
          <w:p w14:paraId="51D69D4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390" w:type="pct"/>
            <w:shd w:val="clear" w:color="auto" w:fill="auto"/>
            <w:vAlign w:val="center"/>
          </w:tcPr>
          <w:p w14:paraId="412315E3">
            <w:pPr>
              <w:rPr>
                <w:rFonts w:hint="eastAsia" w:ascii="宋体" w:hAnsi="宋体" w:eastAsia="宋体" w:cs="宋体"/>
                <w:i w:val="0"/>
                <w:iCs w:val="0"/>
                <w:color w:val="auto"/>
                <w:sz w:val="21"/>
                <w:szCs w:val="21"/>
                <w:highlight w:val="none"/>
                <w:u w:val="none"/>
              </w:rPr>
            </w:pPr>
          </w:p>
        </w:tc>
        <w:tc>
          <w:tcPr>
            <w:tcW w:w="555" w:type="pct"/>
            <w:shd w:val="clear" w:color="auto" w:fill="auto"/>
            <w:vAlign w:val="center"/>
          </w:tcPr>
          <w:p w14:paraId="7D2A076B">
            <w:pPr>
              <w:jc w:val="center"/>
              <w:rPr>
                <w:rFonts w:hint="eastAsia" w:ascii="宋体" w:hAnsi="宋体" w:eastAsia="宋体" w:cs="宋体"/>
                <w:i w:val="0"/>
                <w:iCs w:val="0"/>
                <w:color w:val="auto"/>
                <w:sz w:val="21"/>
                <w:szCs w:val="21"/>
                <w:highlight w:val="none"/>
                <w:u w:val="none"/>
              </w:rPr>
            </w:pPr>
          </w:p>
        </w:tc>
      </w:tr>
      <w:tr w14:paraId="585313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4" w:hRule="atLeast"/>
        </w:trPr>
        <w:tc>
          <w:tcPr>
            <w:tcW w:w="393" w:type="pct"/>
            <w:vMerge w:val="continue"/>
            <w:shd w:val="clear" w:color="auto" w:fill="auto"/>
            <w:vAlign w:val="center"/>
          </w:tcPr>
          <w:p w14:paraId="41338219">
            <w:pPr>
              <w:jc w:val="center"/>
              <w:rPr>
                <w:rFonts w:hint="eastAsia" w:ascii="宋体" w:hAnsi="宋体" w:eastAsia="宋体" w:cs="宋体"/>
                <w:i w:val="0"/>
                <w:iCs w:val="0"/>
                <w:color w:val="auto"/>
                <w:sz w:val="21"/>
                <w:szCs w:val="21"/>
                <w:highlight w:val="none"/>
                <w:u w:val="none"/>
              </w:rPr>
            </w:pPr>
          </w:p>
        </w:tc>
        <w:tc>
          <w:tcPr>
            <w:tcW w:w="1760" w:type="pct"/>
            <w:gridSpan w:val="3"/>
            <w:shd w:val="clear" w:color="auto" w:fill="auto"/>
            <w:vAlign w:val="center"/>
          </w:tcPr>
          <w:p w14:paraId="1C6F7FA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对行政区域（含生产车间、办公楼内部）和生产区域实施喷洒式或烟雾式灭蚊子、苍蝇、蟑螂工作（特殊情况下应服从供水公司要求增加服务次数）：</w:t>
            </w:r>
          </w:p>
          <w:p w14:paraId="5F78F4A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（1）越冬蚊杀灭阶段（每年12月至次年3月），每月一次：每月第1周周五开展1次集中消杀行动，逢法定节假日可适当调整；</w:t>
            </w:r>
          </w:p>
          <w:p w14:paraId="64884A3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（2）应对准备阶段（4至5月），每周一次：每周五开展 1 次集中消杀行动；</w:t>
            </w:r>
          </w:p>
          <w:p w14:paraId="1792F0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（3）防控强化阶段（6至11月），每周二次：每周二、周五各开展1次集中消杀行动。</w:t>
            </w:r>
          </w:p>
        </w:tc>
        <w:tc>
          <w:tcPr>
            <w:tcW w:w="1294" w:type="pct"/>
            <w:gridSpan w:val="3"/>
            <w:shd w:val="clear" w:color="auto" w:fill="auto"/>
            <w:vAlign w:val="center"/>
          </w:tcPr>
          <w:p w14:paraId="3E235CD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（1）越冬蚊杀灭阶段（每年12月至次年3月），灭蚊、灭蟑螂、灭蝇次数没按要求完成，每少一次扣20分。</w:t>
            </w:r>
          </w:p>
          <w:p w14:paraId="6B16FB6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（2）应对准备阶段（4至5月），灭蚊、灭蟑螂、灭蝇次数没按要求完成，每少一次扣5分。</w:t>
            </w:r>
          </w:p>
          <w:p w14:paraId="0B8516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（3）防控强化阶段（6至11月），灭蚊、灭蟑螂、灭蝇次数没按要求完成，每少一次扣3分。</w:t>
            </w:r>
          </w:p>
        </w:tc>
        <w:tc>
          <w:tcPr>
            <w:tcW w:w="606" w:type="pct"/>
            <w:shd w:val="clear" w:color="auto" w:fill="auto"/>
            <w:vAlign w:val="center"/>
          </w:tcPr>
          <w:p w14:paraId="736C592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390" w:type="pct"/>
            <w:shd w:val="clear" w:color="auto" w:fill="auto"/>
            <w:vAlign w:val="center"/>
          </w:tcPr>
          <w:p w14:paraId="7B452338">
            <w:pPr>
              <w:rPr>
                <w:rFonts w:hint="eastAsia" w:ascii="宋体" w:hAnsi="宋体" w:eastAsia="宋体" w:cs="宋体"/>
                <w:i w:val="0"/>
                <w:iCs w:val="0"/>
                <w:color w:val="auto"/>
                <w:sz w:val="21"/>
                <w:szCs w:val="21"/>
                <w:highlight w:val="none"/>
                <w:u w:val="none"/>
              </w:rPr>
            </w:pPr>
          </w:p>
        </w:tc>
        <w:tc>
          <w:tcPr>
            <w:tcW w:w="555" w:type="pct"/>
            <w:shd w:val="clear" w:color="auto" w:fill="auto"/>
            <w:vAlign w:val="center"/>
          </w:tcPr>
          <w:p w14:paraId="1B5CC7B1">
            <w:pPr>
              <w:jc w:val="center"/>
              <w:rPr>
                <w:rFonts w:hint="eastAsia" w:ascii="宋体" w:hAnsi="宋体" w:eastAsia="宋体" w:cs="宋体"/>
                <w:i w:val="0"/>
                <w:iCs w:val="0"/>
                <w:color w:val="auto"/>
                <w:sz w:val="21"/>
                <w:szCs w:val="21"/>
                <w:highlight w:val="none"/>
                <w:u w:val="none"/>
              </w:rPr>
            </w:pPr>
          </w:p>
        </w:tc>
      </w:tr>
      <w:tr w14:paraId="2601E6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atLeast"/>
        </w:trPr>
        <w:tc>
          <w:tcPr>
            <w:tcW w:w="393" w:type="pct"/>
            <w:vMerge w:val="continue"/>
            <w:shd w:val="clear" w:color="auto" w:fill="auto"/>
            <w:vAlign w:val="center"/>
          </w:tcPr>
          <w:p w14:paraId="0E06B0F6">
            <w:pPr>
              <w:jc w:val="center"/>
              <w:rPr>
                <w:rFonts w:hint="eastAsia" w:ascii="宋体" w:hAnsi="宋体" w:eastAsia="宋体" w:cs="宋体"/>
                <w:i w:val="0"/>
                <w:iCs w:val="0"/>
                <w:color w:val="auto"/>
                <w:sz w:val="21"/>
                <w:szCs w:val="21"/>
                <w:highlight w:val="none"/>
                <w:u w:val="none"/>
              </w:rPr>
            </w:pPr>
          </w:p>
        </w:tc>
        <w:tc>
          <w:tcPr>
            <w:tcW w:w="1760" w:type="pct"/>
            <w:gridSpan w:val="3"/>
            <w:shd w:val="clear" w:color="auto" w:fill="auto"/>
            <w:vAlign w:val="center"/>
          </w:tcPr>
          <w:p w14:paraId="797B21F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每月灭鼠次数不少于4次。</w:t>
            </w:r>
          </w:p>
        </w:tc>
        <w:tc>
          <w:tcPr>
            <w:tcW w:w="1294" w:type="pct"/>
            <w:gridSpan w:val="3"/>
            <w:shd w:val="clear" w:color="auto" w:fill="auto"/>
            <w:vAlign w:val="center"/>
          </w:tcPr>
          <w:p w14:paraId="17E6B6F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灭鼠次数没按要求完成，每少一次扣5分。</w:t>
            </w:r>
          </w:p>
        </w:tc>
        <w:tc>
          <w:tcPr>
            <w:tcW w:w="606" w:type="pct"/>
            <w:shd w:val="clear" w:color="auto" w:fill="auto"/>
            <w:vAlign w:val="center"/>
          </w:tcPr>
          <w:p w14:paraId="509A12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390" w:type="pct"/>
            <w:shd w:val="clear" w:color="auto" w:fill="auto"/>
            <w:vAlign w:val="center"/>
          </w:tcPr>
          <w:p w14:paraId="54DCEE47">
            <w:pPr>
              <w:rPr>
                <w:rFonts w:hint="eastAsia" w:ascii="宋体" w:hAnsi="宋体" w:eastAsia="宋体" w:cs="宋体"/>
                <w:i w:val="0"/>
                <w:iCs w:val="0"/>
                <w:color w:val="auto"/>
                <w:sz w:val="21"/>
                <w:szCs w:val="21"/>
                <w:highlight w:val="none"/>
                <w:u w:val="none"/>
              </w:rPr>
            </w:pPr>
          </w:p>
        </w:tc>
        <w:tc>
          <w:tcPr>
            <w:tcW w:w="555" w:type="pct"/>
            <w:shd w:val="clear" w:color="auto" w:fill="auto"/>
            <w:vAlign w:val="center"/>
          </w:tcPr>
          <w:p w14:paraId="459FE8B4">
            <w:pPr>
              <w:jc w:val="center"/>
              <w:rPr>
                <w:rFonts w:hint="eastAsia" w:ascii="宋体" w:hAnsi="宋体" w:eastAsia="宋体" w:cs="宋体"/>
                <w:i w:val="0"/>
                <w:iCs w:val="0"/>
                <w:color w:val="auto"/>
                <w:sz w:val="21"/>
                <w:szCs w:val="21"/>
                <w:highlight w:val="none"/>
                <w:u w:val="none"/>
              </w:rPr>
            </w:pPr>
          </w:p>
        </w:tc>
      </w:tr>
      <w:tr w14:paraId="2DA654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7" w:hRule="atLeast"/>
        </w:trPr>
        <w:tc>
          <w:tcPr>
            <w:tcW w:w="393" w:type="pct"/>
            <w:vMerge w:val="continue"/>
            <w:shd w:val="clear" w:color="auto" w:fill="auto"/>
            <w:vAlign w:val="center"/>
          </w:tcPr>
          <w:p w14:paraId="541F8752">
            <w:pPr>
              <w:jc w:val="center"/>
              <w:rPr>
                <w:rFonts w:hint="eastAsia" w:ascii="宋体" w:hAnsi="宋体" w:eastAsia="宋体" w:cs="宋体"/>
                <w:i w:val="0"/>
                <w:iCs w:val="0"/>
                <w:color w:val="auto"/>
                <w:sz w:val="21"/>
                <w:szCs w:val="21"/>
                <w:highlight w:val="none"/>
                <w:u w:val="none"/>
              </w:rPr>
            </w:pPr>
          </w:p>
        </w:tc>
        <w:tc>
          <w:tcPr>
            <w:tcW w:w="1760" w:type="pct"/>
            <w:gridSpan w:val="3"/>
            <w:shd w:val="clear" w:color="auto" w:fill="auto"/>
            <w:vAlign w:val="center"/>
          </w:tcPr>
          <w:p w14:paraId="75881E1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每月对公司所有区域进行白蚁检查及处理不少于2次。</w:t>
            </w:r>
          </w:p>
        </w:tc>
        <w:tc>
          <w:tcPr>
            <w:tcW w:w="1294" w:type="pct"/>
            <w:gridSpan w:val="3"/>
            <w:shd w:val="clear" w:color="auto" w:fill="auto"/>
            <w:vAlign w:val="center"/>
          </w:tcPr>
          <w:p w14:paraId="79FACEC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白蚁检查及处理没按要求完成，每次扣5分。</w:t>
            </w:r>
          </w:p>
        </w:tc>
        <w:tc>
          <w:tcPr>
            <w:tcW w:w="606" w:type="pct"/>
            <w:shd w:val="clear" w:color="auto" w:fill="auto"/>
            <w:vAlign w:val="center"/>
          </w:tcPr>
          <w:p w14:paraId="3380D77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390" w:type="pct"/>
            <w:shd w:val="clear" w:color="auto" w:fill="auto"/>
            <w:vAlign w:val="center"/>
          </w:tcPr>
          <w:p w14:paraId="781CE07D">
            <w:pPr>
              <w:rPr>
                <w:rFonts w:hint="eastAsia" w:ascii="宋体" w:hAnsi="宋体" w:eastAsia="宋体" w:cs="宋体"/>
                <w:i w:val="0"/>
                <w:iCs w:val="0"/>
                <w:color w:val="auto"/>
                <w:sz w:val="21"/>
                <w:szCs w:val="21"/>
                <w:highlight w:val="none"/>
                <w:u w:val="none"/>
              </w:rPr>
            </w:pPr>
          </w:p>
        </w:tc>
        <w:tc>
          <w:tcPr>
            <w:tcW w:w="555" w:type="pct"/>
            <w:shd w:val="clear" w:color="auto" w:fill="auto"/>
            <w:vAlign w:val="center"/>
          </w:tcPr>
          <w:p w14:paraId="467AAFB4">
            <w:pPr>
              <w:jc w:val="center"/>
              <w:rPr>
                <w:rFonts w:hint="eastAsia" w:ascii="宋体" w:hAnsi="宋体" w:eastAsia="宋体" w:cs="宋体"/>
                <w:i w:val="0"/>
                <w:iCs w:val="0"/>
                <w:color w:val="auto"/>
                <w:sz w:val="21"/>
                <w:szCs w:val="21"/>
                <w:highlight w:val="none"/>
                <w:u w:val="none"/>
              </w:rPr>
            </w:pPr>
          </w:p>
        </w:tc>
      </w:tr>
      <w:tr w14:paraId="678606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9" w:hRule="atLeast"/>
        </w:trPr>
        <w:tc>
          <w:tcPr>
            <w:tcW w:w="393" w:type="pct"/>
            <w:vMerge w:val="continue"/>
            <w:shd w:val="clear" w:color="auto" w:fill="auto"/>
            <w:vAlign w:val="center"/>
          </w:tcPr>
          <w:p w14:paraId="142FD275">
            <w:pPr>
              <w:jc w:val="center"/>
              <w:rPr>
                <w:rFonts w:hint="eastAsia" w:ascii="宋体" w:hAnsi="宋体" w:eastAsia="宋体" w:cs="宋体"/>
                <w:i w:val="0"/>
                <w:iCs w:val="0"/>
                <w:color w:val="auto"/>
                <w:sz w:val="21"/>
                <w:szCs w:val="21"/>
                <w:highlight w:val="none"/>
                <w:u w:val="none"/>
              </w:rPr>
            </w:pPr>
          </w:p>
        </w:tc>
        <w:tc>
          <w:tcPr>
            <w:tcW w:w="1760" w:type="pct"/>
            <w:gridSpan w:val="3"/>
            <w:shd w:val="clear" w:color="auto" w:fill="auto"/>
            <w:vAlign w:val="center"/>
          </w:tcPr>
          <w:p w14:paraId="7ABE839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没有及时清理动物尸体及无害化处理。</w:t>
            </w:r>
          </w:p>
        </w:tc>
        <w:tc>
          <w:tcPr>
            <w:tcW w:w="1294" w:type="pct"/>
            <w:gridSpan w:val="3"/>
            <w:shd w:val="clear" w:color="auto" w:fill="auto"/>
            <w:vAlign w:val="center"/>
          </w:tcPr>
          <w:p w14:paraId="3B545CC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每发现一次扣2分。</w:t>
            </w:r>
          </w:p>
        </w:tc>
        <w:tc>
          <w:tcPr>
            <w:tcW w:w="606" w:type="pct"/>
            <w:shd w:val="clear" w:color="auto" w:fill="auto"/>
            <w:vAlign w:val="center"/>
          </w:tcPr>
          <w:p w14:paraId="533E43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390" w:type="pct"/>
            <w:shd w:val="clear" w:color="auto" w:fill="auto"/>
            <w:vAlign w:val="center"/>
          </w:tcPr>
          <w:p w14:paraId="73DA0051">
            <w:pPr>
              <w:jc w:val="center"/>
              <w:rPr>
                <w:rFonts w:hint="eastAsia" w:ascii="宋体" w:hAnsi="宋体" w:eastAsia="宋体" w:cs="宋体"/>
                <w:i w:val="0"/>
                <w:iCs w:val="0"/>
                <w:color w:val="auto"/>
                <w:sz w:val="21"/>
                <w:szCs w:val="21"/>
                <w:highlight w:val="none"/>
                <w:u w:val="none"/>
              </w:rPr>
            </w:pPr>
          </w:p>
        </w:tc>
        <w:tc>
          <w:tcPr>
            <w:tcW w:w="555" w:type="pct"/>
            <w:shd w:val="clear" w:color="auto" w:fill="auto"/>
            <w:vAlign w:val="center"/>
          </w:tcPr>
          <w:p w14:paraId="69580D4C">
            <w:pPr>
              <w:jc w:val="center"/>
              <w:rPr>
                <w:rFonts w:hint="eastAsia" w:ascii="宋体" w:hAnsi="宋体" w:eastAsia="宋体" w:cs="宋体"/>
                <w:i w:val="0"/>
                <w:iCs w:val="0"/>
                <w:color w:val="auto"/>
                <w:sz w:val="21"/>
                <w:szCs w:val="21"/>
                <w:highlight w:val="none"/>
                <w:u w:val="none"/>
              </w:rPr>
            </w:pPr>
          </w:p>
        </w:tc>
      </w:tr>
      <w:tr w14:paraId="1901E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66" w:hRule="atLeast"/>
        </w:trPr>
        <w:tc>
          <w:tcPr>
            <w:tcW w:w="393" w:type="pct"/>
            <w:shd w:val="clear" w:color="auto" w:fill="auto"/>
            <w:vAlign w:val="center"/>
          </w:tcPr>
          <w:p w14:paraId="0E9042D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3492" w:type="dxa"/>
            <w:gridSpan w:val="3"/>
            <w:shd w:val="clear" w:color="auto" w:fill="auto"/>
            <w:vAlign w:val="center"/>
          </w:tcPr>
          <w:p w14:paraId="51AC32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u w:val="none"/>
                <w:lang w:val="en-US" w:eastAsia="zh-CN" w:bidi="ar"/>
              </w:rPr>
              <w:t>服从招标人突击性任务、迎检活动安排、紧急服务等工作要求。</w:t>
            </w:r>
          </w:p>
        </w:tc>
        <w:tc>
          <w:tcPr>
            <w:tcW w:w="2567" w:type="dxa"/>
            <w:gridSpan w:val="3"/>
            <w:shd w:val="clear" w:color="auto" w:fill="auto"/>
            <w:vAlign w:val="center"/>
          </w:tcPr>
          <w:p w14:paraId="044499A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val="en-US" w:eastAsia="zh-CN" w:bidi="ar"/>
              </w:rPr>
              <w:t>无正当理由拒不服从的，每次扣5分。</w:t>
            </w:r>
            <w:r>
              <w:rPr>
                <w:rFonts w:hint="eastAsia" w:ascii="宋体" w:hAnsi="宋体" w:eastAsia="宋体" w:cs="宋体"/>
                <w:i w:val="0"/>
                <w:iCs w:val="0"/>
                <w:color w:val="auto"/>
                <w:kern w:val="0"/>
                <w:sz w:val="21"/>
                <w:szCs w:val="21"/>
                <w:highlight w:val="none"/>
                <w:u w:val="none"/>
                <w:lang w:val="en-US" w:eastAsia="zh-CN" w:bidi="ar"/>
              </w:rPr>
              <w:t>扣完为止。</w:t>
            </w:r>
          </w:p>
        </w:tc>
        <w:tc>
          <w:tcPr>
            <w:tcW w:w="606" w:type="pct"/>
            <w:shd w:val="clear" w:color="auto" w:fill="auto"/>
            <w:vAlign w:val="center"/>
          </w:tcPr>
          <w:p w14:paraId="4F3791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390" w:type="pct"/>
            <w:shd w:val="clear" w:color="auto" w:fill="auto"/>
            <w:vAlign w:val="center"/>
          </w:tcPr>
          <w:p w14:paraId="2EC78153">
            <w:pPr>
              <w:jc w:val="center"/>
              <w:rPr>
                <w:rFonts w:hint="eastAsia" w:ascii="宋体" w:hAnsi="宋体" w:eastAsia="宋体" w:cs="宋体"/>
                <w:i w:val="0"/>
                <w:iCs w:val="0"/>
                <w:color w:val="auto"/>
                <w:sz w:val="21"/>
                <w:szCs w:val="21"/>
                <w:highlight w:val="none"/>
                <w:u w:val="none"/>
              </w:rPr>
            </w:pPr>
          </w:p>
        </w:tc>
        <w:tc>
          <w:tcPr>
            <w:tcW w:w="555" w:type="pct"/>
            <w:shd w:val="clear" w:color="auto" w:fill="auto"/>
            <w:vAlign w:val="center"/>
          </w:tcPr>
          <w:p w14:paraId="21692F7F">
            <w:pPr>
              <w:jc w:val="center"/>
              <w:rPr>
                <w:rFonts w:hint="eastAsia" w:ascii="宋体" w:hAnsi="宋体" w:eastAsia="宋体" w:cs="宋体"/>
                <w:i w:val="0"/>
                <w:iCs w:val="0"/>
                <w:color w:val="auto"/>
                <w:sz w:val="21"/>
                <w:szCs w:val="21"/>
                <w:highlight w:val="none"/>
                <w:u w:val="none"/>
              </w:rPr>
            </w:pPr>
          </w:p>
        </w:tc>
      </w:tr>
      <w:tr w14:paraId="7CEDB2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11" w:hRule="atLeast"/>
        </w:trPr>
        <w:tc>
          <w:tcPr>
            <w:tcW w:w="393" w:type="pct"/>
            <w:shd w:val="clear" w:color="auto" w:fill="auto"/>
            <w:vAlign w:val="center"/>
          </w:tcPr>
          <w:p w14:paraId="4EFFAC1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3661" w:type="pct"/>
            <w:gridSpan w:val="7"/>
            <w:shd w:val="clear" w:color="auto" w:fill="auto"/>
            <w:vAlign w:val="center"/>
          </w:tcPr>
          <w:p w14:paraId="7FE32D18">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100分</w:t>
            </w:r>
          </w:p>
        </w:tc>
        <w:tc>
          <w:tcPr>
            <w:tcW w:w="390" w:type="pct"/>
            <w:shd w:val="clear" w:color="auto" w:fill="auto"/>
            <w:vAlign w:val="center"/>
          </w:tcPr>
          <w:p w14:paraId="7A54BC4D">
            <w:pPr>
              <w:jc w:val="center"/>
              <w:rPr>
                <w:rFonts w:hint="eastAsia" w:ascii="宋体" w:hAnsi="宋体" w:eastAsia="宋体" w:cs="宋体"/>
                <w:i w:val="0"/>
                <w:iCs w:val="0"/>
                <w:color w:val="auto"/>
                <w:sz w:val="21"/>
                <w:szCs w:val="21"/>
                <w:highlight w:val="none"/>
                <w:u w:val="none"/>
              </w:rPr>
            </w:pPr>
          </w:p>
        </w:tc>
        <w:tc>
          <w:tcPr>
            <w:tcW w:w="555" w:type="pct"/>
            <w:shd w:val="clear" w:color="auto" w:fill="auto"/>
            <w:vAlign w:val="center"/>
          </w:tcPr>
          <w:p w14:paraId="15F018FA">
            <w:pPr>
              <w:jc w:val="center"/>
              <w:rPr>
                <w:rFonts w:hint="eastAsia" w:ascii="宋体" w:hAnsi="宋体" w:eastAsia="宋体" w:cs="宋体"/>
                <w:i w:val="0"/>
                <w:iCs w:val="0"/>
                <w:color w:val="auto"/>
                <w:sz w:val="21"/>
                <w:szCs w:val="21"/>
                <w:highlight w:val="none"/>
                <w:u w:val="none"/>
              </w:rPr>
            </w:pPr>
          </w:p>
        </w:tc>
      </w:tr>
      <w:tr w14:paraId="4F2112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38" w:hRule="atLeast"/>
        </w:trPr>
        <w:tc>
          <w:tcPr>
            <w:tcW w:w="832" w:type="pct"/>
            <w:gridSpan w:val="2"/>
            <w:shd w:val="clear" w:color="auto" w:fill="auto"/>
            <w:vAlign w:val="center"/>
          </w:tcPr>
          <w:p w14:paraId="4C5A8D48">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考核结果</w:t>
            </w:r>
          </w:p>
        </w:tc>
        <w:tc>
          <w:tcPr>
            <w:tcW w:w="706" w:type="pct"/>
            <w:shd w:val="clear" w:color="auto" w:fill="auto"/>
            <w:vAlign w:val="center"/>
          </w:tcPr>
          <w:p w14:paraId="3DC389BB">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688" w:type="pct"/>
            <w:gridSpan w:val="2"/>
            <w:shd w:val="clear" w:color="auto" w:fill="auto"/>
            <w:vAlign w:val="center"/>
          </w:tcPr>
          <w:p w14:paraId="07EB22AD">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合格</w:t>
            </w:r>
          </w:p>
        </w:tc>
        <w:tc>
          <w:tcPr>
            <w:tcW w:w="1221" w:type="pct"/>
            <w:gridSpan w:val="2"/>
            <w:shd w:val="clear" w:color="auto" w:fill="auto"/>
            <w:vAlign w:val="center"/>
          </w:tcPr>
          <w:p w14:paraId="3E86743D">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606" w:type="pct"/>
            <w:shd w:val="clear" w:color="auto" w:fill="auto"/>
            <w:vAlign w:val="center"/>
          </w:tcPr>
          <w:p w14:paraId="05CBF1A9">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不合格</w:t>
            </w:r>
          </w:p>
        </w:tc>
        <w:tc>
          <w:tcPr>
            <w:tcW w:w="390" w:type="pct"/>
            <w:shd w:val="clear" w:color="auto" w:fill="auto"/>
            <w:vAlign w:val="center"/>
          </w:tcPr>
          <w:p w14:paraId="4ADE57E9">
            <w:pPr>
              <w:jc w:val="center"/>
              <w:rPr>
                <w:rFonts w:hint="eastAsia" w:ascii="宋体" w:hAnsi="宋体" w:eastAsia="宋体" w:cs="宋体"/>
                <w:b/>
                <w:bCs/>
                <w:i w:val="0"/>
                <w:iCs w:val="0"/>
                <w:color w:val="auto"/>
                <w:sz w:val="21"/>
                <w:szCs w:val="21"/>
                <w:highlight w:val="none"/>
                <w:u w:val="none"/>
              </w:rPr>
            </w:pPr>
          </w:p>
        </w:tc>
        <w:tc>
          <w:tcPr>
            <w:tcW w:w="555" w:type="pct"/>
            <w:shd w:val="clear" w:color="auto" w:fill="auto"/>
            <w:vAlign w:val="center"/>
          </w:tcPr>
          <w:p w14:paraId="5BB34C47">
            <w:pPr>
              <w:jc w:val="center"/>
              <w:rPr>
                <w:rFonts w:hint="eastAsia" w:ascii="宋体" w:hAnsi="宋体" w:eastAsia="宋体" w:cs="宋体"/>
                <w:b/>
                <w:bCs/>
                <w:i w:val="0"/>
                <w:iCs w:val="0"/>
                <w:color w:val="auto"/>
                <w:sz w:val="21"/>
                <w:szCs w:val="21"/>
                <w:highlight w:val="none"/>
                <w:u w:val="none"/>
              </w:rPr>
            </w:pPr>
          </w:p>
        </w:tc>
      </w:tr>
      <w:tr w14:paraId="6D389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79" w:hRule="atLeast"/>
        </w:trPr>
        <w:tc>
          <w:tcPr>
            <w:tcW w:w="832" w:type="pct"/>
            <w:gridSpan w:val="2"/>
            <w:shd w:val="clear" w:color="auto" w:fill="auto"/>
            <w:noWrap/>
            <w:vAlign w:val="center"/>
          </w:tcPr>
          <w:p w14:paraId="2CB0C31C">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意见及建议</w:t>
            </w:r>
          </w:p>
        </w:tc>
        <w:tc>
          <w:tcPr>
            <w:tcW w:w="4167" w:type="pct"/>
            <w:gridSpan w:val="8"/>
            <w:shd w:val="clear" w:color="auto" w:fill="auto"/>
            <w:vAlign w:val="center"/>
          </w:tcPr>
          <w:p w14:paraId="649C0B0C">
            <w:pPr>
              <w:jc w:val="center"/>
              <w:rPr>
                <w:rFonts w:hint="eastAsia" w:ascii="宋体" w:hAnsi="宋体" w:eastAsia="宋体" w:cs="宋体"/>
                <w:b/>
                <w:bCs/>
                <w:i w:val="0"/>
                <w:iCs w:val="0"/>
                <w:color w:val="auto"/>
                <w:kern w:val="2"/>
                <w:sz w:val="21"/>
                <w:szCs w:val="21"/>
                <w:highlight w:val="none"/>
                <w:u w:val="none"/>
                <w:lang w:val="en-US" w:eastAsia="zh-CN" w:bidi="ar-SA"/>
              </w:rPr>
            </w:pPr>
          </w:p>
        </w:tc>
      </w:tr>
      <w:tr w14:paraId="71C5B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17" w:hRule="atLeast"/>
        </w:trPr>
        <w:tc>
          <w:tcPr>
            <w:tcW w:w="832" w:type="pct"/>
            <w:gridSpan w:val="2"/>
            <w:shd w:val="clear" w:color="auto" w:fill="auto"/>
            <w:noWrap/>
            <w:vAlign w:val="center"/>
          </w:tcPr>
          <w:p w14:paraId="01C8AFF4">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说明</w:t>
            </w:r>
          </w:p>
        </w:tc>
        <w:tc>
          <w:tcPr>
            <w:tcW w:w="2077" w:type="pct"/>
            <w:gridSpan w:val="4"/>
            <w:shd w:val="clear" w:color="auto" w:fill="auto"/>
            <w:vAlign w:val="center"/>
          </w:tcPr>
          <w:p w14:paraId="3819A35D">
            <w:pPr>
              <w:jc w:val="center"/>
              <w:rPr>
                <w:rFonts w:hint="eastAsia" w:ascii="宋体" w:hAnsi="宋体" w:eastAsia="宋体" w:cs="宋体"/>
                <w:b/>
                <w:bCs/>
                <w:i w:val="0"/>
                <w:iCs w:val="0"/>
                <w:color w:val="auto"/>
                <w:kern w:val="2"/>
                <w:sz w:val="21"/>
                <w:szCs w:val="21"/>
                <w:highlight w:val="none"/>
                <w:u w:val="none"/>
                <w:lang w:val="en-US" w:eastAsia="zh-CN" w:bidi="ar-SA"/>
              </w:rPr>
            </w:pPr>
          </w:p>
        </w:tc>
        <w:tc>
          <w:tcPr>
            <w:tcW w:w="2090" w:type="pct"/>
            <w:gridSpan w:val="4"/>
            <w:shd w:val="clear" w:color="auto" w:fill="auto"/>
            <w:vAlign w:val="center"/>
          </w:tcPr>
          <w:p w14:paraId="798E27B7">
            <w:pPr>
              <w:widowControl/>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如评委在检查时指出不当的地方，而服务单位人员态度懒散，置之不理。评委有权追扣分数(5-10分)</w:t>
            </w:r>
          </w:p>
        </w:tc>
      </w:tr>
    </w:tbl>
    <w:p w14:paraId="60235AEF">
      <w:pPr>
        <w:outlineLvl w:val="9"/>
        <w:rPr>
          <w:rFonts w:hint="eastAsia" w:ascii="宋体" w:hAnsi="宋体" w:eastAsia="宋体" w:cs="宋体"/>
          <w:b/>
          <w:color w:val="auto"/>
          <w:kern w:val="0"/>
          <w:sz w:val="21"/>
          <w:szCs w:val="21"/>
          <w:highlight w:val="none"/>
          <w:lang w:bidi="ar"/>
        </w:rPr>
      </w:pPr>
    </w:p>
    <w:p w14:paraId="4EE33103">
      <w:pPr>
        <w:rPr>
          <w:rFonts w:hint="eastAsia" w:ascii="宋体" w:hAnsi="宋体" w:eastAsia="宋体" w:cs="宋体"/>
          <w:color w:val="auto"/>
          <w:sz w:val="21"/>
          <w:szCs w:val="21"/>
          <w:highlight w:val="none"/>
        </w:rPr>
      </w:pPr>
    </w:p>
    <w:p w14:paraId="130CFA65">
      <w:pPr>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考核单位：                     考核人：                        考核时间：</w:t>
      </w:r>
    </w:p>
    <w:p w14:paraId="4E67B7CF">
      <w:pPr>
        <w:tabs>
          <w:tab w:val="left" w:pos="2340"/>
        </w:tabs>
        <w:autoSpaceDE w:val="0"/>
        <w:autoSpaceDN w:val="0"/>
        <w:adjustRightInd w:val="0"/>
        <w:spacing w:line="360" w:lineRule="auto"/>
        <w:jc w:val="left"/>
        <w:rPr>
          <w:rFonts w:hint="eastAsia" w:ascii="宋体" w:hAnsi="宋体" w:eastAsia="宋体" w:cs="宋体"/>
          <w:color w:val="auto"/>
          <w:sz w:val="21"/>
          <w:szCs w:val="21"/>
          <w:highlight w:val="none"/>
        </w:rPr>
      </w:pPr>
    </w:p>
    <w:p w14:paraId="38F13802">
      <w:pPr>
        <w:tabs>
          <w:tab w:val="left" w:pos="2340"/>
        </w:tabs>
        <w:autoSpaceDE w:val="0"/>
        <w:autoSpaceDN w:val="0"/>
        <w:adjustRightInd w:val="0"/>
        <w:spacing w:line="360" w:lineRule="auto"/>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注：1、本考核评比实行百分制,与实际服务费挂钩。</w:t>
      </w:r>
    </w:p>
    <w:p w14:paraId="125C8A7A">
      <w:pPr>
        <w:tabs>
          <w:tab w:val="left" w:pos="2340"/>
        </w:tabs>
        <w:autoSpaceDE w:val="0"/>
        <w:autoSpaceDN w:val="0"/>
        <w:adjustRightInd w:val="0"/>
        <w:spacing w:line="360" w:lineRule="auto"/>
        <w:ind w:firstLine="424" w:firstLineChars="202"/>
        <w:jc w:val="left"/>
        <w:rPr>
          <w:rFonts w:hint="eastAsia" w:ascii="宋体" w:hAnsi="宋体" w:eastAsia="宋体" w:cs="宋体"/>
          <w:color w:val="auto"/>
          <w:sz w:val="21"/>
          <w:szCs w:val="21"/>
          <w:highlight w:val="none"/>
        </w:rPr>
      </w:pPr>
      <w:r>
        <w:rPr>
          <w:rFonts w:hint="eastAsia" w:ascii="宋体" w:hAnsi="宋体" w:eastAsia="宋体" w:cs="宋体"/>
          <w:color w:val="auto"/>
          <w:kern w:val="0"/>
          <w:sz w:val="21"/>
          <w:szCs w:val="21"/>
          <w:highlight w:val="none"/>
          <w:lang w:bidi="ar"/>
        </w:rPr>
        <w:t>2、每项考评对应无扣分的，实得分等于应得分。</w:t>
      </w:r>
    </w:p>
    <w:p w14:paraId="72ED89DB">
      <w:pPr>
        <w:tabs>
          <w:tab w:val="left" w:pos="2340"/>
        </w:tabs>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lang w:eastAsia="zh-CN" w:bidi="ar"/>
        </w:rPr>
      </w:pPr>
      <w:r>
        <w:rPr>
          <w:rFonts w:hint="eastAsia" w:ascii="宋体" w:hAnsi="宋体" w:eastAsia="宋体" w:cs="宋体"/>
          <w:color w:val="auto"/>
          <w:kern w:val="0"/>
          <w:sz w:val="21"/>
          <w:szCs w:val="21"/>
          <w:highlight w:val="none"/>
          <w:lang w:bidi="ar"/>
        </w:rPr>
        <w:t>3、</w:t>
      </w:r>
      <w:r>
        <w:rPr>
          <w:rFonts w:hint="eastAsia" w:ascii="宋体" w:hAnsi="宋体" w:eastAsia="宋体" w:cs="宋体"/>
          <w:color w:val="auto"/>
          <w:kern w:val="0"/>
          <w:sz w:val="21"/>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 w:val="21"/>
          <w:szCs w:val="21"/>
          <w:highlight w:val="none"/>
          <w:lang w:bidi="ar"/>
        </w:rPr>
        <w:t>每月根据考评结果情况支付实际服务费给</w:t>
      </w:r>
      <w:r>
        <w:rPr>
          <w:rFonts w:hint="eastAsia" w:ascii="宋体" w:hAnsi="宋体" w:eastAsia="宋体" w:cs="宋体"/>
          <w:color w:val="auto"/>
          <w:kern w:val="0"/>
          <w:sz w:val="21"/>
          <w:szCs w:val="21"/>
          <w:highlight w:val="none"/>
          <w:lang w:val="en-US" w:eastAsia="zh-CN" w:bidi="ar"/>
        </w:rPr>
        <w:t>服务单位</w:t>
      </w:r>
      <w:r>
        <w:rPr>
          <w:rFonts w:hint="eastAsia" w:ascii="宋体" w:hAnsi="宋体" w:eastAsia="宋体" w:cs="宋体"/>
          <w:color w:val="auto"/>
          <w:kern w:val="0"/>
          <w:sz w:val="21"/>
          <w:szCs w:val="21"/>
          <w:highlight w:val="none"/>
          <w:lang w:eastAsia="zh-CN" w:bidi="ar"/>
        </w:rPr>
        <w:t>：</w:t>
      </w:r>
    </w:p>
    <w:p w14:paraId="42467E40">
      <w:pPr>
        <w:tabs>
          <w:tab w:val="left" w:pos="2340"/>
        </w:tabs>
        <w:autoSpaceDE w:val="0"/>
        <w:autoSpaceDN w:val="0"/>
        <w:adjustRightInd w:val="0"/>
        <w:spacing w:line="360" w:lineRule="auto"/>
        <w:ind w:firstLine="424" w:firstLineChars="202"/>
        <w:jc w:val="left"/>
        <w:rPr>
          <w:rFonts w:hint="eastAsia" w:ascii="宋体" w:hAnsi="宋体" w:eastAsia="宋体" w:cs="宋体"/>
          <w:color w:val="auto"/>
          <w:kern w:val="0"/>
          <w:sz w:val="21"/>
          <w:szCs w:val="21"/>
          <w:highlight w:val="none"/>
          <w:lang w:bidi="ar"/>
        </w:rPr>
      </w:pPr>
      <w:r>
        <w:rPr>
          <w:rFonts w:hint="eastAsia" w:ascii="宋体" w:hAnsi="宋体" w:eastAsia="宋体" w:cs="宋体"/>
          <w:color w:val="auto"/>
          <w:kern w:val="0"/>
          <w:szCs w:val="21"/>
          <w:highlight w:val="none"/>
          <w:lang w:bidi="ar"/>
        </w:rPr>
        <w:t>（1）当实际考核项目总分满分为100分，</w:t>
      </w:r>
      <w:r>
        <w:rPr>
          <w:rFonts w:hint="eastAsia" w:ascii="宋体" w:hAnsi="宋体" w:eastAsia="宋体" w:cs="宋体"/>
          <w:color w:val="auto"/>
          <w:kern w:val="0"/>
          <w:sz w:val="21"/>
          <w:szCs w:val="21"/>
          <w:highlight w:val="none"/>
          <w:lang w:bidi="ar"/>
        </w:rPr>
        <w:t>如</w:t>
      </w:r>
      <w:r>
        <w:rPr>
          <w:rFonts w:hint="eastAsia" w:ascii="宋体" w:hAnsi="宋体" w:eastAsia="宋体" w:cs="宋体"/>
          <w:color w:val="auto"/>
          <w:kern w:val="0"/>
          <w:sz w:val="21"/>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 w:val="21"/>
          <w:szCs w:val="21"/>
          <w:highlight w:val="none"/>
          <w:lang w:bidi="ar"/>
        </w:rPr>
        <w:t>对</w:t>
      </w:r>
      <w:r>
        <w:rPr>
          <w:rFonts w:hint="eastAsia" w:ascii="宋体" w:hAnsi="宋体" w:eastAsia="宋体" w:cs="宋体"/>
          <w:color w:val="auto"/>
          <w:kern w:val="0"/>
          <w:sz w:val="21"/>
          <w:szCs w:val="21"/>
          <w:highlight w:val="none"/>
          <w:lang w:val="en-US" w:eastAsia="zh-CN" w:bidi="ar"/>
        </w:rPr>
        <w:t>服务单位</w:t>
      </w:r>
      <w:r>
        <w:rPr>
          <w:rFonts w:hint="eastAsia" w:ascii="宋体" w:hAnsi="宋体" w:eastAsia="宋体" w:cs="宋体"/>
          <w:color w:val="auto"/>
          <w:kern w:val="0"/>
          <w:sz w:val="21"/>
          <w:szCs w:val="21"/>
          <w:highlight w:val="none"/>
          <w:lang w:bidi="ar"/>
        </w:rPr>
        <w:t>的服务考核评分达到90分或以上的，该月服务费全额支付；如</w:t>
      </w:r>
      <w:r>
        <w:rPr>
          <w:rFonts w:hint="eastAsia" w:ascii="宋体" w:hAnsi="宋体" w:eastAsia="宋体" w:cs="宋体"/>
          <w:color w:val="auto"/>
          <w:kern w:val="0"/>
          <w:sz w:val="21"/>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color w:val="auto"/>
          <w:kern w:val="0"/>
          <w:sz w:val="21"/>
          <w:szCs w:val="21"/>
          <w:highlight w:val="none"/>
          <w:lang w:bidi="ar"/>
        </w:rPr>
        <w:t>对</w:t>
      </w:r>
      <w:r>
        <w:rPr>
          <w:rFonts w:hint="eastAsia" w:ascii="宋体" w:hAnsi="宋体" w:eastAsia="宋体" w:cs="宋体"/>
          <w:color w:val="auto"/>
          <w:kern w:val="0"/>
          <w:sz w:val="21"/>
          <w:szCs w:val="21"/>
          <w:highlight w:val="none"/>
          <w:lang w:val="en-US" w:eastAsia="zh-CN" w:bidi="ar"/>
        </w:rPr>
        <w:t>服务单位</w:t>
      </w:r>
      <w:r>
        <w:rPr>
          <w:rFonts w:hint="eastAsia" w:ascii="宋体" w:hAnsi="宋体" w:eastAsia="宋体" w:cs="宋体"/>
          <w:color w:val="auto"/>
          <w:kern w:val="0"/>
          <w:sz w:val="21"/>
          <w:szCs w:val="21"/>
          <w:highlight w:val="none"/>
          <w:lang w:bidi="ar"/>
        </w:rPr>
        <w:t>的服务考核评分不足90分的，该月实际支付的服务费=该月应支付服务费×当月考核评分占比；如发现累计两个月未达到60分时，</w:t>
      </w:r>
      <w:r>
        <w:rPr>
          <w:rFonts w:hint="eastAsia" w:eastAsia="宋体" w:cs="宋体"/>
          <w:sz w:val="21"/>
          <w:szCs w:val="21"/>
          <w:highlight w:val="none"/>
        </w:rPr>
        <w:t>且</w:t>
      </w:r>
      <w:r>
        <w:rPr>
          <w:rFonts w:hint="eastAsia" w:eastAsia="宋体" w:cs="宋体"/>
          <w:sz w:val="21"/>
          <w:szCs w:val="21"/>
          <w:highlight w:val="none"/>
          <w:lang w:val="en-US" w:eastAsia="zh-CN"/>
        </w:rPr>
        <w:t>服务单位</w:t>
      </w:r>
      <w:r>
        <w:rPr>
          <w:rFonts w:hint="eastAsia" w:eastAsia="宋体" w:cs="宋体"/>
          <w:sz w:val="21"/>
          <w:szCs w:val="21"/>
          <w:highlight w:val="none"/>
        </w:rPr>
        <w:t>没有提供令</w:t>
      </w:r>
      <w:r>
        <w:rPr>
          <w:rFonts w:hint="eastAsia" w:ascii="宋体" w:hAnsi="宋体" w:eastAsia="宋体" w:cs="宋体"/>
          <w:color w:val="auto"/>
          <w:kern w:val="0"/>
          <w:sz w:val="21"/>
          <w:szCs w:val="21"/>
          <w:highlight w:val="none"/>
          <w:lang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eastAsia="宋体" w:cs="宋体"/>
          <w:sz w:val="21"/>
          <w:szCs w:val="21"/>
          <w:highlight w:val="none"/>
        </w:rPr>
        <w:t>认可的整改方案的</w:t>
      </w:r>
      <w:r>
        <w:rPr>
          <w:rFonts w:hint="eastAsia" w:eastAsia="宋体" w:cs="宋体"/>
          <w:sz w:val="21"/>
          <w:szCs w:val="21"/>
          <w:highlight w:val="none"/>
          <w:lang w:eastAsia="zh-CN"/>
        </w:rPr>
        <w:t>，</w:t>
      </w:r>
      <w:r>
        <w:rPr>
          <w:rFonts w:hint="eastAsia" w:ascii="宋体" w:hAnsi="宋体" w:eastAsia="宋体" w:cs="宋体"/>
          <w:color w:val="auto"/>
          <w:kern w:val="0"/>
          <w:sz w:val="21"/>
          <w:szCs w:val="21"/>
          <w:highlight w:val="none"/>
          <w:lang w:val="en-US" w:eastAsia="zh-CN" w:bidi="ar"/>
        </w:rPr>
        <w:t>招标人</w:t>
      </w:r>
      <w:r>
        <w:rPr>
          <w:rFonts w:hint="eastAsia" w:ascii="宋体" w:hAnsi="宋体" w:eastAsia="宋体" w:cs="宋体"/>
          <w:color w:val="auto"/>
          <w:kern w:val="0"/>
          <w:sz w:val="21"/>
          <w:szCs w:val="21"/>
          <w:highlight w:val="none"/>
          <w:lang w:bidi="ar"/>
        </w:rPr>
        <w:t>有权单方解除合同。</w:t>
      </w:r>
    </w:p>
    <w:p w14:paraId="535AEC2F">
      <w:pPr>
        <w:tabs>
          <w:tab w:val="left" w:pos="2340"/>
        </w:tabs>
        <w:spacing w:line="360" w:lineRule="auto"/>
        <w:ind w:firstLine="424" w:firstLineChars="202"/>
        <w:jc w:val="left"/>
        <w:rPr>
          <w:rFonts w:hint="eastAsia" w:ascii="宋体" w:hAnsi="宋体" w:eastAsia="宋体" w:cs="宋体"/>
          <w:color w:val="auto"/>
          <w:sz w:val="21"/>
          <w:szCs w:val="21"/>
          <w:highlight w:val="none"/>
          <w:lang w:bidi="ar"/>
        </w:rPr>
        <w:sectPr>
          <w:footerReference r:id="rId4" w:type="first"/>
          <w:footerReference r:id="rId3" w:type="default"/>
          <w:pgSz w:w="11915" w:h="16839"/>
          <w:pgMar w:top="1440" w:right="1080" w:bottom="1440" w:left="1080" w:header="720" w:footer="1005" w:gutter="0"/>
          <w:cols w:space="720" w:num="1"/>
          <w:titlePg/>
          <w:docGrid w:linePitch="326" w:charSpace="0"/>
        </w:sectPr>
      </w:pP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当实际考核项目总分满分不足100分，将考核分数按百分制进行折算（折算分数=实际得分/满分</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100），折算后高于90%</w:t>
      </w:r>
      <w:r>
        <w:rPr>
          <w:rFonts w:hint="eastAsia" w:ascii="宋体" w:hAnsi="宋体" w:eastAsia="宋体" w:cs="宋体"/>
          <w:kern w:val="0"/>
          <w:sz w:val="21"/>
          <w:szCs w:val="21"/>
          <w:highlight w:val="none"/>
          <w:lang w:bidi="ar"/>
        </w:rPr>
        <w:t>或以上的，该月服务费全额支付；如</w:t>
      </w:r>
      <w:r>
        <w:rPr>
          <w:rFonts w:hint="eastAsia" w:ascii="宋体" w:hAnsi="宋体" w:eastAsia="宋体" w:cs="宋体"/>
          <w:kern w:val="0"/>
          <w:sz w:val="21"/>
          <w:szCs w:val="21"/>
          <w:highlight w:val="none"/>
          <w:lang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对</w:t>
      </w:r>
      <w:r>
        <w:rPr>
          <w:rFonts w:hint="eastAsia" w:ascii="宋体" w:hAnsi="宋体" w:eastAsia="宋体" w:cs="宋体"/>
          <w:kern w:val="0"/>
          <w:sz w:val="21"/>
          <w:szCs w:val="21"/>
          <w:highlight w:val="none"/>
          <w:lang w:val="en-US" w:eastAsia="zh-CN" w:bidi="ar"/>
        </w:rPr>
        <w:t>服务单位</w:t>
      </w:r>
      <w:r>
        <w:rPr>
          <w:rFonts w:hint="eastAsia" w:ascii="宋体" w:hAnsi="宋体" w:eastAsia="宋体" w:cs="宋体"/>
          <w:kern w:val="0"/>
          <w:sz w:val="21"/>
          <w:szCs w:val="21"/>
          <w:highlight w:val="none"/>
          <w:lang w:bidi="ar"/>
        </w:rPr>
        <w:t>的服务考核评分</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不足90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的，该月实际支付的服务费=该月应支付服务费×</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折算分数/100</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；如发现累计两个月</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未达到60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时，且</w:t>
      </w:r>
      <w:r>
        <w:rPr>
          <w:rFonts w:hint="eastAsia" w:ascii="宋体" w:hAnsi="宋体" w:eastAsia="宋体" w:cs="宋体"/>
          <w:kern w:val="0"/>
          <w:sz w:val="21"/>
          <w:szCs w:val="21"/>
          <w:highlight w:val="none"/>
          <w:lang w:val="en-US" w:eastAsia="zh-CN" w:bidi="ar"/>
        </w:rPr>
        <w:t>服务单位</w:t>
      </w:r>
      <w:r>
        <w:rPr>
          <w:rFonts w:hint="eastAsia" w:ascii="宋体" w:hAnsi="宋体" w:eastAsia="宋体" w:cs="宋体"/>
          <w:kern w:val="0"/>
          <w:sz w:val="21"/>
          <w:szCs w:val="21"/>
          <w:highlight w:val="none"/>
          <w:lang w:bidi="ar"/>
        </w:rPr>
        <w:t>没有提供令</w:t>
      </w:r>
      <w:r>
        <w:rPr>
          <w:rFonts w:hint="eastAsia" w:ascii="宋体" w:hAnsi="宋体" w:eastAsia="宋体" w:cs="宋体"/>
          <w:kern w:val="0"/>
          <w:sz w:val="21"/>
          <w:szCs w:val="21"/>
          <w:highlight w:val="none"/>
          <w:lang w:val="en-US" w:eastAsia="zh-CN" w:bidi="ar"/>
        </w:rPr>
        <w:t>招标人</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认可的整改方案的</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招标人</w:t>
      </w:r>
      <w:r>
        <w:rPr>
          <w:rFonts w:hint="eastAsia" w:ascii="宋体" w:hAnsi="宋体" w:eastAsia="宋体" w:cs="宋体"/>
          <w:kern w:val="0"/>
          <w:sz w:val="21"/>
          <w:szCs w:val="21"/>
          <w:highlight w:val="none"/>
          <w:lang w:bidi="ar"/>
        </w:rPr>
        <w:t>有权单方解除合同</w:t>
      </w:r>
      <w:r>
        <w:rPr>
          <w:rFonts w:hint="eastAsia" w:ascii="宋体" w:hAnsi="宋体" w:eastAsia="宋体" w:cs="宋体"/>
          <w:color w:val="auto"/>
          <w:kern w:val="0"/>
          <w:szCs w:val="21"/>
          <w:highlight w:val="none"/>
          <w:lang w:bidi="ar"/>
        </w:rPr>
        <w:t>。</w:t>
      </w:r>
    </w:p>
    <w:p w14:paraId="5926331D">
      <w:pPr>
        <w:autoSpaceDE w:val="0"/>
        <w:autoSpaceDN w:val="0"/>
        <w:adjustRightInd w:val="0"/>
        <w:spacing w:line="360" w:lineRule="auto"/>
        <w:outlineLvl w:val="1"/>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附件</w:t>
      </w:r>
      <w:r>
        <w:rPr>
          <w:rFonts w:hint="eastAsia" w:ascii="宋体" w:hAnsi="宋体" w:eastAsia="宋体" w:cs="宋体"/>
          <w:b/>
          <w:color w:val="auto"/>
          <w:kern w:val="0"/>
          <w:szCs w:val="21"/>
          <w:highlight w:val="none"/>
          <w:lang w:val="en-US" w:eastAsia="zh-CN" w:bidi="ar"/>
        </w:rPr>
        <w:t>3</w:t>
      </w:r>
      <w:r>
        <w:rPr>
          <w:rFonts w:hint="eastAsia" w:ascii="宋体" w:hAnsi="宋体" w:eastAsia="宋体" w:cs="宋体"/>
          <w:b/>
          <w:color w:val="auto"/>
          <w:kern w:val="0"/>
          <w:szCs w:val="21"/>
          <w:highlight w:val="none"/>
          <w:lang w:bidi="ar"/>
        </w:rPr>
        <w:t>：清洁保洁危险作业交底表</w:t>
      </w:r>
    </w:p>
    <w:tbl>
      <w:tblPr>
        <w:tblStyle w:val="37"/>
        <w:tblW w:w="0" w:type="dxa"/>
        <w:tblInd w:w="20" w:type="dxa"/>
        <w:tblLayout w:type="fixed"/>
        <w:tblCellMar>
          <w:top w:w="0" w:type="dxa"/>
          <w:left w:w="0" w:type="dxa"/>
          <w:bottom w:w="0" w:type="dxa"/>
          <w:right w:w="0" w:type="dxa"/>
        </w:tblCellMar>
      </w:tblPr>
      <w:tblGrid>
        <w:gridCol w:w="616"/>
        <w:gridCol w:w="986"/>
        <w:gridCol w:w="1117"/>
        <w:gridCol w:w="954"/>
        <w:gridCol w:w="1362"/>
        <w:gridCol w:w="1226"/>
        <w:gridCol w:w="2180"/>
        <w:gridCol w:w="1907"/>
        <w:gridCol w:w="1829"/>
        <w:gridCol w:w="2203"/>
      </w:tblGrid>
      <w:tr w14:paraId="0A02F875">
        <w:tblPrEx>
          <w:tblCellMar>
            <w:top w:w="0" w:type="dxa"/>
            <w:left w:w="0" w:type="dxa"/>
            <w:bottom w:w="0" w:type="dxa"/>
            <w:right w:w="0" w:type="dxa"/>
          </w:tblCellMar>
        </w:tblPrEx>
        <w:trPr>
          <w:trHeight w:val="717" w:hRule="atLeast"/>
        </w:trPr>
        <w:tc>
          <w:tcPr>
            <w:tcW w:w="14380" w:type="dxa"/>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1C69481">
            <w:pPr>
              <w:widowControl/>
              <w:autoSpaceDE w:val="0"/>
              <w:autoSpaceDN w:val="0"/>
              <w:adjustRightInd w:val="0"/>
              <w:jc w:val="center"/>
              <w:textAlignment w:val="center"/>
              <w:rPr>
                <w:rFonts w:ascii="宋体" w:hAnsi="宋体" w:eastAsia="宋体" w:cs="宋体"/>
                <w:b/>
                <w:color w:val="auto"/>
                <w:highlight w:val="none"/>
              </w:rPr>
            </w:pPr>
            <w:r>
              <w:rPr>
                <w:rFonts w:hint="eastAsia" w:ascii="宋体" w:hAnsi="宋体" w:eastAsia="宋体" w:cs="宋体"/>
                <w:b/>
                <w:color w:val="auto"/>
                <w:kern w:val="0"/>
                <w:sz w:val="28"/>
                <w:szCs w:val="28"/>
                <w:highlight w:val="none"/>
                <w:lang w:bidi="ar"/>
              </w:rPr>
              <w:t>清洁保洁危险作业交底表（XX年X月）</w:t>
            </w:r>
          </w:p>
        </w:tc>
      </w:tr>
      <w:tr w14:paraId="44B88BF7">
        <w:tblPrEx>
          <w:tblCellMar>
            <w:top w:w="0" w:type="dxa"/>
            <w:left w:w="0" w:type="dxa"/>
            <w:bottom w:w="0" w:type="dxa"/>
            <w:right w:w="0" w:type="dxa"/>
          </w:tblCellMar>
        </w:tblPrEx>
        <w:trPr>
          <w:trHeight w:val="612"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817261F">
            <w:pPr>
              <w:widowControl/>
              <w:autoSpaceDE w:val="0"/>
              <w:autoSpaceDN w:val="0"/>
              <w:adjustRightInd w:val="0"/>
              <w:jc w:val="center"/>
              <w:textAlignment w:val="center"/>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序号</w:t>
            </w:r>
          </w:p>
        </w:tc>
        <w:tc>
          <w:tcPr>
            <w:tcW w:w="98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C862D44">
            <w:pPr>
              <w:widowControl/>
              <w:autoSpaceDE w:val="0"/>
              <w:autoSpaceDN w:val="0"/>
              <w:adjustRightInd w:val="0"/>
              <w:jc w:val="center"/>
              <w:textAlignment w:val="center"/>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日期</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E900209">
            <w:pPr>
              <w:widowControl/>
              <w:autoSpaceDE w:val="0"/>
              <w:autoSpaceDN w:val="0"/>
              <w:adjustRightInd w:val="0"/>
              <w:jc w:val="center"/>
              <w:textAlignment w:val="center"/>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作业内容</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E087825">
            <w:pPr>
              <w:widowControl/>
              <w:autoSpaceDE w:val="0"/>
              <w:autoSpaceDN w:val="0"/>
              <w:adjustRightInd w:val="0"/>
              <w:jc w:val="center"/>
              <w:textAlignment w:val="center"/>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作业地点</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3C3AEE2">
            <w:pPr>
              <w:widowControl/>
              <w:autoSpaceDE w:val="0"/>
              <w:autoSpaceDN w:val="0"/>
              <w:adjustRightInd w:val="0"/>
              <w:jc w:val="center"/>
              <w:textAlignment w:val="center"/>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作业时间</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F020B9">
            <w:pPr>
              <w:widowControl/>
              <w:autoSpaceDE w:val="0"/>
              <w:autoSpaceDN w:val="0"/>
              <w:adjustRightInd w:val="0"/>
              <w:jc w:val="center"/>
              <w:textAlignment w:val="center"/>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作业人员</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26E195B">
            <w:pPr>
              <w:widowControl/>
              <w:autoSpaceDE w:val="0"/>
              <w:autoSpaceDN w:val="0"/>
              <w:adjustRightInd w:val="0"/>
              <w:jc w:val="center"/>
              <w:textAlignment w:val="center"/>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作业装备情况</w:t>
            </w:r>
          </w:p>
        </w:tc>
        <w:tc>
          <w:tcPr>
            <w:tcW w:w="190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796E246">
            <w:pPr>
              <w:widowControl/>
              <w:autoSpaceDE w:val="0"/>
              <w:autoSpaceDN w:val="0"/>
              <w:adjustRightInd w:val="0"/>
              <w:jc w:val="center"/>
              <w:textAlignment w:val="center"/>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服务单位管理员签名</w:t>
            </w:r>
          </w:p>
        </w:tc>
        <w:tc>
          <w:tcPr>
            <w:tcW w:w="182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3D46553A">
            <w:pPr>
              <w:widowControl/>
              <w:autoSpaceDE w:val="0"/>
              <w:autoSpaceDN w:val="0"/>
              <w:adjustRightInd w:val="0"/>
              <w:jc w:val="center"/>
              <w:textAlignment w:val="center"/>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厂区管理人员签名</w:t>
            </w:r>
          </w:p>
        </w:tc>
        <w:tc>
          <w:tcPr>
            <w:tcW w:w="220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5E09B07">
            <w:pPr>
              <w:widowControl/>
              <w:autoSpaceDE w:val="0"/>
              <w:autoSpaceDN w:val="0"/>
              <w:adjustRightInd w:val="0"/>
              <w:jc w:val="center"/>
              <w:textAlignment w:val="center"/>
              <w:rPr>
                <w:rFonts w:ascii="宋体" w:hAnsi="宋体" w:eastAsia="宋体" w:cs="宋体"/>
                <w:b/>
                <w:color w:val="auto"/>
                <w:szCs w:val="21"/>
                <w:highlight w:val="none"/>
              </w:rPr>
            </w:pPr>
            <w:r>
              <w:rPr>
                <w:rFonts w:hint="eastAsia" w:ascii="宋体" w:hAnsi="宋体" w:eastAsia="宋体" w:cs="宋体"/>
                <w:b/>
                <w:color w:val="auto"/>
                <w:kern w:val="0"/>
                <w:szCs w:val="21"/>
                <w:highlight w:val="none"/>
                <w:lang w:bidi="ar"/>
              </w:rPr>
              <w:t>危险作业范围</w:t>
            </w:r>
          </w:p>
        </w:tc>
      </w:tr>
      <w:tr w14:paraId="2B6A9347">
        <w:tblPrEx>
          <w:tblCellMar>
            <w:top w:w="0" w:type="dxa"/>
            <w:left w:w="0" w:type="dxa"/>
            <w:bottom w:w="0" w:type="dxa"/>
            <w:right w:w="0" w:type="dxa"/>
          </w:tblCellMar>
        </w:tblPrEx>
        <w:trPr>
          <w:trHeight w:val="570"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8DED85D">
            <w:pPr>
              <w:widowControl/>
              <w:autoSpaceDE w:val="0"/>
              <w:autoSpaceDN w:val="0"/>
              <w:adjustRightIn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例1</w:t>
            </w: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5261997">
            <w:pPr>
              <w:widowControl/>
              <w:autoSpaceDE w:val="0"/>
              <w:autoSpaceDN w:val="0"/>
              <w:adjustRightIn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3月1日</w:t>
            </w:r>
          </w:p>
        </w:tc>
        <w:tc>
          <w:tcPr>
            <w:tcW w:w="1117"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747106C">
            <w:pPr>
              <w:widowControl/>
              <w:autoSpaceDE w:val="0"/>
              <w:autoSpaceDN w:val="0"/>
              <w:adjustRightIn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二沉池清洗</w:t>
            </w:r>
          </w:p>
        </w:tc>
        <w:tc>
          <w:tcPr>
            <w:tcW w:w="95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5F531E5">
            <w:pPr>
              <w:widowControl/>
              <w:autoSpaceDE w:val="0"/>
              <w:autoSpaceDN w:val="0"/>
              <w:adjustRightIn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1号二沉池</w:t>
            </w:r>
          </w:p>
        </w:tc>
        <w:tc>
          <w:tcPr>
            <w:tcW w:w="1362"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0B851E">
            <w:pPr>
              <w:widowControl/>
              <w:autoSpaceDE w:val="0"/>
              <w:autoSpaceDN w:val="0"/>
              <w:adjustRightIn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15：00-17：00</w:t>
            </w:r>
          </w:p>
        </w:tc>
        <w:tc>
          <w:tcPr>
            <w:tcW w:w="1226"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14FD479">
            <w:pPr>
              <w:widowControl/>
              <w:autoSpaceDE w:val="0"/>
              <w:autoSpaceDN w:val="0"/>
              <w:adjustRightIn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张一、张二</w:t>
            </w:r>
          </w:p>
        </w:tc>
        <w:tc>
          <w:tcPr>
            <w:tcW w:w="218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82ACADD">
            <w:pPr>
              <w:widowControl/>
              <w:autoSpaceDE w:val="0"/>
              <w:autoSpaceDN w:val="0"/>
              <w:adjustRightIn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已系安全绳、已穿救生衣（是否符合安全标准）</w:t>
            </w: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74D7ED0">
            <w:pPr>
              <w:widowControl/>
              <w:autoSpaceDE w:val="0"/>
              <w:autoSpaceDN w:val="0"/>
              <w:adjustRightIn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李四</w:t>
            </w: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9A04431">
            <w:pPr>
              <w:widowControl/>
              <w:autoSpaceDE w:val="0"/>
              <w:autoSpaceDN w:val="0"/>
              <w:adjustRightInd w:val="0"/>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吴五</w:t>
            </w:r>
          </w:p>
        </w:tc>
        <w:tc>
          <w:tcPr>
            <w:tcW w:w="2203"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592B639">
            <w:pPr>
              <w:widowControl/>
              <w:autoSpaceDE w:val="0"/>
              <w:autoSpaceDN w:val="0"/>
              <w:adjustRightInd w:val="0"/>
              <w:jc w:val="left"/>
              <w:textAlignment w:val="center"/>
              <w:rPr>
                <w:rFonts w:hint="eastAsia" w:ascii="宋体" w:hAnsi="宋体" w:eastAsia="宋体" w:cs="宋体"/>
                <w:color w:val="auto"/>
                <w:kern w:val="0"/>
                <w:szCs w:val="21"/>
                <w:highlight w:val="none"/>
                <w:lang w:eastAsia="zh-CN" w:bidi="ar"/>
              </w:rPr>
            </w:pPr>
            <w:r>
              <w:rPr>
                <w:rFonts w:hint="eastAsia" w:ascii="宋体" w:hAnsi="宋体" w:eastAsia="宋体" w:cs="宋体"/>
                <w:color w:val="auto"/>
                <w:kern w:val="0"/>
                <w:szCs w:val="21"/>
                <w:highlight w:val="none"/>
                <w:lang w:bidi="ar"/>
              </w:rPr>
              <w:t>1、水面垃圾打捞。(含取水口、絮凝池、沉淀池、滤池等构筑物)。</w:t>
            </w:r>
          </w:p>
          <w:p w14:paraId="6D24A5C2">
            <w:pPr>
              <w:widowControl/>
              <w:autoSpaceDE w:val="0"/>
              <w:autoSpaceDN w:val="0"/>
              <w:adjustRightInd w:val="0"/>
              <w:jc w:val="left"/>
              <w:textAlignment w:val="center"/>
              <w:rPr>
                <w:rFonts w:ascii="宋体" w:hAnsi="宋体" w:eastAsia="宋体" w:cs="宋体"/>
                <w:color w:val="auto"/>
                <w:szCs w:val="21"/>
                <w:highlight w:val="none"/>
                <w:lang w:bidi="ar"/>
              </w:rPr>
            </w:pPr>
            <w:r>
              <w:rPr>
                <w:rFonts w:hint="eastAsia" w:ascii="宋体" w:hAnsi="宋体" w:eastAsia="宋体" w:cs="宋体"/>
                <w:color w:val="auto"/>
                <w:kern w:val="0"/>
                <w:szCs w:val="21"/>
                <w:highlight w:val="none"/>
                <w:lang w:bidi="ar"/>
              </w:rPr>
              <w:t>2、吸水井、</w:t>
            </w:r>
            <w:r>
              <w:rPr>
                <w:rFonts w:hint="eastAsia" w:ascii="宋体" w:hAnsi="宋体" w:eastAsia="宋体" w:cs="宋体"/>
                <w:color w:val="auto"/>
                <w:kern w:val="0"/>
                <w:szCs w:val="21"/>
                <w:highlight w:val="none"/>
                <w:lang w:val="en-US" w:eastAsia="zh-CN" w:bidi="ar"/>
              </w:rPr>
              <w:t>消毒</w:t>
            </w:r>
            <w:r>
              <w:rPr>
                <w:rFonts w:hint="eastAsia" w:ascii="宋体" w:hAnsi="宋体" w:eastAsia="宋体" w:cs="宋体"/>
                <w:color w:val="auto"/>
                <w:kern w:val="0"/>
                <w:szCs w:val="21"/>
                <w:highlight w:val="none"/>
                <w:lang w:bidi="ar"/>
              </w:rPr>
              <w:t>接触池、清水池</w:t>
            </w:r>
            <w:r>
              <w:rPr>
                <w:rFonts w:hint="eastAsia" w:ascii="宋体" w:hAnsi="宋体" w:eastAsia="宋体" w:cs="宋体"/>
                <w:color w:val="auto"/>
                <w:kern w:val="0"/>
                <w:szCs w:val="21"/>
                <w:highlight w:val="none"/>
                <w:lang w:val="en-US" w:eastAsia="zh-CN" w:bidi="ar"/>
              </w:rPr>
              <w:t>等</w:t>
            </w:r>
            <w:r>
              <w:rPr>
                <w:rFonts w:hint="eastAsia" w:ascii="宋体" w:hAnsi="宋体" w:eastAsia="宋体" w:cs="宋体"/>
                <w:color w:val="auto"/>
                <w:kern w:val="0"/>
                <w:szCs w:val="21"/>
                <w:highlight w:val="none"/>
                <w:lang w:bidi="ar"/>
              </w:rPr>
              <w:t>构筑物池内清洗。</w:t>
            </w:r>
          </w:p>
          <w:p w14:paraId="28504E47">
            <w:pPr>
              <w:widowControl/>
              <w:autoSpaceDE w:val="0"/>
              <w:autoSpaceDN w:val="0"/>
              <w:adjustRightInd w:val="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3、清理杂草丛。</w:t>
            </w:r>
          </w:p>
        </w:tc>
      </w:tr>
      <w:tr w14:paraId="614D5E8E">
        <w:tblPrEx>
          <w:tblCellMar>
            <w:top w:w="0" w:type="dxa"/>
            <w:left w:w="0" w:type="dxa"/>
            <w:bottom w:w="0" w:type="dxa"/>
            <w:right w:w="0" w:type="dxa"/>
          </w:tblCellMar>
        </w:tblPrEx>
        <w:trPr>
          <w:trHeight w:val="38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9403AD0">
            <w:pPr>
              <w:autoSpaceDE w:val="0"/>
              <w:autoSpaceDN w:val="0"/>
              <w:adjustRightInd w:val="0"/>
              <w:jc w:val="center"/>
              <w:rPr>
                <w:rFonts w:ascii="宋体" w:hAnsi="宋体" w:eastAsia="宋体" w:cs="宋体"/>
                <w:color w:val="auto"/>
                <w:szCs w:val="21"/>
                <w:highlight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2633C57">
            <w:pPr>
              <w:autoSpaceDE w:val="0"/>
              <w:autoSpaceDN w:val="0"/>
              <w:adjustRightInd w:val="0"/>
              <w:jc w:val="center"/>
              <w:rPr>
                <w:rFonts w:ascii="宋体" w:hAnsi="宋体" w:eastAsia="宋体" w:cs="宋体"/>
                <w:color w:val="auto"/>
                <w:szCs w:val="21"/>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B02BC11">
            <w:pPr>
              <w:autoSpaceDE w:val="0"/>
              <w:autoSpaceDN w:val="0"/>
              <w:adjustRightInd w:val="0"/>
              <w:jc w:val="center"/>
              <w:rPr>
                <w:rFonts w:ascii="宋体" w:hAnsi="宋体" w:eastAsia="宋体" w:cs="宋体"/>
                <w:color w:val="auto"/>
                <w:szCs w:val="21"/>
                <w:highlight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85080DE">
            <w:pPr>
              <w:autoSpaceDE w:val="0"/>
              <w:autoSpaceDN w:val="0"/>
              <w:adjustRightInd w:val="0"/>
              <w:jc w:val="center"/>
              <w:rPr>
                <w:rFonts w:ascii="宋体" w:hAnsi="宋体" w:eastAsia="宋体" w:cs="宋体"/>
                <w:color w:val="auto"/>
                <w:szCs w:val="21"/>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CCCE62E">
            <w:pPr>
              <w:autoSpaceDE w:val="0"/>
              <w:autoSpaceDN w:val="0"/>
              <w:adjustRightInd w:val="0"/>
              <w:jc w:val="center"/>
              <w:rPr>
                <w:rFonts w:ascii="宋体" w:hAnsi="宋体" w:eastAsia="宋体" w:cs="宋体"/>
                <w:color w:val="auto"/>
                <w:szCs w:val="21"/>
                <w:highlight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D6D61BB">
            <w:pPr>
              <w:autoSpaceDE w:val="0"/>
              <w:autoSpaceDN w:val="0"/>
              <w:adjustRightInd w:val="0"/>
              <w:jc w:val="center"/>
              <w:rPr>
                <w:rFonts w:ascii="宋体" w:hAnsi="宋体" w:eastAsia="宋体" w:cs="宋体"/>
                <w:color w:val="auto"/>
                <w:szCs w:val="21"/>
                <w:highlight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6DD3D3D">
            <w:pPr>
              <w:autoSpaceDE w:val="0"/>
              <w:autoSpaceDN w:val="0"/>
              <w:adjustRightInd w:val="0"/>
              <w:jc w:val="center"/>
              <w:rPr>
                <w:rFonts w:ascii="宋体" w:hAnsi="宋体" w:eastAsia="宋体" w:cs="宋体"/>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9BD9954">
            <w:pPr>
              <w:autoSpaceDE w:val="0"/>
              <w:autoSpaceDN w:val="0"/>
              <w:adjustRightInd w:val="0"/>
              <w:jc w:val="center"/>
              <w:rPr>
                <w:rFonts w:ascii="宋体" w:hAnsi="宋体" w:eastAsia="宋体" w:cs="宋体"/>
                <w:color w:val="auto"/>
                <w:szCs w:val="21"/>
                <w:highlight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445F5E9">
            <w:pPr>
              <w:autoSpaceDE w:val="0"/>
              <w:autoSpaceDN w:val="0"/>
              <w:adjustRightInd w:val="0"/>
              <w:jc w:val="center"/>
              <w:rPr>
                <w:rFonts w:ascii="宋体" w:hAnsi="宋体" w:eastAsia="宋体" w:cs="宋体"/>
                <w:color w:val="auto"/>
                <w:szCs w:val="21"/>
                <w:highlight w:val="none"/>
              </w:rPr>
            </w:pP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938CD02">
            <w:pPr>
              <w:rPr>
                <w:rFonts w:ascii="宋体" w:hAnsi="宋体" w:eastAsia="宋体" w:cs="宋体"/>
                <w:color w:val="auto"/>
                <w:sz w:val="20"/>
                <w:szCs w:val="20"/>
                <w:highlight w:val="none"/>
              </w:rPr>
            </w:pPr>
          </w:p>
        </w:tc>
      </w:tr>
      <w:tr w14:paraId="21F95D52">
        <w:tblPrEx>
          <w:tblCellMar>
            <w:top w:w="0" w:type="dxa"/>
            <w:left w:w="0" w:type="dxa"/>
            <w:bottom w:w="0" w:type="dxa"/>
            <w:right w:w="0" w:type="dxa"/>
          </w:tblCellMar>
        </w:tblPrEx>
        <w:trPr>
          <w:trHeight w:val="38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CE2CAE">
            <w:pPr>
              <w:autoSpaceDE w:val="0"/>
              <w:autoSpaceDN w:val="0"/>
              <w:adjustRightInd w:val="0"/>
              <w:jc w:val="center"/>
              <w:rPr>
                <w:rFonts w:ascii="宋体" w:hAnsi="宋体" w:eastAsia="宋体" w:cs="宋体"/>
                <w:color w:val="auto"/>
                <w:szCs w:val="21"/>
                <w:highlight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AED0425">
            <w:pPr>
              <w:autoSpaceDE w:val="0"/>
              <w:autoSpaceDN w:val="0"/>
              <w:adjustRightInd w:val="0"/>
              <w:jc w:val="center"/>
              <w:rPr>
                <w:rFonts w:ascii="宋体" w:hAnsi="宋体" w:eastAsia="宋体" w:cs="宋体"/>
                <w:color w:val="auto"/>
                <w:szCs w:val="21"/>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5A02709">
            <w:pPr>
              <w:autoSpaceDE w:val="0"/>
              <w:autoSpaceDN w:val="0"/>
              <w:adjustRightInd w:val="0"/>
              <w:jc w:val="center"/>
              <w:rPr>
                <w:rFonts w:ascii="宋体" w:hAnsi="宋体" w:eastAsia="宋体" w:cs="宋体"/>
                <w:color w:val="auto"/>
                <w:szCs w:val="21"/>
                <w:highlight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34D1B22">
            <w:pPr>
              <w:autoSpaceDE w:val="0"/>
              <w:autoSpaceDN w:val="0"/>
              <w:adjustRightInd w:val="0"/>
              <w:jc w:val="center"/>
              <w:rPr>
                <w:rFonts w:ascii="宋体" w:hAnsi="宋体" w:eastAsia="宋体" w:cs="宋体"/>
                <w:color w:val="auto"/>
                <w:szCs w:val="21"/>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90AACB">
            <w:pPr>
              <w:autoSpaceDE w:val="0"/>
              <w:autoSpaceDN w:val="0"/>
              <w:adjustRightInd w:val="0"/>
              <w:jc w:val="center"/>
              <w:rPr>
                <w:rFonts w:ascii="宋体" w:hAnsi="宋体" w:eastAsia="宋体" w:cs="宋体"/>
                <w:color w:val="auto"/>
                <w:szCs w:val="21"/>
                <w:highlight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14DCF2">
            <w:pPr>
              <w:autoSpaceDE w:val="0"/>
              <w:autoSpaceDN w:val="0"/>
              <w:adjustRightInd w:val="0"/>
              <w:jc w:val="center"/>
              <w:rPr>
                <w:rFonts w:ascii="宋体" w:hAnsi="宋体" w:eastAsia="宋体" w:cs="宋体"/>
                <w:color w:val="auto"/>
                <w:szCs w:val="21"/>
                <w:highlight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4464348">
            <w:pPr>
              <w:autoSpaceDE w:val="0"/>
              <w:autoSpaceDN w:val="0"/>
              <w:adjustRightInd w:val="0"/>
              <w:jc w:val="center"/>
              <w:rPr>
                <w:rFonts w:ascii="宋体" w:hAnsi="宋体" w:eastAsia="宋体" w:cs="宋体"/>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B001F88">
            <w:pPr>
              <w:autoSpaceDE w:val="0"/>
              <w:autoSpaceDN w:val="0"/>
              <w:adjustRightInd w:val="0"/>
              <w:jc w:val="center"/>
              <w:rPr>
                <w:rFonts w:ascii="宋体" w:hAnsi="宋体" w:eastAsia="宋体" w:cs="宋体"/>
                <w:color w:val="auto"/>
                <w:szCs w:val="21"/>
                <w:highlight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998082C">
            <w:pPr>
              <w:autoSpaceDE w:val="0"/>
              <w:autoSpaceDN w:val="0"/>
              <w:adjustRightInd w:val="0"/>
              <w:jc w:val="center"/>
              <w:rPr>
                <w:rFonts w:ascii="宋体" w:hAnsi="宋体" w:eastAsia="宋体" w:cs="宋体"/>
                <w:color w:val="auto"/>
                <w:szCs w:val="21"/>
                <w:highlight w:val="none"/>
              </w:rPr>
            </w:pP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DF56FB7">
            <w:pPr>
              <w:rPr>
                <w:rFonts w:ascii="宋体" w:hAnsi="宋体" w:eastAsia="宋体" w:cs="宋体"/>
                <w:color w:val="auto"/>
                <w:sz w:val="20"/>
                <w:szCs w:val="20"/>
                <w:highlight w:val="none"/>
              </w:rPr>
            </w:pPr>
          </w:p>
        </w:tc>
      </w:tr>
      <w:tr w14:paraId="0170E13D">
        <w:tblPrEx>
          <w:tblCellMar>
            <w:top w:w="0" w:type="dxa"/>
            <w:left w:w="0" w:type="dxa"/>
            <w:bottom w:w="0" w:type="dxa"/>
            <w:right w:w="0" w:type="dxa"/>
          </w:tblCellMar>
        </w:tblPrEx>
        <w:trPr>
          <w:trHeight w:val="38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789F374">
            <w:pPr>
              <w:autoSpaceDE w:val="0"/>
              <w:autoSpaceDN w:val="0"/>
              <w:adjustRightInd w:val="0"/>
              <w:jc w:val="center"/>
              <w:rPr>
                <w:rFonts w:ascii="宋体" w:hAnsi="宋体" w:eastAsia="宋体" w:cs="宋体"/>
                <w:color w:val="auto"/>
                <w:szCs w:val="21"/>
                <w:highlight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DA30E7">
            <w:pPr>
              <w:autoSpaceDE w:val="0"/>
              <w:autoSpaceDN w:val="0"/>
              <w:adjustRightInd w:val="0"/>
              <w:jc w:val="center"/>
              <w:rPr>
                <w:rFonts w:ascii="宋体" w:hAnsi="宋体" w:eastAsia="宋体" w:cs="宋体"/>
                <w:color w:val="auto"/>
                <w:szCs w:val="21"/>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4CA2D25">
            <w:pPr>
              <w:autoSpaceDE w:val="0"/>
              <w:autoSpaceDN w:val="0"/>
              <w:adjustRightInd w:val="0"/>
              <w:jc w:val="center"/>
              <w:rPr>
                <w:rFonts w:ascii="宋体" w:hAnsi="宋体" w:eastAsia="宋体" w:cs="宋体"/>
                <w:color w:val="auto"/>
                <w:szCs w:val="21"/>
                <w:highlight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BCC3A3D">
            <w:pPr>
              <w:autoSpaceDE w:val="0"/>
              <w:autoSpaceDN w:val="0"/>
              <w:adjustRightInd w:val="0"/>
              <w:jc w:val="center"/>
              <w:rPr>
                <w:rFonts w:ascii="宋体" w:hAnsi="宋体" w:eastAsia="宋体" w:cs="宋体"/>
                <w:color w:val="auto"/>
                <w:szCs w:val="21"/>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FC69248">
            <w:pPr>
              <w:autoSpaceDE w:val="0"/>
              <w:autoSpaceDN w:val="0"/>
              <w:adjustRightInd w:val="0"/>
              <w:jc w:val="center"/>
              <w:rPr>
                <w:rFonts w:ascii="宋体" w:hAnsi="宋体" w:eastAsia="宋体" w:cs="宋体"/>
                <w:color w:val="auto"/>
                <w:szCs w:val="21"/>
                <w:highlight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1BCC1F7">
            <w:pPr>
              <w:autoSpaceDE w:val="0"/>
              <w:autoSpaceDN w:val="0"/>
              <w:adjustRightInd w:val="0"/>
              <w:jc w:val="center"/>
              <w:rPr>
                <w:rFonts w:ascii="宋体" w:hAnsi="宋体" w:eastAsia="宋体" w:cs="宋体"/>
                <w:color w:val="auto"/>
                <w:szCs w:val="21"/>
                <w:highlight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556A0D">
            <w:pPr>
              <w:autoSpaceDE w:val="0"/>
              <w:autoSpaceDN w:val="0"/>
              <w:adjustRightInd w:val="0"/>
              <w:jc w:val="center"/>
              <w:rPr>
                <w:rFonts w:ascii="宋体" w:hAnsi="宋体" w:eastAsia="宋体" w:cs="宋体"/>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FB3E46F">
            <w:pPr>
              <w:autoSpaceDE w:val="0"/>
              <w:autoSpaceDN w:val="0"/>
              <w:adjustRightInd w:val="0"/>
              <w:jc w:val="center"/>
              <w:rPr>
                <w:rFonts w:ascii="宋体" w:hAnsi="宋体" w:eastAsia="宋体" w:cs="宋体"/>
                <w:color w:val="auto"/>
                <w:szCs w:val="21"/>
                <w:highlight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6C2AFD1">
            <w:pPr>
              <w:autoSpaceDE w:val="0"/>
              <w:autoSpaceDN w:val="0"/>
              <w:adjustRightInd w:val="0"/>
              <w:jc w:val="center"/>
              <w:rPr>
                <w:rFonts w:ascii="宋体" w:hAnsi="宋体" w:eastAsia="宋体" w:cs="宋体"/>
                <w:color w:val="auto"/>
                <w:szCs w:val="21"/>
                <w:highlight w:val="none"/>
              </w:rPr>
            </w:pP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F69E5BC">
            <w:pPr>
              <w:rPr>
                <w:rFonts w:ascii="宋体" w:hAnsi="宋体" w:eastAsia="宋体" w:cs="宋体"/>
                <w:color w:val="auto"/>
                <w:sz w:val="20"/>
                <w:szCs w:val="20"/>
                <w:highlight w:val="none"/>
              </w:rPr>
            </w:pPr>
          </w:p>
        </w:tc>
      </w:tr>
      <w:tr w14:paraId="0DD8D0F8">
        <w:tblPrEx>
          <w:tblCellMar>
            <w:top w:w="0" w:type="dxa"/>
            <w:left w:w="0" w:type="dxa"/>
            <w:bottom w:w="0" w:type="dxa"/>
            <w:right w:w="0" w:type="dxa"/>
          </w:tblCellMar>
        </w:tblPrEx>
        <w:trPr>
          <w:trHeight w:val="383" w:hRule="atLeast"/>
        </w:trPr>
        <w:tc>
          <w:tcPr>
            <w:tcW w:w="61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5755F14">
            <w:pPr>
              <w:autoSpaceDE w:val="0"/>
              <w:autoSpaceDN w:val="0"/>
              <w:adjustRightInd w:val="0"/>
              <w:jc w:val="center"/>
              <w:rPr>
                <w:rFonts w:ascii="宋体" w:hAnsi="宋体" w:eastAsia="宋体" w:cs="宋体"/>
                <w:color w:val="auto"/>
                <w:szCs w:val="21"/>
                <w:highlight w:val="none"/>
              </w:rPr>
            </w:pPr>
          </w:p>
        </w:tc>
        <w:tc>
          <w:tcPr>
            <w:tcW w:w="98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54338E9">
            <w:pPr>
              <w:autoSpaceDE w:val="0"/>
              <w:autoSpaceDN w:val="0"/>
              <w:adjustRightInd w:val="0"/>
              <w:jc w:val="center"/>
              <w:rPr>
                <w:rFonts w:ascii="宋体" w:hAnsi="宋体" w:eastAsia="宋体" w:cs="宋体"/>
                <w:color w:val="auto"/>
                <w:szCs w:val="21"/>
                <w:highlight w:val="none"/>
              </w:rPr>
            </w:pPr>
          </w:p>
        </w:tc>
        <w:tc>
          <w:tcPr>
            <w:tcW w:w="111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DE6E9C5">
            <w:pPr>
              <w:autoSpaceDE w:val="0"/>
              <w:autoSpaceDN w:val="0"/>
              <w:adjustRightInd w:val="0"/>
              <w:jc w:val="center"/>
              <w:rPr>
                <w:rFonts w:ascii="宋体" w:hAnsi="宋体" w:eastAsia="宋体" w:cs="宋体"/>
                <w:color w:val="auto"/>
                <w:szCs w:val="21"/>
                <w:highlight w:val="none"/>
              </w:rPr>
            </w:pPr>
          </w:p>
        </w:tc>
        <w:tc>
          <w:tcPr>
            <w:tcW w:w="954"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01E89F8">
            <w:pPr>
              <w:autoSpaceDE w:val="0"/>
              <w:autoSpaceDN w:val="0"/>
              <w:adjustRightInd w:val="0"/>
              <w:jc w:val="center"/>
              <w:rPr>
                <w:rFonts w:ascii="宋体" w:hAnsi="宋体" w:eastAsia="宋体" w:cs="宋体"/>
                <w:color w:val="auto"/>
                <w:szCs w:val="21"/>
                <w:highlight w:val="none"/>
              </w:rPr>
            </w:pPr>
          </w:p>
        </w:tc>
        <w:tc>
          <w:tcPr>
            <w:tcW w:w="136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38617A5">
            <w:pPr>
              <w:autoSpaceDE w:val="0"/>
              <w:autoSpaceDN w:val="0"/>
              <w:adjustRightInd w:val="0"/>
              <w:jc w:val="center"/>
              <w:rPr>
                <w:rFonts w:ascii="宋体" w:hAnsi="宋体" w:eastAsia="宋体" w:cs="宋体"/>
                <w:color w:val="auto"/>
                <w:szCs w:val="21"/>
                <w:highlight w:val="none"/>
              </w:rPr>
            </w:pPr>
          </w:p>
        </w:tc>
        <w:tc>
          <w:tcPr>
            <w:tcW w:w="1226"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50B3708">
            <w:pPr>
              <w:autoSpaceDE w:val="0"/>
              <w:autoSpaceDN w:val="0"/>
              <w:adjustRightInd w:val="0"/>
              <w:jc w:val="center"/>
              <w:rPr>
                <w:rFonts w:ascii="宋体" w:hAnsi="宋体" w:eastAsia="宋体" w:cs="宋体"/>
                <w:color w:val="auto"/>
                <w:szCs w:val="21"/>
                <w:highlight w:val="none"/>
              </w:rPr>
            </w:pPr>
          </w:p>
        </w:tc>
        <w:tc>
          <w:tcPr>
            <w:tcW w:w="2180"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BEE4AA">
            <w:pPr>
              <w:autoSpaceDE w:val="0"/>
              <w:autoSpaceDN w:val="0"/>
              <w:adjustRightInd w:val="0"/>
              <w:jc w:val="center"/>
              <w:rPr>
                <w:rFonts w:ascii="宋体" w:hAnsi="宋体" w:eastAsia="宋体" w:cs="宋体"/>
                <w:color w:val="auto"/>
                <w:szCs w:val="21"/>
                <w:highlight w:val="none"/>
              </w:rPr>
            </w:pPr>
          </w:p>
        </w:tc>
        <w:tc>
          <w:tcPr>
            <w:tcW w:w="190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1E22AEE">
            <w:pPr>
              <w:autoSpaceDE w:val="0"/>
              <w:autoSpaceDN w:val="0"/>
              <w:adjustRightInd w:val="0"/>
              <w:jc w:val="center"/>
              <w:rPr>
                <w:rFonts w:ascii="宋体" w:hAnsi="宋体" w:eastAsia="宋体" w:cs="宋体"/>
                <w:color w:val="auto"/>
                <w:szCs w:val="21"/>
                <w:highlight w:val="none"/>
              </w:rPr>
            </w:pPr>
          </w:p>
        </w:tc>
        <w:tc>
          <w:tcPr>
            <w:tcW w:w="182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6D6BEAA">
            <w:pPr>
              <w:autoSpaceDE w:val="0"/>
              <w:autoSpaceDN w:val="0"/>
              <w:adjustRightInd w:val="0"/>
              <w:jc w:val="center"/>
              <w:rPr>
                <w:rFonts w:ascii="宋体" w:hAnsi="宋体" w:eastAsia="宋体" w:cs="宋体"/>
                <w:color w:val="auto"/>
                <w:szCs w:val="21"/>
                <w:highlight w:val="none"/>
              </w:rPr>
            </w:pP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7286503">
            <w:pPr>
              <w:rPr>
                <w:rFonts w:ascii="宋体" w:hAnsi="宋体" w:eastAsia="宋体" w:cs="宋体"/>
                <w:color w:val="auto"/>
                <w:sz w:val="20"/>
                <w:szCs w:val="20"/>
                <w:highlight w:val="none"/>
              </w:rPr>
            </w:pPr>
          </w:p>
        </w:tc>
      </w:tr>
      <w:tr w14:paraId="40BE78D5">
        <w:tblPrEx>
          <w:tblCellMar>
            <w:top w:w="0" w:type="dxa"/>
            <w:left w:w="0" w:type="dxa"/>
            <w:bottom w:w="0" w:type="dxa"/>
            <w:right w:w="0" w:type="dxa"/>
          </w:tblCellMar>
        </w:tblPrEx>
        <w:trPr>
          <w:trHeight w:val="383" w:hRule="atLeast"/>
        </w:trPr>
        <w:tc>
          <w:tcPr>
            <w:tcW w:w="1217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E63A29">
            <w:pPr>
              <w:widowControl/>
              <w:autoSpaceDE w:val="0"/>
              <w:autoSpaceDN w:val="0"/>
              <w:adjustRightInd w:val="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工作要求：</w:t>
            </w: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1817D692">
            <w:pPr>
              <w:rPr>
                <w:rFonts w:ascii="宋体" w:hAnsi="宋体" w:eastAsia="宋体" w:cs="宋体"/>
                <w:color w:val="auto"/>
                <w:sz w:val="20"/>
                <w:szCs w:val="20"/>
                <w:highlight w:val="none"/>
              </w:rPr>
            </w:pPr>
          </w:p>
        </w:tc>
      </w:tr>
      <w:tr w14:paraId="1CD726AC">
        <w:tblPrEx>
          <w:tblCellMar>
            <w:top w:w="0" w:type="dxa"/>
            <w:left w:w="0" w:type="dxa"/>
            <w:bottom w:w="0" w:type="dxa"/>
            <w:right w:w="0" w:type="dxa"/>
          </w:tblCellMar>
        </w:tblPrEx>
        <w:trPr>
          <w:trHeight w:val="383" w:hRule="atLeast"/>
        </w:trPr>
        <w:tc>
          <w:tcPr>
            <w:tcW w:w="1217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6E5A3B8E">
            <w:pPr>
              <w:widowControl/>
              <w:autoSpaceDE w:val="0"/>
              <w:autoSpaceDN w:val="0"/>
              <w:adjustRightInd w:val="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1、危险作业前，必须检查作业工具是否完好，做好交底工作。</w:t>
            </w: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7DA1A48C">
            <w:pPr>
              <w:rPr>
                <w:rFonts w:ascii="宋体" w:hAnsi="宋体" w:eastAsia="宋体" w:cs="宋体"/>
                <w:color w:val="auto"/>
                <w:sz w:val="20"/>
                <w:szCs w:val="20"/>
                <w:highlight w:val="none"/>
              </w:rPr>
            </w:pPr>
          </w:p>
        </w:tc>
      </w:tr>
      <w:tr w14:paraId="7538EE83">
        <w:tblPrEx>
          <w:tblCellMar>
            <w:top w:w="0" w:type="dxa"/>
            <w:left w:w="0" w:type="dxa"/>
            <w:bottom w:w="0" w:type="dxa"/>
            <w:right w:w="0" w:type="dxa"/>
          </w:tblCellMar>
        </w:tblPrEx>
        <w:trPr>
          <w:trHeight w:val="383" w:hRule="atLeast"/>
        </w:trPr>
        <w:tc>
          <w:tcPr>
            <w:tcW w:w="12177" w:type="dxa"/>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58647FB2">
            <w:pPr>
              <w:widowControl/>
              <w:autoSpaceDE w:val="0"/>
              <w:autoSpaceDN w:val="0"/>
              <w:adjustRightInd w:val="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2、危险作业时，必须做好安全防护措施（穿戴救生衣、安全带</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绳</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bidi="ar"/>
              </w:rPr>
              <w:t>、水鞋、手套等），需2人</w:t>
            </w:r>
            <w:r>
              <w:rPr>
                <w:rFonts w:hint="eastAsia" w:ascii="宋体" w:hAnsi="宋体" w:eastAsia="宋体" w:cs="宋体"/>
                <w:color w:val="auto"/>
                <w:kern w:val="0"/>
                <w:szCs w:val="21"/>
                <w:highlight w:val="none"/>
                <w:lang w:val="en-US" w:eastAsia="zh-CN" w:bidi="ar"/>
              </w:rPr>
              <w:t>或</w:t>
            </w:r>
            <w:r>
              <w:rPr>
                <w:rFonts w:hint="eastAsia" w:ascii="宋体" w:hAnsi="宋体" w:eastAsia="宋体" w:cs="宋体"/>
                <w:color w:val="auto"/>
                <w:kern w:val="0"/>
                <w:szCs w:val="21"/>
                <w:highlight w:val="none"/>
                <w:lang w:bidi="ar"/>
              </w:rPr>
              <w:t>以上为一组进行协同作业，不能单独作业。</w:t>
            </w: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B96AB1">
            <w:pPr>
              <w:rPr>
                <w:rFonts w:ascii="宋体" w:hAnsi="宋体" w:eastAsia="宋体" w:cs="宋体"/>
                <w:color w:val="auto"/>
                <w:sz w:val="20"/>
                <w:szCs w:val="20"/>
                <w:highlight w:val="none"/>
              </w:rPr>
            </w:pPr>
          </w:p>
        </w:tc>
      </w:tr>
      <w:tr w14:paraId="22484F79">
        <w:tblPrEx>
          <w:tblCellMar>
            <w:top w:w="0" w:type="dxa"/>
            <w:left w:w="0" w:type="dxa"/>
            <w:bottom w:w="0" w:type="dxa"/>
            <w:right w:w="0" w:type="dxa"/>
          </w:tblCellMar>
        </w:tblPrEx>
        <w:trPr>
          <w:trHeight w:val="383" w:hRule="atLeast"/>
        </w:trPr>
        <w:tc>
          <w:tcPr>
            <w:tcW w:w="1217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1ACD9121">
            <w:pPr>
              <w:widowControl/>
              <w:autoSpaceDE w:val="0"/>
              <w:autoSpaceDN w:val="0"/>
              <w:adjustRightInd w:val="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3、危险作业时，清洁主管必须在场。</w:t>
            </w: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01C14A31">
            <w:pPr>
              <w:rPr>
                <w:rFonts w:ascii="宋体" w:hAnsi="宋体" w:eastAsia="宋体" w:cs="宋体"/>
                <w:color w:val="auto"/>
                <w:sz w:val="20"/>
                <w:szCs w:val="20"/>
                <w:highlight w:val="none"/>
              </w:rPr>
            </w:pPr>
          </w:p>
        </w:tc>
      </w:tr>
      <w:tr w14:paraId="72A62E3F">
        <w:tblPrEx>
          <w:tblCellMar>
            <w:top w:w="0" w:type="dxa"/>
            <w:left w:w="0" w:type="dxa"/>
            <w:bottom w:w="0" w:type="dxa"/>
            <w:right w:w="0" w:type="dxa"/>
          </w:tblCellMar>
        </w:tblPrEx>
        <w:trPr>
          <w:trHeight w:val="403" w:hRule="atLeast"/>
        </w:trPr>
        <w:tc>
          <w:tcPr>
            <w:tcW w:w="12177" w:type="dxa"/>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CDCDD48">
            <w:pPr>
              <w:widowControl/>
              <w:autoSpaceDE w:val="0"/>
              <w:autoSpaceDN w:val="0"/>
              <w:adjustRightInd w:val="0"/>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4、阴雨及大雾、暴雨等恶劣天气，禁止下池作业。</w:t>
            </w:r>
          </w:p>
        </w:tc>
        <w:tc>
          <w:tcPr>
            <w:tcW w:w="2203"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44814283">
            <w:pPr>
              <w:rPr>
                <w:rFonts w:ascii="宋体" w:hAnsi="宋体" w:eastAsia="宋体" w:cs="宋体"/>
                <w:color w:val="auto"/>
                <w:sz w:val="20"/>
                <w:szCs w:val="20"/>
                <w:highlight w:val="none"/>
              </w:rPr>
            </w:pPr>
          </w:p>
        </w:tc>
      </w:tr>
    </w:tbl>
    <w:p w14:paraId="50DCEC1C">
      <w:pPr>
        <w:rPr>
          <w:rFonts w:ascii="宋体" w:hAnsi="宋体" w:eastAsia="宋体" w:cs="宋体"/>
          <w:color w:val="auto"/>
          <w:sz w:val="24"/>
          <w:szCs w:val="24"/>
          <w:highlight w:val="none"/>
          <w:lang w:bidi="ar"/>
        </w:rPr>
        <w:sectPr>
          <w:pgSz w:w="16838" w:h="11906" w:orient="landscape"/>
          <w:pgMar w:top="1800" w:right="1440" w:bottom="1800" w:left="1440" w:header="851" w:footer="992" w:gutter="0"/>
          <w:cols w:space="720" w:num="1"/>
          <w:titlePg/>
          <w:docGrid w:type="lines" w:linePitch="312" w:charSpace="0"/>
        </w:sectPr>
      </w:pPr>
    </w:p>
    <w:bookmarkEnd w:id="449"/>
    <w:bookmarkEnd w:id="450"/>
    <w:bookmarkEnd w:id="451"/>
    <w:p w14:paraId="093DFA78">
      <w:pPr>
        <w:pageBreakBefore/>
        <w:tabs>
          <w:tab w:val="left" w:pos="1080"/>
        </w:tabs>
        <w:autoSpaceDE w:val="0"/>
        <w:autoSpaceDN w:val="0"/>
        <w:adjustRightInd w:val="0"/>
        <w:spacing w:line="360" w:lineRule="auto"/>
        <w:ind w:left="357" w:leftChars="-100" w:hanging="567"/>
        <w:jc w:val="center"/>
        <w:outlineLvl w:val="0"/>
        <w:rPr>
          <w:rFonts w:hint="eastAsia" w:ascii="宋体" w:hAnsi="宋体" w:eastAsia="宋体" w:cs="宋体"/>
          <w:b/>
          <w:bCs/>
          <w:color w:val="auto"/>
          <w:kern w:val="44"/>
          <w:sz w:val="32"/>
          <w:szCs w:val="32"/>
          <w:highlight w:val="none"/>
          <w:lang w:val="zh-CN"/>
        </w:rPr>
      </w:pPr>
      <w:bookmarkStart w:id="454" w:name="_Toc450662892"/>
      <w:bookmarkStart w:id="455" w:name="_Toc486167707"/>
      <w:bookmarkStart w:id="456" w:name="_Toc11281_WPSOffice_Level1"/>
      <w:bookmarkStart w:id="457" w:name="_Toc20401"/>
      <w:bookmarkStart w:id="458" w:name="_Toc142508359"/>
      <w:bookmarkStart w:id="459" w:name="_Toc25251"/>
      <w:bookmarkStart w:id="460" w:name="_Toc15247"/>
      <w:r>
        <w:rPr>
          <w:rFonts w:hint="eastAsia" w:ascii="宋体" w:hAnsi="宋体" w:eastAsia="宋体" w:cs="宋体"/>
          <w:b/>
          <w:bCs/>
          <w:color w:val="auto"/>
          <w:kern w:val="44"/>
          <w:sz w:val="32"/>
          <w:szCs w:val="32"/>
          <w:highlight w:val="none"/>
          <w:lang w:val="zh-CN"/>
        </w:rPr>
        <w:t>第四篇 合同条款格式</w:t>
      </w:r>
      <w:bookmarkEnd w:id="454"/>
      <w:bookmarkEnd w:id="455"/>
      <w:bookmarkEnd w:id="456"/>
      <w:bookmarkEnd w:id="457"/>
      <w:bookmarkEnd w:id="458"/>
      <w:bookmarkEnd w:id="459"/>
      <w:bookmarkEnd w:id="460"/>
    </w:p>
    <w:p w14:paraId="7F924B5C">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bookmarkStart w:id="461" w:name="_Toc447045090"/>
      <w:bookmarkStart w:id="462" w:name="_Toc447044479"/>
      <w:bookmarkStart w:id="463" w:name="_Toc512353083"/>
      <w:bookmarkStart w:id="464" w:name="_Toc25564"/>
      <w:bookmarkStart w:id="465" w:name="_Toc24427_WPSOffice_Level1"/>
      <w:bookmarkStart w:id="466" w:name="_Toc30025"/>
      <w:bookmarkStart w:id="467" w:name="_Toc447044603"/>
      <w:bookmarkStart w:id="468" w:name="_Toc12626"/>
      <w:bookmarkStart w:id="469" w:name="_Toc142508360"/>
    </w:p>
    <w:p w14:paraId="78D7A6EF">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59674E5D">
      <w:pPr>
        <w:autoSpaceDE w:val="0"/>
        <w:autoSpaceDN w:val="0"/>
        <w:adjustRightInd w:val="0"/>
        <w:snapToGrid w:val="0"/>
        <w:spacing w:line="360" w:lineRule="auto"/>
        <w:jc w:val="center"/>
        <w:rPr>
          <w:rFonts w:hint="eastAsia" w:ascii="宋体" w:hAnsi="宋体" w:eastAsia="宋体" w:cs="宋体"/>
          <w:color w:val="auto"/>
          <w:kern w:val="0"/>
          <w:sz w:val="24"/>
          <w:szCs w:val="24"/>
          <w:highlight w:val="none"/>
        </w:rPr>
      </w:pPr>
    </w:p>
    <w:p w14:paraId="2BD60AFF">
      <w:pPr>
        <w:autoSpaceDE w:val="0"/>
        <w:autoSpaceDN w:val="0"/>
        <w:adjustRightInd w:val="0"/>
        <w:spacing w:line="360" w:lineRule="auto"/>
        <w:jc w:val="center"/>
        <w:rPr>
          <w:rFonts w:hint="eastAsia" w:ascii="宋体" w:hAnsi="宋体" w:eastAsia="宋体" w:cs="宋体"/>
          <w:b/>
          <w:color w:val="auto"/>
          <w:kern w:val="0"/>
          <w:sz w:val="52"/>
          <w:szCs w:val="96"/>
          <w:highlight w:val="none"/>
          <w:lang w:eastAsia="zh-CN"/>
        </w:rPr>
      </w:pPr>
      <w:r>
        <w:rPr>
          <w:rFonts w:hint="eastAsia" w:ascii="宋体" w:hAnsi="宋体" w:eastAsia="宋体" w:cs="宋体"/>
          <w:b/>
          <w:color w:val="auto"/>
          <w:kern w:val="0"/>
          <w:sz w:val="52"/>
          <w:szCs w:val="96"/>
          <w:highlight w:val="none"/>
          <w:lang w:eastAsia="zh-CN"/>
        </w:rPr>
        <w:t>东莞市水务环境投资控股集团供水有限公司2026-2027年度清洁保洁、绿化养护、除“四害”及灭蚁防治服务采购项目</w:t>
      </w:r>
    </w:p>
    <w:p w14:paraId="68CAD9DF">
      <w:pPr>
        <w:autoSpaceDE w:val="0"/>
        <w:autoSpaceDN w:val="0"/>
        <w:adjustRightInd w:val="0"/>
        <w:spacing w:line="360" w:lineRule="auto"/>
        <w:jc w:val="center"/>
        <w:rPr>
          <w:rFonts w:hint="eastAsia" w:ascii="宋体" w:hAnsi="宋体" w:eastAsia="宋体" w:cs="宋体"/>
          <w:bCs/>
          <w:color w:val="auto"/>
          <w:kern w:val="0"/>
          <w:sz w:val="52"/>
          <w:szCs w:val="52"/>
          <w:highlight w:val="none"/>
        </w:rPr>
      </w:pPr>
    </w:p>
    <w:p w14:paraId="13F22629">
      <w:pPr>
        <w:autoSpaceDE w:val="0"/>
        <w:autoSpaceDN w:val="0"/>
        <w:adjustRightInd w:val="0"/>
        <w:spacing w:before="840" w:beforeLines="350" w:after="360" w:afterLines="150" w:line="360" w:lineRule="auto"/>
        <w:jc w:val="center"/>
        <w:rPr>
          <w:rFonts w:hint="eastAsia" w:ascii="宋体" w:hAnsi="宋体" w:eastAsia="宋体" w:cs="宋体"/>
          <w:b/>
          <w:bCs/>
          <w:color w:val="auto"/>
          <w:spacing w:val="60"/>
          <w:kern w:val="0"/>
          <w:sz w:val="52"/>
          <w:szCs w:val="52"/>
          <w:highlight w:val="none"/>
        </w:rPr>
      </w:pPr>
      <w:r>
        <w:rPr>
          <w:rFonts w:hint="eastAsia" w:ascii="宋体" w:hAnsi="宋体" w:eastAsia="宋体" w:cs="宋体"/>
          <w:b/>
          <w:bCs/>
          <w:color w:val="auto"/>
          <w:spacing w:val="60"/>
          <w:kern w:val="0"/>
          <w:sz w:val="52"/>
          <w:szCs w:val="52"/>
          <w:highlight w:val="none"/>
        </w:rPr>
        <w:t>采购合同</w:t>
      </w:r>
    </w:p>
    <w:p w14:paraId="54176811">
      <w:pPr>
        <w:autoSpaceDE w:val="0"/>
        <w:autoSpaceDN w:val="0"/>
        <w:adjustRightInd w:val="0"/>
        <w:spacing w:line="360" w:lineRule="auto"/>
        <w:jc w:val="center"/>
        <w:rPr>
          <w:rFonts w:hint="eastAsia" w:ascii="宋体" w:hAnsi="宋体" w:eastAsia="宋体" w:cs="宋体"/>
          <w:b/>
          <w:bCs/>
          <w:color w:val="auto"/>
          <w:kern w:val="0"/>
          <w:sz w:val="24"/>
          <w:szCs w:val="21"/>
          <w:highlight w:val="none"/>
        </w:rPr>
      </w:pPr>
      <w:r>
        <w:rPr>
          <w:rFonts w:hint="eastAsia" w:ascii="宋体" w:hAnsi="宋体" w:eastAsia="宋体" w:cs="宋体"/>
          <w:b/>
          <w:bCs/>
          <w:color w:val="auto"/>
          <w:kern w:val="0"/>
          <w:sz w:val="24"/>
          <w:szCs w:val="21"/>
          <w:highlight w:val="none"/>
        </w:rPr>
        <w:t>（合同编号：       ）</w:t>
      </w:r>
    </w:p>
    <w:p w14:paraId="53CAFFE8">
      <w:pPr>
        <w:autoSpaceDE w:val="0"/>
        <w:autoSpaceDN w:val="0"/>
        <w:adjustRightInd w:val="0"/>
        <w:spacing w:line="360" w:lineRule="auto"/>
        <w:jc w:val="left"/>
        <w:rPr>
          <w:rFonts w:hint="eastAsia" w:ascii="宋体" w:hAnsi="宋体" w:eastAsia="宋体" w:cs="宋体"/>
          <w:b/>
          <w:bCs/>
          <w:color w:val="auto"/>
          <w:kern w:val="0"/>
          <w:sz w:val="24"/>
          <w:szCs w:val="21"/>
          <w:highlight w:val="none"/>
        </w:rPr>
      </w:pPr>
    </w:p>
    <w:p w14:paraId="025A64B1">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lang w:eastAsia="zh-CN"/>
        </w:rPr>
      </w:pPr>
      <w:r>
        <w:rPr>
          <w:rFonts w:hint="eastAsia" w:ascii="宋体" w:hAnsi="宋体" w:eastAsia="宋体" w:cs="宋体"/>
          <w:b/>
          <w:bCs/>
          <w:color w:val="auto"/>
          <w:kern w:val="0"/>
          <w:sz w:val="28"/>
          <w:szCs w:val="28"/>
          <w:highlight w:val="none"/>
        </w:rPr>
        <w:t>甲方：</w:t>
      </w:r>
      <w:r>
        <w:rPr>
          <w:rFonts w:hint="eastAsia" w:ascii="宋体" w:hAnsi="宋体" w:eastAsia="宋体" w:cs="宋体"/>
          <w:b/>
          <w:bCs/>
          <w:color w:val="auto"/>
          <w:kern w:val="0"/>
          <w:sz w:val="28"/>
          <w:szCs w:val="28"/>
          <w:highlight w:val="none"/>
          <w:u w:val="single"/>
        </w:rPr>
        <w:t xml:space="preserve">                          </w:t>
      </w:r>
    </w:p>
    <w:p w14:paraId="25D7F37E">
      <w:pPr>
        <w:autoSpaceDE w:val="0"/>
        <w:autoSpaceDN w:val="0"/>
        <w:adjustRightInd w:val="0"/>
        <w:spacing w:line="480" w:lineRule="auto"/>
        <w:ind w:firstLine="1102" w:firstLineChars="392"/>
        <w:jc w:val="left"/>
        <w:rPr>
          <w:rFonts w:hint="eastAsia" w:ascii="宋体" w:hAnsi="宋体" w:eastAsia="宋体" w:cs="宋体"/>
          <w:b/>
          <w:bCs/>
          <w:color w:val="auto"/>
          <w:kern w:val="0"/>
          <w:sz w:val="28"/>
          <w:szCs w:val="28"/>
          <w:highlight w:val="none"/>
          <w:u w:val="single"/>
          <w:lang w:val="en-US" w:eastAsia="zh-CN"/>
        </w:rPr>
      </w:pPr>
      <w:r>
        <w:rPr>
          <w:rFonts w:hint="eastAsia" w:ascii="宋体" w:hAnsi="宋体" w:eastAsia="宋体" w:cs="宋体"/>
          <w:b/>
          <w:bCs/>
          <w:color w:val="auto"/>
          <w:kern w:val="0"/>
          <w:sz w:val="28"/>
          <w:szCs w:val="28"/>
          <w:highlight w:val="none"/>
        </w:rPr>
        <w:t>乙方：</w:t>
      </w:r>
      <w:r>
        <w:rPr>
          <w:rFonts w:hint="eastAsia" w:ascii="宋体" w:hAnsi="宋体" w:eastAsia="宋体" w:cs="宋体"/>
          <w:b/>
          <w:bCs/>
          <w:color w:val="auto"/>
          <w:kern w:val="0"/>
          <w:sz w:val="28"/>
          <w:szCs w:val="28"/>
          <w:highlight w:val="none"/>
          <w:u w:val="single"/>
        </w:rPr>
        <w:t xml:space="preserve">                          </w:t>
      </w:r>
      <w:r>
        <w:rPr>
          <w:rFonts w:hint="eastAsia" w:ascii="宋体" w:hAnsi="宋体" w:eastAsia="宋体" w:cs="宋体"/>
          <w:b/>
          <w:bCs/>
          <w:color w:val="auto"/>
          <w:kern w:val="0"/>
          <w:sz w:val="28"/>
          <w:szCs w:val="28"/>
          <w:highlight w:val="none"/>
          <w:u w:val="single"/>
          <w:lang w:val="en-US" w:eastAsia="zh-CN"/>
        </w:rPr>
        <w:t xml:space="preserve"> </w:t>
      </w:r>
    </w:p>
    <w:p w14:paraId="0107A994">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p>
    <w:p w14:paraId="7ADB05B3">
      <w:pPr>
        <w:autoSpaceDE w:val="0"/>
        <w:autoSpaceDN w:val="0"/>
        <w:adjustRightInd w:val="0"/>
        <w:spacing w:line="360" w:lineRule="auto"/>
        <w:ind w:firstLine="1102" w:firstLineChars="392"/>
        <w:jc w:val="left"/>
        <w:rPr>
          <w:rFonts w:hint="eastAsia" w:ascii="宋体" w:hAnsi="宋体" w:eastAsia="宋体" w:cs="宋体"/>
          <w:b/>
          <w:bCs/>
          <w:color w:val="auto"/>
          <w:kern w:val="0"/>
          <w:sz w:val="28"/>
          <w:szCs w:val="28"/>
          <w:highlight w:val="none"/>
        </w:rPr>
      </w:pPr>
      <w:r>
        <w:rPr>
          <w:rFonts w:hint="eastAsia" w:ascii="宋体" w:hAnsi="宋体" w:eastAsia="宋体" w:cs="宋体"/>
          <w:b/>
          <w:bCs/>
          <w:color w:val="auto"/>
          <w:kern w:val="0"/>
          <w:sz w:val="28"/>
          <w:szCs w:val="28"/>
          <w:highlight w:val="none"/>
        </w:rPr>
        <w:t>签订日期：   年   月   日</w:t>
      </w:r>
    </w:p>
    <w:p w14:paraId="437AA800">
      <w:pP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45262682">
      <w:pPr>
        <w:spacing w:line="360" w:lineRule="auto"/>
        <w:ind w:left="-210" w:firstLine="10" w:firstLineChars="0"/>
        <w:jc w:val="center"/>
        <w:rPr>
          <w:rFonts w:hint="eastAsia" w:ascii="宋体" w:hAnsi="宋体" w:eastAsia="宋体" w:cs="宋体"/>
          <w:b/>
          <w:bCs/>
          <w:color w:val="auto"/>
          <w:szCs w:val="21"/>
          <w:highlight w:val="none"/>
        </w:rPr>
      </w:pPr>
      <w:r>
        <w:rPr>
          <w:rFonts w:hint="eastAsia" w:ascii="宋体" w:hAnsi="宋体" w:eastAsia="宋体" w:cs="宋体"/>
          <w:b/>
          <w:sz w:val="32"/>
          <w:szCs w:val="32"/>
          <w:highlight w:val="none"/>
        </w:rPr>
        <w:t>东莞市水务环境投资控股集团供水有限公司2026-2027年度清洁保洁、绿化养护、除“四害”及灭蚁防治服务采购项目合同</w:t>
      </w:r>
    </w:p>
    <w:p w14:paraId="01D9F563">
      <w:pPr>
        <w:spacing w:line="360" w:lineRule="auto"/>
        <w:ind w:left="-210" w:firstLine="10" w:firstLineChars="0"/>
        <w:rPr>
          <w:rFonts w:hint="eastAsia" w:ascii="宋体" w:hAnsi="宋体" w:eastAsia="宋体" w:cs="宋体"/>
          <w:b/>
          <w:bCs/>
          <w:color w:val="auto"/>
          <w:szCs w:val="21"/>
          <w:highlight w:val="none"/>
        </w:rPr>
      </w:pPr>
    </w:p>
    <w:p w14:paraId="60BD1EFF">
      <w:pPr>
        <w:pStyle w:val="33"/>
        <w:spacing w:before="0" w:after="0" w:line="360" w:lineRule="auto"/>
        <w:rPr>
          <w:rFonts w:hint="eastAsia" w:eastAsia="宋体" w:cs="宋体"/>
          <w:sz w:val="21"/>
          <w:szCs w:val="21"/>
          <w:highlight w:val="none"/>
          <w:lang w:eastAsia="zh-CN"/>
        </w:rPr>
      </w:pPr>
      <w:r>
        <w:rPr>
          <w:rFonts w:hint="eastAsia" w:eastAsia="宋体" w:cs="宋体"/>
          <w:sz w:val="21"/>
          <w:szCs w:val="21"/>
          <w:highlight w:val="none"/>
        </w:rPr>
        <w:t>甲方：</w:t>
      </w:r>
      <w:r>
        <w:rPr>
          <w:rFonts w:hint="eastAsia" w:eastAsia="宋体" w:cs="宋体"/>
          <w:sz w:val="21"/>
          <w:szCs w:val="21"/>
          <w:highlight w:val="none"/>
          <w:lang w:eastAsia="zh-CN"/>
        </w:rPr>
        <w:t>东莞市水务环境投资控股集团供水有限公司</w:t>
      </w:r>
    </w:p>
    <w:p w14:paraId="77E59850">
      <w:pPr>
        <w:pStyle w:val="33"/>
        <w:spacing w:before="0" w:after="0" w:line="360" w:lineRule="auto"/>
        <w:rPr>
          <w:rFonts w:eastAsia="宋体" w:cs="宋体"/>
          <w:sz w:val="21"/>
          <w:szCs w:val="21"/>
          <w:highlight w:val="none"/>
        </w:rPr>
      </w:pPr>
      <w:r>
        <w:rPr>
          <w:rFonts w:hint="eastAsia" w:eastAsia="宋体" w:cs="宋体"/>
          <w:sz w:val="21"/>
          <w:szCs w:val="21"/>
          <w:highlight w:val="none"/>
        </w:rPr>
        <w:t>乙方：</w:t>
      </w:r>
    </w:p>
    <w:p w14:paraId="7AF70C5F">
      <w:pPr>
        <w:pStyle w:val="33"/>
        <w:spacing w:before="0" w:beforeAutospacing="0" w:after="0" w:afterAutospacing="0" w:line="360" w:lineRule="auto"/>
        <w:ind w:firstLine="420" w:firstLineChars="200"/>
        <w:rPr>
          <w:rFonts w:eastAsia="宋体" w:cs="宋体"/>
          <w:sz w:val="21"/>
          <w:szCs w:val="21"/>
          <w:highlight w:val="none"/>
        </w:rPr>
      </w:pPr>
      <w:r>
        <w:rPr>
          <w:rFonts w:hint="eastAsia" w:eastAsia="宋体" w:cs="宋体"/>
          <w:sz w:val="21"/>
          <w:szCs w:val="21"/>
          <w:highlight w:val="none"/>
        </w:rPr>
        <w:t>根据《中华人民共和国民法典》及</w:t>
      </w:r>
      <w:r>
        <w:rPr>
          <w:rFonts w:hint="eastAsia" w:eastAsia="宋体" w:cs="宋体"/>
          <w:sz w:val="21"/>
          <w:szCs w:val="21"/>
          <w:highlight w:val="none"/>
          <w:u w:val="single"/>
        </w:rPr>
        <w:t xml:space="preserve">   </w:t>
      </w:r>
      <w:r>
        <w:rPr>
          <w:rFonts w:hint="eastAsia" w:eastAsia="宋体" w:cs="宋体"/>
          <w:sz w:val="21"/>
          <w:szCs w:val="21"/>
          <w:highlight w:val="none"/>
        </w:rPr>
        <w:t>年</w:t>
      </w:r>
      <w:r>
        <w:rPr>
          <w:rFonts w:hint="eastAsia" w:eastAsia="宋体" w:cs="宋体"/>
          <w:sz w:val="21"/>
          <w:szCs w:val="21"/>
          <w:highlight w:val="none"/>
          <w:u w:val="single"/>
        </w:rPr>
        <w:t xml:space="preserve">   </w:t>
      </w:r>
      <w:r>
        <w:rPr>
          <w:rFonts w:hint="eastAsia" w:eastAsia="宋体" w:cs="宋体"/>
          <w:sz w:val="21"/>
          <w:szCs w:val="21"/>
          <w:highlight w:val="none"/>
        </w:rPr>
        <w:t>月</w:t>
      </w:r>
      <w:r>
        <w:rPr>
          <w:rFonts w:hint="eastAsia" w:eastAsia="宋体" w:cs="宋体"/>
          <w:sz w:val="21"/>
          <w:szCs w:val="21"/>
          <w:highlight w:val="none"/>
          <w:u w:val="single"/>
        </w:rPr>
        <w:t xml:space="preserve">   </w:t>
      </w:r>
      <w:r>
        <w:rPr>
          <w:rFonts w:hint="eastAsia" w:eastAsia="宋体" w:cs="宋体"/>
          <w:sz w:val="21"/>
          <w:szCs w:val="21"/>
          <w:highlight w:val="none"/>
        </w:rPr>
        <w:t>日通知的</w:t>
      </w:r>
      <w:r>
        <w:rPr>
          <w:rFonts w:hint="eastAsia" w:eastAsia="宋体" w:cs="宋体"/>
          <w:sz w:val="21"/>
          <w:szCs w:val="21"/>
          <w:highlight w:val="none"/>
          <w:u w:val="single"/>
        </w:rPr>
        <w:t xml:space="preserve">     </w:t>
      </w:r>
      <w:r>
        <w:rPr>
          <w:rFonts w:hint="eastAsia" w:eastAsia="宋体" w:cs="宋体"/>
          <w:sz w:val="21"/>
          <w:szCs w:val="21"/>
          <w:highlight w:val="none"/>
        </w:rPr>
        <w:t>项目中标结果（招标编号：</w:t>
      </w:r>
      <w:r>
        <w:rPr>
          <w:rFonts w:hint="eastAsia" w:eastAsia="宋体" w:cs="宋体"/>
          <w:sz w:val="21"/>
          <w:szCs w:val="21"/>
          <w:highlight w:val="none"/>
          <w:u w:val="single"/>
        </w:rPr>
        <w:t xml:space="preserve"> </w:t>
      </w:r>
      <w:r>
        <w:rPr>
          <w:rFonts w:hint="eastAsia" w:eastAsia="宋体" w:cs="宋体"/>
          <w:sz w:val="21"/>
          <w:szCs w:val="21"/>
          <w:highlight w:val="none"/>
          <w:u w:val="single"/>
          <w:lang w:eastAsia="zh-CN"/>
        </w:rPr>
        <w:t xml:space="preserve">        </w:t>
      </w:r>
      <w:r>
        <w:rPr>
          <w:rFonts w:hint="eastAsia" w:eastAsia="宋体" w:cs="宋体"/>
          <w:sz w:val="21"/>
          <w:szCs w:val="21"/>
          <w:highlight w:val="none"/>
          <w:u w:val="single"/>
        </w:rPr>
        <w:t xml:space="preserve"> </w:t>
      </w:r>
      <w:r>
        <w:rPr>
          <w:rFonts w:hint="eastAsia" w:eastAsia="宋体" w:cs="宋体"/>
          <w:sz w:val="21"/>
          <w:szCs w:val="21"/>
          <w:highlight w:val="none"/>
        </w:rPr>
        <w:t>）和招标文件的要求，经双方协商一致，签订本合同。</w:t>
      </w:r>
    </w:p>
    <w:p w14:paraId="195AEF2E">
      <w:pPr>
        <w:pStyle w:val="33"/>
        <w:spacing w:before="0" w:beforeAutospacing="0" w:after="0" w:afterAutospacing="0" w:line="360" w:lineRule="auto"/>
        <w:outlineLvl w:val="1"/>
        <w:rPr>
          <w:rFonts w:eastAsia="宋体" w:cs="宋体"/>
          <w:b/>
          <w:bCs/>
          <w:sz w:val="21"/>
          <w:szCs w:val="21"/>
          <w:highlight w:val="none"/>
        </w:rPr>
      </w:pPr>
      <w:r>
        <w:rPr>
          <w:rFonts w:hint="eastAsia" w:eastAsia="宋体" w:cs="宋体"/>
          <w:b/>
          <w:bCs/>
          <w:sz w:val="21"/>
          <w:szCs w:val="21"/>
          <w:highlight w:val="none"/>
        </w:rPr>
        <w:t>一、服务内容</w:t>
      </w:r>
    </w:p>
    <w:p w14:paraId="5809E3B2">
      <w:pPr>
        <w:pStyle w:val="33"/>
        <w:keepNext w:val="0"/>
        <w:keepLines w:val="0"/>
        <w:pageBreakBefore w:val="0"/>
        <w:widowControl/>
        <w:kinsoku/>
        <w:wordWrap/>
        <w:overflowPunct/>
        <w:topLinePunct w:val="0"/>
        <w:bidi w:val="0"/>
        <w:adjustRightInd/>
        <w:snapToGrid/>
        <w:spacing w:before="0" w:beforeAutospacing="0" w:after="0" w:afterAutospacing="0" w:line="360" w:lineRule="auto"/>
        <w:ind w:firstLine="420" w:firstLineChars="200"/>
        <w:textAlignment w:val="auto"/>
        <w:rPr>
          <w:rFonts w:eastAsia="宋体" w:cs="宋体"/>
          <w:sz w:val="21"/>
          <w:szCs w:val="21"/>
          <w:highlight w:val="none"/>
        </w:rPr>
      </w:pPr>
      <w:r>
        <w:rPr>
          <w:rFonts w:hint="eastAsia" w:eastAsia="宋体" w:cs="宋体"/>
          <w:sz w:val="21"/>
          <w:szCs w:val="21"/>
          <w:highlight w:val="none"/>
        </w:rPr>
        <w:t>乙方向甲方提供清洁保洁、绿化养护、除“四害”及灭蚁防治服务。其中：清洁保洁服务内容主要包括室内行政办公区（含办公楼、宿舍、食堂等）清洁保洁，道路清扫（含大院、停车场、运动场等），生产车间保洁，构筑物清扫冲洗，擦池、池体水面垃圾、生活生产垃圾清除、标识标牌清洁等；绿化养护服务内容主要包括办公区、厂区、取水泵房、加压站等绿植的日常养护、绿地保洁、绿化设施的日常维护清洁、乔木修剪等；除“四害”及灭蚁防治服务内容主要包括办公和生产区域灭蚊子、苍蝇、蟑螂、老鼠及白蚁等工作。每月具体服务范围概况如下：</w:t>
      </w:r>
    </w:p>
    <w:p w14:paraId="6D8E607B">
      <w:pPr>
        <w:keepNext w:val="0"/>
        <w:keepLines w:val="0"/>
        <w:pageBreakBefore w:val="0"/>
        <w:widowControl/>
        <w:kinsoku/>
        <w:wordWrap/>
        <w:overflowPunct/>
        <w:topLinePunct w:val="0"/>
        <w:autoSpaceDE w:val="0"/>
        <w:autoSpaceDN w:val="0"/>
        <w:bidi w:val="0"/>
        <w:adjustRightInd/>
        <w:snapToGrid/>
        <w:spacing w:line="360" w:lineRule="auto"/>
        <w:ind w:firstLine="422" w:firstLineChars="200"/>
        <w:jc w:val="left"/>
        <w:textAlignment w:val="auto"/>
        <w:rPr>
          <w:rFonts w:ascii="宋体" w:hAnsi="宋体" w:eastAsia="宋体" w:cs="宋体"/>
          <w:szCs w:val="21"/>
          <w:highlight w:val="none"/>
        </w:rPr>
      </w:pPr>
      <w:r>
        <w:rPr>
          <w:rFonts w:hint="eastAsia" w:ascii="宋体" w:hAnsi="宋体" w:eastAsia="宋体" w:cs="宋体"/>
          <w:b/>
          <w:bCs/>
          <w:kern w:val="0"/>
          <w:szCs w:val="21"/>
          <w:highlight w:val="none"/>
          <w:lang w:bidi="ar"/>
        </w:rPr>
        <w:t>（一）采购内容：</w:t>
      </w:r>
      <w:r>
        <w:rPr>
          <w:rFonts w:hint="eastAsia" w:ascii="宋体" w:hAnsi="宋体" w:eastAsia="宋体" w:cs="宋体"/>
          <w:b w:val="0"/>
          <w:bCs w:val="0"/>
          <w:kern w:val="0"/>
          <w:szCs w:val="21"/>
          <w:highlight w:val="none"/>
          <w:lang w:val="en-US" w:eastAsia="zh-CN" w:bidi="ar"/>
        </w:rPr>
        <w:t>甲方</w:t>
      </w:r>
      <w:r>
        <w:rPr>
          <w:rFonts w:hint="eastAsia" w:ascii="宋体" w:hAnsi="宋体" w:eastAsia="宋体" w:cs="宋体"/>
          <w:b w:val="0"/>
          <w:bCs w:val="0"/>
          <w:kern w:val="0"/>
          <w:szCs w:val="21"/>
          <w:highlight w:val="none"/>
          <w:lang w:bidi="ar"/>
        </w:rPr>
        <w:t>供水厂及配套设施（含泵房、加压站等）、各属地分公司办公楼（含营业厅）等合共71个服务点需采购清洁保洁服务，预计服务面积877559.</w:t>
      </w:r>
      <w:r>
        <w:rPr>
          <w:rFonts w:hint="eastAsia" w:ascii="宋体" w:hAnsi="宋体" w:eastAsia="宋体" w:cs="宋体"/>
          <w:b w:val="0"/>
          <w:bCs w:val="0"/>
          <w:kern w:val="0"/>
          <w:szCs w:val="21"/>
          <w:highlight w:val="none"/>
          <w:lang w:val="en-US" w:eastAsia="zh-CN" w:bidi="ar"/>
        </w:rPr>
        <w:t>37</w:t>
      </w:r>
      <w:r>
        <w:rPr>
          <w:rFonts w:hint="eastAsia" w:ascii="宋体" w:hAnsi="宋体" w:eastAsia="宋体" w:cs="宋体"/>
          <w:b w:val="0"/>
          <w:bCs w:val="0"/>
          <w:kern w:val="0"/>
          <w:szCs w:val="21"/>
          <w:highlight w:val="none"/>
          <w:lang w:bidi="ar"/>
        </w:rPr>
        <w:t>平方米；43个服务点需采购绿化养护服务，预计服务面积629892.37平方米；75个服务点需采购除“四害”及灭蚁防治服务，预计服务面积1327850.33平方米。</w:t>
      </w:r>
    </w:p>
    <w:p w14:paraId="7CDF9410">
      <w:pPr>
        <w:keepNext w:val="0"/>
        <w:keepLines w:val="0"/>
        <w:pageBreakBefore w:val="0"/>
        <w:widowControl/>
        <w:kinsoku/>
        <w:wordWrap/>
        <w:overflowPunct/>
        <w:topLinePunct w:val="0"/>
        <w:autoSpaceDE w:val="0"/>
        <w:autoSpaceDN w:val="0"/>
        <w:bidi w:val="0"/>
        <w:adjustRightInd/>
        <w:snapToGrid/>
        <w:spacing w:line="360" w:lineRule="auto"/>
        <w:ind w:firstLine="422" w:firstLineChars="200"/>
        <w:jc w:val="left"/>
        <w:textAlignment w:val="auto"/>
        <w:rPr>
          <w:rFonts w:ascii="宋体" w:hAnsi="宋体" w:eastAsia="宋体" w:cs="宋体"/>
          <w:szCs w:val="21"/>
          <w:highlight w:val="none"/>
        </w:rPr>
      </w:pPr>
      <w:r>
        <w:rPr>
          <w:rFonts w:hint="eastAsia" w:ascii="宋体" w:hAnsi="宋体" w:eastAsia="宋体" w:cs="宋体"/>
          <w:b/>
          <w:bCs/>
          <w:kern w:val="0"/>
          <w:szCs w:val="21"/>
          <w:highlight w:val="none"/>
          <w:lang w:bidi="ar"/>
        </w:rPr>
        <w:t>（二）服务地点：</w:t>
      </w:r>
      <w:r>
        <w:rPr>
          <w:rFonts w:hint="eastAsia" w:ascii="宋体" w:hAnsi="宋体" w:eastAsia="宋体" w:cs="宋体"/>
          <w:kern w:val="0"/>
          <w:szCs w:val="21"/>
          <w:highlight w:val="none"/>
          <w:lang w:bidi="ar"/>
        </w:rPr>
        <w:t>东莞市辖区内，</w:t>
      </w:r>
      <w:r>
        <w:rPr>
          <w:rFonts w:hint="eastAsia" w:ascii="宋体" w:hAnsi="宋体" w:eastAsia="宋体" w:cs="宋体"/>
          <w:kern w:val="0"/>
          <w:szCs w:val="21"/>
          <w:highlight w:val="none"/>
          <w:lang w:val="en-US" w:eastAsia="zh-CN" w:bidi="ar"/>
        </w:rPr>
        <w:t>各服务点</w:t>
      </w:r>
      <w:r>
        <w:rPr>
          <w:rFonts w:hint="eastAsia" w:ascii="宋体" w:hAnsi="宋体" w:eastAsia="宋体" w:cs="宋体"/>
          <w:kern w:val="0"/>
          <w:szCs w:val="21"/>
          <w:highlight w:val="none"/>
          <w:lang w:bidi="ar"/>
        </w:rPr>
        <w:t>所在地，详见</w:t>
      </w:r>
      <w:r>
        <w:rPr>
          <w:rFonts w:hint="eastAsia" w:ascii="宋体" w:hAnsi="宋体" w:eastAsia="宋体" w:cs="宋体"/>
          <w:kern w:val="0"/>
          <w:szCs w:val="21"/>
          <w:highlight w:val="none"/>
          <w:lang w:val="en-US" w:eastAsia="zh-CN" w:bidi="ar"/>
        </w:rPr>
        <w:t>表1和表2</w:t>
      </w:r>
    </w:p>
    <w:p w14:paraId="069CE8E1">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val="en-US" w:eastAsia="zh-CN" w:bidi="ar"/>
        </w:rPr>
        <w:t>表1-</w:t>
      </w:r>
      <w:r>
        <w:rPr>
          <w:rFonts w:hint="eastAsia" w:ascii="宋体" w:hAnsi="宋体" w:eastAsia="宋体" w:cs="宋体"/>
          <w:kern w:val="0"/>
          <w:szCs w:val="21"/>
          <w:highlight w:val="none"/>
          <w:lang w:bidi="ar"/>
        </w:rPr>
        <w:t>生产性质（责任单位：制水分公司）</w:t>
      </w:r>
    </w:p>
    <w:tbl>
      <w:tblPr>
        <w:tblStyle w:val="37"/>
        <w:tblW w:w="5368"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72"/>
        <w:gridCol w:w="863"/>
        <w:gridCol w:w="1176"/>
        <w:gridCol w:w="1163"/>
        <w:gridCol w:w="1164"/>
        <w:gridCol w:w="1138"/>
        <w:gridCol w:w="1063"/>
        <w:gridCol w:w="1088"/>
        <w:gridCol w:w="1151"/>
        <w:gridCol w:w="1419"/>
      </w:tblGrid>
      <w:tr w14:paraId="2B0E3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jc w:val="center"/>
        </w:trPr>
        <w:tc>
          <w:tcPr>
            <w:tcW w:w="22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CF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4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EB83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场所名称</w:t>
            </w:r>
          </w:p>
        </w:tc>
        <w:tc>
          <w:tcPr>
            <w:tcW w:w="2666"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43C99A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清洁保洁工程量</w:t>
            </w:r>
          </w:p>
        </w:tc>
        <w:tc>
          <w:tcPr>
            <w:tcW w:w="50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AE8E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绿化养护面积（㎡）</w:t>
            </w:r>
          </w:p>
        </w:tc>
        <w:tc>
          <w:tcPr>
            <w:tcW w:w="53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6F046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除“四害”及白蚁防治服务（㎡）</w:t>
            </w:r>
          </w:p>
        </w:tc>
        <w:tc>
          <w:tcPr>
            <w:tcW w:w="663" w:type="pct"/>
            <w:vMerge w:val="restart"/>
            <w:tcBorders>
              <w:top w:val="single" w:color="000000" w:sz="4" w:space="0"/>
              <w:left w:val="single" w:color="000000" w:sz="4" w:space="0"/>
              <w:right w:val="single" w:color="000000" w:sz="4" w:space="0"/>
            </w:tcBorders>
            <w:shd w:val="clear" w:color="auto" w:fill="auto"/>
            <w:vAlign w:val="center"/>
          </w:tcPr>
          <w:p w14:paraId="4871FA81">
            <w:pPr>
              <w:keepNext w:val="0"/>
              <w:keepLines w:val="0"/>
              <w:widowControl/>
              <w:suppressLineNumbers w:val="0"/>
              <w:jc w:val="center"/>
              <w:textAlignment w:val="center"/>
              <w:rPr>
                <w:rFonts w:hint="default"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备注</w:t>
            </w:r>
          </w:p>
        </w:tc>
      </w:tr>
      <w:tr w14:paraId="4231A19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jc w:val="center"/>
        </w:trPr>
        <w:tc>
          <w:tcPr>
            <w:tcW w:w="22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8D46F7">
            <w:pPr>
              <w:jc w:val="center"/>
              <w:rPr>
                <w:rFonts w:hint="eastAsia" w:ascii="宋体" w:hAnsi="宋体" w:eastAsia="宋体" w:cs="宋体"/>
                <w:i w:val="0"/>
                <w:iCs w:val="0"/>
                <w:color w:val="000000"/>
                <w:sz w:val="21"/>
                <w:szCs w:val="21"/>
                <w:highlight w:val="none"/>
                <w:u w:val="none"/>
              </w:rPr>
            </w:pPr>
          </w:p>
        </w:tc>
        <w:tc>
          <w:tcPr>
            <w:tcW w:w="4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36E66C">
            <w:pPr>
              <w:jc w:val="center"/>
              <w:rPr>
                <w:rFonts w:hint="eastAsia" w:ascii="宋体" w:hAnsi="宋体" w:eastAsia="宋体" w:cs="宋体"/>
                <w:i w:val="0"/>
                <w:iCs w:val="0"/>
                <w:color w:val="000000"/>
                <w:sz w:val="21"/>
                <w:szCs w:val="21"/>
                <w:highlight w:val="none"/>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147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室内行政办公区面积（含宿舍、食堂面积，㎡）</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D3D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室外面积（含停车场、运动场，㎡）</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98C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生产车间地面面积（㎡）</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57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水面清洁面积（㎡）</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9DBF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池壁清洁面积（㎡）</w:t>
            </w:r>
          </w:p>
        </w:tc>
        <w:tc>
          <w:tcPr>
            <w:tcW w:w="50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EA19CA">
            <w:pPr>
              <w:jc w:val="center"/>
              <w:rPr>
                <w:rFonts w:hint="eastAsia" w:ascii="宋体" w:hAnsi="宋体" w:eastAsia="宋体" w:cs="宋体"/>
                <w:i w:val="0"/>
                <w:iCs w:val="0"/>
                <w:color w:val="000000"/>
                <w:sz w:val="21"/>
                <w:szCs w:val="21"/>
                <w:highlight w:val="none"/>
                <w:u w:val="none"/>
              </w:rPr>
            </w:pPr>
          </w:p>
        </w:tc>
        <w:tc>
          <w:tcPr>
            <w:tcW w:w="53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D7544A4">
            <w:pPr>
              <w:jc w:val="center"/>
              <w:rPr>
                <w:rFonts w:hint="eastAsia" w:ascii="宋体" w:hAnsi="宋体" w:eastAsia="宋体" w:cs="宋体"/>
                <w:i w:val="0"/>
                <w:iCs w:val="0"/>
                <w:color w:val="000000"/>
                <w:sz w:val="21"/>
                <w:szCs w:val="21"/>
                <w:highlight w:val="none"/>
                <w:u w:val="none"/>
              </w:rPr>
            </w:pPr>
          </w:p>
        </w:tc>
        <w:tc>
          <w:tcPr>
            <w:tcW w:w="663" w:type="pct"/>
            <w:vMerge w:val="continue"/>
            <w:tcBorders>
              <w:left w:val="single" w:color="000000" w:sz="4" w:space="0"/>
              <w:bottom w:val="single" w:color="000000" w:sz="4" w:space="0"/>
              <w:right w:val="single" w:color="000000" w:sz="4" w:space="0"/>
            </w:tcBorders>
            <w:shd w:val="clear" w:color="auto" w:fill="auto"/>
            <w:vAlign w:val="center"/>
          </w:tcPr>
          <w:p w14:paraId="34779C16">
            <w:pPr>
              <w:jc w:val="center"/>
              <w:rPr>
                <w:rFonts w:hint="eastAsia" w:ascii="宋体" w:hAnsi="宋体" w:eastAsia="宋体" w:cs="宋体"/>
                <w:i w:val="0"/>
                <w:iCs w:val="0"/>
                <w:color w:val="000000"/>
                <w:sz w:val="21"/>
                <w:szCs w:val="21"/>
                <w:highlight w:val="none"/>
                <w:u w:val="none"/>
              </w:rPr>
            </w:pPr>
          </w:p>
        </w:tc>
      </w:tr>
      <w:tr w14:paraId="3526925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80B2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08D47">
            <w:pPr>
              <w:widowControl/>
              <w:jc w:val="center"/>
              <w:textAlignment w:val="center"/>
              <w:rPr>
                <w:rFonts w:hint="eastAsia"/>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制水分公司</w:t>
            </w:r>
          </w:p>
          <w:p w14:paraId="5DDC3E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市第二水厂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FB3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0C45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03CC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4765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F2C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AC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4282.00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A74E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24000.00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ED02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B7229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333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A1DBF">
            <w:pPr>
              <w:widowControl/>
              <w:jc w:val="center"/>
              <w:textAlignment w:val="center"/>
              <w:rPr>
                <w:rFonts w:hint="eastAsia"/>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制水分公司</w:t>
            </w:r>
          </w:p>
          <w:p w14:paraId="5917DCD5">
            <w:pPr>
              <w:widowControl/>
              <w:jc w:val="center"/>
              <w:textAlignment w:val="center"/>
              <w:rPr>
                <w:rFonts w:hint="eastAsia"/>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市第二水厂</w:t>
            </w:r>
          </w:p>
          <w:p w14:paraId="04641E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（取水泵房）</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99D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D227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3568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237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B72D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412E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810C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2635.00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06DC9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27B71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CDA8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AFBAE">
            <w:pPr>
              <w:widowControl/>
              <w:jc w:val="center"/>
              <w:textAlignment w:val="center"/>
              <w:rPr>
                <w:rFonts w:hint="eastAsia"/>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制水分公司</w:t>
            </w:r>
          </w:p>
          <w:p w14:paraId="438691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市第三水厂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542D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1513.00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5A8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12362.00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82F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4540.00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4B66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14823.00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90E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5441.00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F1E1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19108.00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FC5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45218.00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77467">
            <w:pPr>
              <w:widowControl/>
              <w:autoSpaceDE w:val="0"/>
              <w:autoSpaceDN w:val="0"/>
              <w:adjustRightInd w:val="0"/>
              <w:jc w:val="center"/>
              <w:textAlignment w:val="center"/>
              <w:rPr>
                <w:rFonts w:hint="eastAsia" w:ascii="宋体" w:hAnsi="宋体" w:eastAsia="宋体" w:cs="宋体"/>
                <w:kern w:val="2"/>
                <w:sz w:val="21"/>
                <w:szCs w:val="21"/>
                <w:highlight w:val="none"/>
                <w:lang w:val="en-US" w:eastAsia="zh-CN" w:bidi="ar"/>
              </w:rPr>
            </w:pPr>
            <w:r>
              <w:rPr>
                <w:rFonts w:hint="eastAsia" w:ascii="宋体" w:hAnsi="宋体" w:eastAsia="宋体" w:cs="宋体"/>
                <w:szCs w:val="21"/>
                <w:highlight w:val="none"/>
                <w:lang w:bidi="ar"/>
              </w:rPr>
              <w:t>二级养护标准</w:t>
            </w:r>
          </w:p>
        </w:tc>
      </w:tr>
      <w:tr w14:paraId="225C6A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FACD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1D5587">
            <w:pPr>
              <w:widowControl/>
              <w:jc w:val="center"/>
              <w:textAlignment w:val="center"/>
              <w:rPr>
                <w:rFonts w:hint="eastAsia"/>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制水分公司市</w:t>
            </w:r>
          </w:p>
          <w:p w14:paraId="119C8769">
            <w:pPr>
              <w:widowControl/>
              <w:jc w:val="center"/>
              <w:textAlignment w:val="center"/>
              <w:rPr>
                <w:rFonts w:hint="eastAsia"/>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第三水厂</w:t>
            </w:r>
          </w:p>
          <w:p w14:paraId="14508C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（取水泵房）</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192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BC6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005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1410.00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B5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E21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F2D4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B496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1588.00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FDC4A5">
            <w:pPr>
              <w:widowControl/>
              <w:autoSpaceDE w:val="0"/>
              <w:autoSpaceDN w:val="0"/>
              <w:adjustRightInd w:val="0"/>
              <w:jc w:val="center"/>
              <w:textAlignment w:val="center"/>
              <w:rPr>
                <w:rFonts w:hint="eastAsia" w:ascii="宋体" w:hAnsi="宋体" w:eastAsia="宋体" w:cs="宋体"/>
                <w:kern w:val="2"/>
                <w:sz w:val="21"/>
                <w:szCs w:val="21"/>
                <w:highlight w:val="none"/>
                <w:lang w:val="en-US" w:eastAsia="zh-CN" w:bidi="ar"/>
              </w:rPr>
            </w:pPr>
          </w:p>
        </w:tc>
      </w:tr>
      <w:tr w14:paraId="7AAB13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86BE2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78D91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制水分公司市</w:t>
            </w:r>
          </w:p>
          <w:p w14:paraId="2ADA6CA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第三水厂</w:t>
            </w:r>
          </w:p>
          <w:p w14:paraId="25839D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（大岭山加压站）</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7BA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293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4AB5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1233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1B764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37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6301.16</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58DD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9126.00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B754BB">
            <w:pPr>
              <w:widowControl/>
              <w:autoSpaceDE w:val="0"/>
              <w:autoSpaceDN w:val="0"/>
              <w:adjustRightInd w:val="0"/>
              <w:jc w:val="center"/>
              <w:textAlignment w:val="center"/>
              <w:rPr>
                <w:rFonts w:hint="eastAsia" w:ascii="宋体" w:hAnsi="宋体" w:eastAsia="宋体" w:cs="宋体"/>
                <w:kern w:val="2"/>
                <w:sz w:val="21"/>
                <w:szCs w:val="21"/>
                <w:highlight w:val="none"/>
                <w:lang w:val="en-US" w:eastAsia="zh-CN" w:bidi="ar"/>
              </w:rPr>
            </w:pPr>
          </w:p>
        </w:tc>
      </w:tr>
      <w:tr w14:paraId="71804FD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5FCA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E8AD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7015CE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市第四水厂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E53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5770.00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8D6E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F37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7193.00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7053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5792.00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59C8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7834.00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4DC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81455.00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97E7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108609.00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EB6C1B">
            <w:pPr>
              <w:widowControl/>
              <w:autoSpaceDE w:val="0"/>
              <w:autoSpaceDN w:val="0"/>
              <w:adjustRightInd w:val="0"/>
              <w:jc w:val="center"/>
              <w:textAlignment w:val="center"/>
              <w:rPr>
                <w:rFonts w:hint="eastAsia" w:ascii="宋体" w:hAnsi="宋体" w:eastAsia="宋体" w:cs="宋体"/>
                <w:kern w:val="2"/>
                <w:sz w:val="21"/>
                <w:szCs w:val="21"/>
                <w:highlight w:val="none"/>
                <w:lang w:val="en-US" w:eastAsia="zh-CN" w:bidi="ar"/>
              </w:rPr>
            </w:pPr>
            <w:r>
              <w:rPr>
                <w:rFonts w:hint="eastAsia" w:ascii="宋体" w:hAnsi="宋体" w:eastAsia="宋体" w:cs="宋体"/>
                <w:szCs w:val="21"/>
                <w:highlight w:val="none"/>
                <w:lang w:bidi="ar"/>
              </w:rPr>
              <w:t>二级养护标准</w:t>
            </w:r>
          </w:p>
        </w:tc>
      </w:tr>
      <w:tr w14:paraId="6CBBA4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908F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E0B5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099FFA1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市第四水厂</w:t>
            </w:r>
          </w:p>
          <w:p w14:paraId="5C3F85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（三期预留地）</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AED7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0D7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8A3A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4290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26C9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143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948F8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0BCE3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E4BCA5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B46A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71B4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5DDDCD8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市第四水厂</w:t>
            </w:r>
          </w:p>
          <w:p w14:paraId="30413F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（取水头部）</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488C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6508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544B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D9B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245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046EB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2800.00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9047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2A6B0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E2A70C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A69E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1E424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64E4BCF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市第五水厂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B6C6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A55C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525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3B8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4200.00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0DE2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8B9D1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39200.00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A92E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48607.00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FF8CA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B5AF5D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8A59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C3CD1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112A755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市第五水厂</w:t>
            </w:r>
          </w:p>
          <w:p w14:paraId="100840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（取水泵房）</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9504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CF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CF0E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EF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679B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3409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10616.00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D600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15641.00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FCE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00BC47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E678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D02D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6DA2B2B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市第五水厂</w:t>
            </w:r>
          </w:p>
          <w:p w14:paraId="68D879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（东坑加压站）</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B63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A02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5DE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1A3E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20C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6AFC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298.00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C9C0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1609.00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5D55F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2F2D7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1740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2617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0BDF9FE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市第五水厂</w:t>
            </w:r>
          </w:p>
          <w:p w14:paraId="15DDA4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（松山湖加压站）</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909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8D0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1CE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46C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383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3A1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883.00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D23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1315.00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8EA73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C6B74A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032C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40815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35012B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市第六水厂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76D3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5213.67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169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2758.00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161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4411.37</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189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3853.05</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302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2092.30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7D7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106967.00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687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158157.23</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C0A2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Cs w:val="21"/>
                <w:highlight w:val="none"/>
                <w:lang w:bidi="ar"/>
              </w:rPr>
              <w:t>二级养护标准</w:t>
            </w:r>
          </w:p>
        </w:tc>
      </w:tr>
      <w:tr w14:paraId="324ED3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72A2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B40F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6B2204C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东城水厂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849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2280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793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7000.00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B58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E66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672.00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129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2016.00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DFD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29586.00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CF5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50417.00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BE246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CE614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3BAD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3F0A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5A353D7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东城水厂</w:t>
            </w:r>
          </w:p>
          <w:p w14:paraId="7B05EF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（取水泵房）</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BC6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05A8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1450.00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3EC43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FD93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A86D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F06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AAF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82E8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3D840A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21A6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61141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797912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万江水厂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4045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7428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11040.00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0B4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2548.00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9D79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5813.00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FA0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8600.00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C59B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14084.00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E882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30952.00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EFEA5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386D3F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E805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76FC">
            <w:pPr>
              <w:keepNext w:val="0"/>
              <w:keepLines w:val="0"/>
              <w:widowControl/>
              <w:suppressLineNumbers w:val="0"/>
              <w:jc w:val="center"/>
              <w:textAlignment w:val="center"/>
              <w:rPr>
                <w:rStyle w:val="205"/>
                <w:rFonts w:hint="eastAsia" w:ascii="宋体" w:hAnsi="宋体" w:eastAsia="宋体" w:cs="宋体"/>
                <w:sz w:val="21"/>
                <w:szCs w:val="21"/>
                <w:highlight w:val="none"/>
                <w:lang w:val="en-US" w:eastAsia="zh-CN" w:bidi="ar"/>
              </w:rPr>
            </w:pPr>
            <w:r>
              <w:rPr>
                <w:rStyle w:val="205"/>
                <w:rFonts w:hint="eastAsia" w:ascii="宋体" w:hAnsi="宋体" w:eastAsia="宋体" w:cs="宋体"/>
                <w:sz w:val="21"/>
                <w:szCs w:val="21"/>
                <w:highlight w:val="none"/>
                <w:lang w:val="en-US" w:eastAsia="zh-CN" w:bidi="ar"/>
              </w:rPr>
              <w:t>制水分公司</w:t>
            </w:r>
          </w:p>
          <w:p w14:paraId="64123D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205"/>
                <w:rFonts w:hint="eastAsia" w:ascii="宋体" w:hAnsi="宋体" w:eastAsia="宋体" w:cs="宋体"/>
                <w:sz w:val="21"/>
                <w:szCs w:val="21"/>
                <w:highlight w:val="none"/>
                <w:lang w:val="en-US" w:eastAsia="zh-CN" w:bidi="ar"/>
              </w:rPr>
              <w:t>高</w:t>
            </w:r>
            <w:r>
              <w:rPr>
                <w:rStyle w:val="206"/>
                <w:rFonts w:hint="eastAsia" w:ascii="宋体" w:hAnsi="宋体" w:eastAsia="宋体" w:cs="宋体"/>
                <w:sz w:val="21"/>
                <w:szCs w:val="21"/>
                <w:highlight w:val="none"/>
                <w:lang w:val="en-US" w:eastAsia="zh-CN" w:bidi="ar"/>
              </w:rPr>
              <w:t>埗</w:t>
            </w:r>
            <w:r>
              <w:rPr>
                <w:rStyle w:val="205"/>
                <w:rFonts w:hint="eastAsia" w:ascii="宋体" w:hAnsi="宋体" w:eastAsia="宋体" w:cs="宋体"/>
                <w:sz w:val="21"/>
                <w:szCs w:val="21"/>
                <w:highlight w:val="none"/>
                <w:lang w:val="en-US" w:eastAsia="zh-CN" w:bidi="ar"/>
              </w:rPr>
              <w:t>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C44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E002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AAA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CE64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93AC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8900.00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F4F0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FDB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25103.00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E744F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16983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F34C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B40BF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255CA7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石碣水厂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7E3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7D9E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5260.00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A4FF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9370.00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42DB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2172.00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F753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3480.00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6A6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5250.00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A71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689F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19A13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0302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FFD12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60FAE4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石碣水厂</w:t>
            </w:r>
          </w:p>
          <w:p w14:paraId="50F84D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（取水泵房）</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04F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DD46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FF4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57D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5B3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B264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529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04323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A0B979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CB1A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658A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469962A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石龙西湖水厂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63EB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1216.21</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087A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2884.32</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2097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1166.06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A5BC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1033.58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8469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3176.00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FEA8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16654.38</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D15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27183.84</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8F3DD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EDD525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13C7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068E5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4ED569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石龙黄洲水厂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B8BF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1294.27</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AFD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5043.00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32F6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1458.60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D730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6741.00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A8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9894.64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420EB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7443.60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67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20122.91</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8F4F4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52BC2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671B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C8D5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4A3A74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石排水厂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D729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5406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6176.00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0E5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2575.00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855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B1F4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BA6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A954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70B64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71F8F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4949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74F9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2A14458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石排水厂</w:t>
            </w:r>
          </w:p>
          <w:p w14:paraId="643CF4A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（新取水泵房）</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3238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919E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13607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3D65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2F8A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405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1714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E1F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8202F2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D6B69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238AF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1A7959A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石排水厂</w:t>
            </w:r>
          </w:p>
          <w:p w14:paraId="2B3CD5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（旧取水泵房）</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1CD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0881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095E2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C7B2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D1F6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453BA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606.00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A058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606.00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808D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7A89C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E16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A79A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60D244A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茶山水厂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A90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FFB2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1A9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A86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DEF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E17D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02C39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1F9D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A97A7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DA60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7835A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563C8C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大岭山长湖水厂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2F25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1897.00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5A3C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7500.00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9C86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1452.00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9518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BB2E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78D7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12580.00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83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2669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A9E58A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DC14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FC9F3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577BDA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大岭山金鸡咀水厂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769B1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3BC1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6BF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68B1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CD57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6F9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5964.00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4B14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22A10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83854E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69E4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DB96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3B4FCF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中堂水厂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6E47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62F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CCA8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FDD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A47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046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F87E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27983.00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DD61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51F1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0988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39F87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0A8A8EC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中堂水厂</w:t>
            </w:r>
          </w:p>
          <w:p w14:paraId="630527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（取水泵房）</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D53A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1C5B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AE3D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6CE6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47B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D15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68F6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10404.00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2867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7D0C488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4DD8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18C6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387B4A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塘厦中心水厂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BE1E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272.00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F07A9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7202.00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38C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1167.00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048B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1836.00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EAB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4558.00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69DA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9460.62</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FC7D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14987.19</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3E36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4FF1A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E07E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A7BF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21E313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塘厦凤凰水厂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1E0C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2CE4D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3500.00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5F5D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1954.00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47BE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9652</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851140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5734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EDC4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31413</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EB2E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59811.8</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C2234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5BE53B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6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E3D9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0853B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5E4268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塘厦虾公岩水厂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F5CC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C12F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B31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1118.00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71F16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3158.00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A5E00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2550.00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D9C4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3515.00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CFC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16963.10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B2E75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E6436F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740E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289D0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411854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塘厦牛眠埔水厂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17CD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726.00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5313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11750.00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0A4E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1156.00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DE35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2180.00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68AC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3364.00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4DB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7350.11</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7AC9C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19804.80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96D7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3EE10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5D09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3A1C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25F651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凤岗第一水厂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F72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A0DC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4025.00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603E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5B03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1003.00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9DBAF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2410.00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D828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7866.00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270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8400.00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D6255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6D9D3F3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B72D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FDBAA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3B11858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凤岗第一水厂</w:t>
            </w:r>
          </w:p>
          <w:p w14:paraId="4B5014E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（取水泵房）</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0510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107.00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60B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2043.00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830E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30D4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F3C37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4EAB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134.00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4547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C165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97AEB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237C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D0D6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51DC84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凤岗第二水厂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B0F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1470.00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BAD1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9000.00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0B9C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EFE6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5268</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750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1926</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3940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12402.5</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0B893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29433.37</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A6B3B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FD256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2DB5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FD9F59">
            <w:pPr>
              <w:keepNext w:val="0"/>
              <w:keepLines w:val="0"/>
              <w:widowControl/>
              <w:suppressLineNumbers w:val="0"/>
              <w:jc w:val="center"/>
              <w:textAlignment w:val="center"/>
              <w:rPr>
                <w:rStyle w:val="205"/>
                <w:rFonts w:hint="eastAsia" w:ascii="宋体" w:hAnsi="宋体" w:eastAsia="宋体" w:cs="宋体"/>
                <w:sz w:val="21"/>
                <w:szCs w:val="21"/>
                <w:highlight w:val="none"/>
                <w:lang w:val="en-US" w:eastAsia="zh-CN" w:bidi="ar"/>
              </w:rPr>
            </w:pPr>
            <w:r>
              <w:rPr>
                <w:rStyle w:val="205"/>
                <w:rFonts w:hint="eastAsia" w:ascii="宋体" w:hAnsi="宋体" w:eastAsia="宋体" w:cs="宋体"/>
                <w:sz w:val="21"/>
                <w:szCs w:val="21"/>
                <w:highlight w:val="none"/>
                <w:lang w:val="en-US" w:eastAsia="zh-CN" w:bidi="ar"/>
              </w:rPr>
              <w:t>制水分公司</w:t>
            </w:r>
          </w:p>
          <w:p w14:paraId="10D788AC">
            <w:pPr>
              <w:keepNext w:val="0"/>
              <w:keepLines w:val="0"/>
              <w:widowControl/>
              <w:suppressLineNumbers w:val="0"/>
              <w:jc w:val="center"/>
              <w:textAlignment w:val="center"/>
              <w:rPr>
                <w:rStyle w:val="205"/>
                <w:rFonts w:hint="eastAsia" w:ascii="宋体" w:hAnsi="宋体" w:eastAsia="宋体" w:cs="宋体"/>
                <w:sz w:val="21"/>
                <w:szCs w:val="21"/>
                <w:highlight w:val="none"/>
                <w:lang w:val="en-US" w:eastAsia="zh-CN" w:bidi="ar"/>
              </w:rPr>
            </w:pPr>
            <w:r>
              <w:rPr>
                <w:rStyle w:val="205"/>
                <w:rFonts w:hint="eastAsia" w:ascii="宋体" w:hAnsi="宋体" w:eastAsia="宋体" w:cs="宋体"/>
                <w:sz w:val="21"/>
                <w:szCs w:val="21"/>
                <w:highlight w:val="none"/>
                <w:lang w:val="en-US" w:eastAsia="zh-CN" w:bidi="ar"/>
              </w:rPr>
              <w:t>樟木头</w:t>
            </w:r>
            <w:r>
              <w:rPr>
                <w:rStyle w:val="206"/>
                <w:rFonts w:hint="eastAsia" w:ascii="宋体" w:hAnsi="宋体" w:eastAsia="宋体" w:cs="宋体"/>
                <w:sz w:val="21"/>
                <w:szCs w:val="21"/>
                <w:highlight w:val="none"/>
                <w:lang w:val="en-US" w:eastAsia="zh-CN" w:bidi="ar"/>
              </w:rPr>
              <w:t>簕</w:t>
            </w:r>
            <w:r>
              <w:rPr>
                <w:rStyle w:val="205"/>
                <w:rFonts w:hint="eastAsia" w:ascii="宋体" w:hAnsi="宋体" w:eastAsia="宋体" w:cs="宋体"/>
                <w:sz w:val="21"/>
                <w:szCs w:val="21"/>
                <w:highlight w:val="none"/>
                <w:lang w:val="en-US" w:eastAsia="zh-CN" w:bidi="ar"/>
              </w:rPr>
              <w:t>竹排水厂</w:t>
            </w:r>
          </w:p>
          <w:p w14:paraId="646F1A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205"/>
                <w:rFonts w:hint="eastAsia" w:ascii="宋体" w:hAnsi="宋体" w:eastAsia="宋体" w:cs="宋体"/>
                <w:sz w:val="21"/>
                <w:szCs w:val="21"/>
                <w:highlight w:val="none"/>
                <w:lang w:val="en-US" w:eastAsia="zh-CN" w:bidi="ar"/>
              </w:rPr>
              <w:t>（取水泵房）</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47DF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50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9CB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1280.00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5B6F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2B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BC0F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797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45E94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CE328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8A35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786779">
            <w:pPr>
              <w:keepNext w:val="0"/>
              <w:keepLines w:val="0"/>
              <w:widowControl/>
              <w:suppressLineNumbers w:val="0"/>
              <w:jc w:val="center"/>
              <w:textAlignment w:val="center"/>
              <w:rPr>
                <w:rStyle w:val="205"/>
                <w:rFonts w:hint="eastAsia" w:ascii="宋体" w:hAnsi="宋体" w:eastAsia="宋体" w:cs="宋体"/>
                <w:sz w:val="21"/>
                <w:szCs w:val="21"/>
                <w:highlight w:val="none"/>
                <w:lang w:val="en-US" w:eastAsia="zh-CN" w:bidi="ar"/>
              </w:rPr>
            </w:pPr>
            <w:r>
              <w:rPr>
                <w:rStyle w:val="205"/>
                <w:rFonts w:hint="eastAsia" w:ascii="宋体" w:hAnsi="宋体" w:eastAsia="宋体" w:cs="宋体"/>
                <w:sz w:val="21"/>
                <w:szCs w:val="21"/>
                <w:highlight w:val="none"/>
                <w:lang w:val="en-US" w:eastAsia="zh-CN" w:bidi="ar"/>
              </w:rPr>
              <w:t>制水分公司</w:t>
            </w:r>
          </w:p>
          <w:p w14:paraId="2B4B38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Style w:val="205"/>
                <w:rFonts w:hint="eastAsia" w:ascii="宋体" w:hAnsi="宋体" w:eastAsia="宋体" w:cs="宋体"/>
                <w:sz w:val="21"/>
                <w:szCs w:val="21"/>
                <w:highlight w:val="none"/>
                <w:lang w:val="en-US" w:eastAsia="zh-CN" w:bidi="ar"/>
              </w:rPr>
              <w:t>樟木头</w:t>
            </w:r>
            <w:r>
              <w:rPr>
                <w:rStyle w:val="206"/>
                <w:rFonts w:hint="eastAsia" w:ascii="宋体" w:hAnsi="宋体" w:eastAsia="宋体" w:cs="宋体"/>
                <w:sz w:val="21"/>
                <w:szCs w:val="21"/>
                <w:highlight w:val="none"/>
                <w:lang w:val="en-US" w:eastAsia="zh-CN" w:bidi="ar"/>
              </w:rPr>
              <w:t>簕</w:t>
            </w:r>
            <w:r>
              <w:rPr>
                <w:rStyle w:val="205"/>
                <w:rFonts w:hint="eastAsia" w:ascii="宋体" w:hAnsi="宋体" w:eastAsia="宋体" w:cs="宋体"/>
                <w:sz w:val="21"/>
                <w:szCs w:val="21"/>
                <w:highlight w:val="none"/>
                <w:lang w:val="en-US" w:eastAsia="zh-CN" w:bidi="ar"/>
              </w:rPr>
              <w:t>竹排水厂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8FB6F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AC84C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CDF2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3800.00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5D4C7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4160.00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7DB50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1150.00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E47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9B1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13300.00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8FBD6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5242AB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0EA4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771B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79B2EC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黄江水厂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1E52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1885.00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5D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6006.00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805E4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2018.00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4CE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2120.00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34CC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1399.00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B4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A571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11641.00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012A1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1B07D0D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281B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DF48B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5C9B32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谢岗第三水厂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526C0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617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8500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0D6C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3919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D63E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4000</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C9AB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22000.00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5E0F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43000.00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BE2D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1689E1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8157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DF588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0DD5DD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谢岗第二水厂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106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868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1400.00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7E2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9874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6FB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2C38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CBD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5140.00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60CD7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03ECC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F66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5796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4D5222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横沥水厂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6D8B7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D5D7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9620.00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51E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8088.30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136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6655.00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D5F3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3500.00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AE8AD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18041.00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1F8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36301.71</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5E22A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5C04777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71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E7064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43</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E54CD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15F4B4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企石水厂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ABAF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1D9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9613.06</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8A7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4763.33</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AE4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3920.27</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1CA47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2523.90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B87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19500.00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B22D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52477.24</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8BC2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36EED92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55"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E05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56EC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0BA550E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企石水厂</w:t>
            </w:r>
          </w:p>
          <w:p w14:paraId="147017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（取水泵房）</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5F7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717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34B0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382.16</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4F9E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1000.00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B53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6A4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FFB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736.00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9F16E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5BA4A4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C848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45</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ACF8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1575F5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桥头第二水厂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394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770.00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DF1B6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2640.00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105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1477.00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B8E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1057.00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424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5730.00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4CD0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8858.00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4C95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15414.30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5E315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4C807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76EB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46</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9955D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5724989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桥头第三水厂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A5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694C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B085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707D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355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5500.00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24EE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23120.00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9AB69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51484.70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1A2E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223A731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C49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7511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41E37A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松山湖水厂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1E0F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8714.36</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C65E10">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33940.456</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B25AB0">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28246.176</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5AC4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25588</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0644FB">
            <w:pPr>
              <w:keepNext w:val="0"/>
              <w:keepLines w:val="0"/>
              <w:widowControl/>
              <w:suppressLineNumbers w:val="0"/>
              <w:jc w:val="right"/>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50339.04</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A229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49466.00</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58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65370</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8403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二级养护标准</w:t>
            </w:r>
          </w:p>
        </w:tc>
      </w:tr>
      <w:tr w14:paraId="74F3334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jc w:val="center"/>
        </w:trPr>
        <w:tc>
          <w:tcPr>
            <w:tcW w:w="220"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C36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w:t>
            </w:r>
          </w:p>
        </w:tc>
        <w:tc>
          <w:tcPr>
            <w:tcW w:w="4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8E74C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制水分公司</w:t>
            </w:r>
          </w:p>
          <w:p w14:paraId="3F71331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芦花坑水厂</w:t>
            </w: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3A9D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FC3B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6440.00</w:t>
            </w: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331A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48460.00</w:t>
            </w:r>
          </w:p>
        </w:tc>
        <w:tc>
          <w:tcPr>
            <w:tcW w:w="53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AFF6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33960.00</w:t>
            </w:r>
          </w:p>
        </w:tc>
        <w:tc>
          <w:tcPr>
            <w:tcW w:w="4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A92C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10845.00</w:t>
            </w:r>
          </w:p>
        </w:tc>
        <w:tc>
          <w:tcPr>
            <w:tcW w:w="50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C61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8E59B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83500.00</w:t>
            </w:r>
          </w:p>
        </w:tc>
        <w:tc>
          <w:tcPr>
            <w:tcW w:w="6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BC195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p>
        </w:tc>
      </w:tr>
      <w:tr w14:paraId="08A59E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0" w:hRule="atLeast"/>
          <w:jc w:val="center"/>
        </w:trPr>
        <w:tc>
          <w:tcPr>
            <w:tcW w:w="6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3E332">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sz w:val="21"/>
                <w:szCs w:val="21"/>
                <w:highlight w:val="none"/>
                <w:u w:val="none"/>
              </w:rPr>
              <w:t>合计</w:t>
            </w:r>
          </w:p>
        </w:tc>
        <w:tc>
          <w:tcPr>
            <w:tcW w:w="54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D4C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35848.51</w:t>
            </w:r>
          </w:p>
        </w:tc>
        <w:tc>
          <w:tcPr>
            <w:tcW w:w="54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EE97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206452.84</w:t>
            </w: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2FAE6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163074.00</w:t>
            </w:r>
          </w:p>
        </w:tc>
        <w:tc>
          <w:tcPr>
            <w:tcW w:w="53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6607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163556.90</w:t>
            </w:r>
          </w:p>
        </w:tc>
        <w:tc>
          <w:tcPr>
            <w:tcW w:w="49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0DB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167962.88</w:t>
            </w:r>
          </w:p>
        </w:tc>
        <w:tc>
          <w:tcPr>
            <w:tcW w:w="50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DA877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626092.37</w:t>
            </w:r>
          </w:p>
        </w:tc>
        <w:tc>
          <w:tcPr>
            <w:tcW w:w="53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976F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1179642.19</w:t>
            </w:r>
          </w:p>
        </w:tc>
        <w:tc>
          <w:tcPr>
            <w:tcW w:w="66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2735B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szCs w:val="21"/>
                <w:highlight w:val="none"/>
                <w:lang w:bidi="ar"/>
              </w:rPr>
              <w:t>其中二级绿化养护标准面积为256996㎡，三级绿化养护标准面积为</w:t>
            </w:r>
            <w:r>
              <w:rPr>
                <w:rFonts w:hint="eastAsia" w:ascii="宋体" w:hAnsi="宋体" w:eastAsia="宋体" w:cs="宋体"/>
                <w:szCs w:val="21"/>
                <w:highlight w:val="none"/>
                <w:lang w:val="en-US" w:eastAsia="zh-CN" w:bidi="ar"/>
              </w:rPr>
              <w:t>369096.73</w:t>
            </w:r>
            <w:r>
              <w:rPr>
                <w:rFonts w:hint="eastAsia" w:ascii="宋体" w:hAnsi="宋体" w:eastAsia="宋体" w:cs="宋体"/>
                <w:szCs w:val="21"/>
                <w:highlight w:val="none"/>
                <w:lang w:bidi="ar"/>
              </w:rPr>
              <w:t>㎡</w:t>
            </w:r>
          </w:p>
        </w:tc>
      </w:tr>
    </w:tbl>
    <w:p w14:paraId="1FB4285E">
      <w:pPr>
        <w:keepNext w:val="0"/>
        <w:keepLines w:val="0"/>
        <w:pageBreakBefore w:val="0"/>
        <w:widowControl/>
        <w:kinsoku/>
        <w:wordWrap/>
        <w:overflowPunct/>
        <w:topLinePunct w:val="0"/>
        <w:autoSpaceDE w:val="0"/>
        <w:autoSpaceDN w:val="0"/>
        <w:bidi w:val="0"/>
        <w:adjustRightInd/>
        <w:snapToGrid/>
        <w:spacing w:line="360" w:lineRule="auto"/>
        <w:jc w:val="left"/>
        <w:textAlignment w:val="auto"/>
        <w:rPr>
          <w:rFonts w:ascii="宋体" w:hAnsi="宋体" w:eastAsia="宋体" w:cs="宋体"/>
          <w:szCs w:val="21"/>
          <w:highlight w:val="none"/>
        </w:rPr>
      </w:pPr>
    </w:p>
    <w:p w14:paraId="3025F030">
      <w:pPr>
        <w:keepNext w:val="0"/>
        <w:keepLines w:val="0"/>
        <w:pageBreakBefore w:val="0"/>
        <w:widowControl/>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val="en-US" w:eastAsia="zh-CN" w:bidi="ar"/>
        </w:rPr>
        <w:t>表2-</w:t>
      </w:r>
      <w:r>
        <w:rPr>
          <w:rFonts w:hint="eastAsia" w:ascii="宋体" w:hAnsi="宋体" w:eastAsia="宋体" w:cs="宋体"/>
          <w:kern w:val="0"/>
          <w:szCs w:val="21"/>
          <w:highlight w:val="none"/>
          <w:lang w:bidi="ar"/>
        </w:rPr>
        <w:t>非生产性质（责任单位：</w:t>
      </w:r>
      <w:r>
        <w:rPr>
          <w:rFonts w:hint="eastAsia" w:ascii="宋体" w:hAnsi="宋体" w:eastAsia="宋体" w:cs="宋体"/>
          <w:kern w:val="0"/>
          <w:szCs w:val="21"/>
          <w:highlight w:val="none"/>
          <w:lang w:val="en-US" w:eastAsia="zh-CN" w:bidi="ar"/>
        </w:rPr>
        <w:t>属地</w:t>
      </w:r>
      <w:r>
        <w:rPr>
          <w:rFonts w:hint="eastAsia" w:ascii="宋体" w:hAnsi="宋体" w:eastAsia="宋体" w:cs="宋体"/>
          <w:kern w:val="0"/>
          <w:szCs w:val="21"/>
          <w:highlight w:val="none"/>
          <w:lang w:bidi="ar"/>
        </w:rPr>
        <w:t>分公司）</w:t>
      </w:r>
    </w:p>
    <w:tbl>
      <w:tblPr>
        <w:tblStyle w:val="37"/>
        <w:tblW w:w="4995"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672"/>
        <w:gridCol w:w="1477"/>
        <w:gridCol w:w="1600"/>
        <w:gridCol w:w="1150"/>
        <w:gridCol w:w="1113"/>
        <w:gridCol w:w="1288"/>
        <w:gridCol w:w="1172"/>
        <w:gridCol w:w="1480"/>
      </w:tblGrid>
      <w:tr w14:paraId="24B7E79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05" w:hRule="atLeast"/>
        </w:trPr>
        <w:tc>
          <w:tcPr>
            <w:tcW w:w="3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2F6E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序号</w:t>
            </w:r>
          </w:p>
        </w:tc>
        <w:tc>
          <w:tcPr>
            <w:tcW w:w="74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B2AD8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责任</w:t>
            </w:r>
          </w:p>
          <w:p w14:paraId="64CF846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单位</w:t>
            </w:r>
          </w:p>
        </w:tc>
        <w:tc>
          <w:tcPr>
            <w:tcW w:w="8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A316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场所名称</w:t>
            </w:r>
          </w:p>
        </w:tc>
        <w:tc>
          <w:tcPr>
            <w:tcW w:w="1784"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A8EE5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清洁保洁工程量</w:t>
            </w:r>
          </w:p>
        </w:tc>
        <w:tc>
          <w:tcPr>
            <w:tcW w:w="589" w:type="pct"/>
            <w:vMerge w:val="restart"/>
            <w:tcBorders>
              <w:top w:val="single" w:color="000000" w:sz="4" w:space="0"/>
              <w:left w:val="single" w:color="000000" w:sz="4" w:space="0"/>
              <w:bottom w:val="single" w:color="000000" w:sz="4" w:space="0"/>
              <w:right w:val="nil"/>
            </w:tcBorders>
            <w:shd w:val="clear" w:color="auto" w:fill="auto"/>
            <w:vAlign w:val="center"/>
          </w:tcPr>
          <w:p w14:paraId="431BDD7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除“四害”及白蚁防治服务（㎡）</w:t>
            </w:r>
          </w:p>
        </w:tc>
        <w:tc>
          <w:tcPr>
            <w:tcW w:w="74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F5BEB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绿化养护面积</w:t>
            </w:r>
          </w:p>
          <w:p w14:paraId="3750FC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（仅限独立办公区且绿植较多的分公司；与水厂同一地点办公的分公司，绿化由水厂填报）</w:t>
            </w:r>
          </w:p>
        </w:tc>
      </w:tr>
      <w:tr w14:paraId="4FCF8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3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859A0">
            <w:pPr>
              <w:jc w:val="center"/>
              <w:rPr>
                <w:rFonts w:hint="eastAsia" w:ascii="宋体" w:hAnsi="宋体" w:eastAsia="宋体" w:cs="宋体"/>
                <w:i w:val="0"/>
                <w:iCs w:val="0"/>
                <w:color w:val="000000"/>
                <w:sz w:val="21"/>
                <w:szCs w:val="21"/>
                <w:highlight w:val="none"/>
                <w:u w:val="none"/>
              </w:rPr>
            </w:pPr>
          </w:p>
        </w:tc>
        <w:tc>
          <w:tcPr>
            <w:tcW w:w="74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CA4E59">
            <w:pPr>
              <w:jc w:val="center"/>
              <w:rPr>
                <w:rFonts w:hint="eastAsia" w:ascii="宋体" w:hAnsi="宋体" w:eastAsia="宋体" w:cs="宋体"/>
                <w:i w:val="0"/>
                <w:iCs w:val="0"/>
                <w:color w:val="000000"/>
                <w:sz w:val="21"/>
                <w:szCs w:val="21"/>
                <w:highlight w:val="none"/>
                <w:u w:val="none"/>
              </w:rPr>
            </w:pPr>
          </w:p>
        </w:tc>
        <w:tc>
          <w:tcPr>
            <w:tcW w:w="8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0571DA">
            <w:pPr>
              <w:jc w:val="center"/>
              <w:rPr>
                <w:rFonts w:hint="eastAsia" w:ascii="宋体" w:hAnsi="宋体" w:eastAsia="宋体" w:cs="宋体"/>
                <w:i w:val="0"/>
                <w:iCs w:val="0"/>
                <w:color w:val="000000"/>
                <w:sz w:val="21"/>
                <w:szCs w:val="21"/>
                <w:highlight w:val="none"/>
                <w:u w:val="none"/>
              </w:rPr>
            </w:pP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11DC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室内行政办公区面积（含宿舍、食堂面积，㎡）</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05FE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室外面积（含道路、停车场、运动场，㎡）</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4C99C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总保洁面积</w:t>
            </w:r>
          </w:p>
        </w:tc>
        <w:tc>
          <w:tcPr>
            <w:tcW w:w="589" w:type="pct"/>
            <w:vMerge w:val="continue"/>
            <w:tcBorders>
              <w:top w:val="single" w:color="000000" w:sz="4" w:space="0"/>
              <w:left w:val="single" w:color="000000" w:sz="4" w:space="0"/>
              <w:bottom w:val="single" w:color="000000" w:sz="4" w:space="0"/>
              <w:right w:val="nil"/>
            </w:tcBorders>
            <w:shd w:val="clear" w:color="auto" w:fill="auto"/>
            <w:vAlign w:val="center"/>
          </w:tcPr>
          <w:p w14:paraId="7700BACF">
            <w:pPr>
              <w:jc w:val="center"/>
              <w:rPr>
                <w:rFonts w:hint="eastAsia" w:ascii="宋体" w:hAnsi="宋体" w:eastAsia="宋体" w:cs="宋体"/>
                <w:i w:val="0"/>
                <w:iCs w:val="0"/>
                <w:color w:val="000000"/>
                <w:sz w:val="21"/>
                <w:szCs w:val="21"/>
                <w:highlight w:val="none"/>
                <w:u w:val="none"/>
              </w:rPr>
            </w:pPr>
          </w:p>
        </w:tc>
        <w:tc>
          <w:tcPr>
            <w:tcW w:w="74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352ADA">
            <w:pPr>
              <w:jc w:val="center"/>
              <w:rPr>
                <w:rFonts w:hint="eastAsia" w:ascii="宋体" w:hAnsi="宋体" w:eastAsia="宋体" w:cs="宋体"/>
                <w:i w:val="0"/>
                <w:iCs w:val="0"/>
                <w:color w:val="000000"/>
                <w:sz w:val="21"/>
                <w:szCs w:val="21"/>
                <w:highlight w:val="none"/>
                <w:u w:val="none"/>
              </w:rPr>
            </w:pPr>
          </w:p>
        </w:tc>
      </w:tr>
      <w:tr w14:paraId="3CC501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D5AE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BBD1E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莞南</w:t>
            </w:r>
          </w:p>
          <w:p w14:paraId="1C17D7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23BC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莞城（南城）</w:t>
            </w:r>
          </w:p>
          <w:p w14:paraId="7C01B57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分公司</w:t>
            </w:r>
          </w:p>
          <w:p w14:paraId="20DEBD3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699D3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12525.82</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3730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1940.00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0D9E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14465.82</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04CEC6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9258.56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35657">
            <w:pPr>
              <w:jc w:val="center"/>
              <w:rPr>
                <w:rFonts w:hint="eastAsia" w:ascii="宋体" w:hAnsi="宋体" w:eastAsia="宋体" w:cs="宋体"/>
                <w:i w:val="0"/>
                <w:iCs w:val="0"/>
                <w:color w:val="000000"/>
                <w:sz w:val="21"/>
                <w:szCs w:val="21"/>
                <w:highlight w:val="none"/>
                <w:u w:val="none"/>
              </w:rPr>
            </w:pPr>
          </w:p>
        </w:tc>
      </w:tr>
      <w:tr w14:paraId="1A74F11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E4D1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3830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东城</w:t>
            </w:r>
          </w:p>
          <w:p w14:paraId="791891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F9FAA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东城分公司</w:t>
            </w:r>
          </w:p>
          <w:p w14:paraId="688F24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577F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5700.00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5F58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3500.00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9417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9200.00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753F60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19600.00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B3579">
            <w:pPr>
              <w:jc w:val="center"/>
              <w:rPr>
                <w:rFonts w:hint="eastAsia" w:ascii="宋体" w:hAnsi="宋体" w:eastAsia="宋体" w:cs="宋体"/>
                <w:i w:val="0"/>
                <w:iCs w:val="0"/>
                <w:color w:val="000000"/>
                <w:sz w:val="21"/>
                <w:szCs w:val="21"/>
                <w:highlight w:val="none"/>
                <w:u w:val="none"/>
              </w:rPr>
            </w:pPr>
          </w:p>
        </w:tc>
      </w:tr>
      <w:tr w14:paraId="7444FEC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578E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23AA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万江</w:t>
            </w:r>
          </w:p>
          <w:p w14:paraId="6883C5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CAF35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万江分公司</w:t>
            </w:r>
          </w:p>
          <w:p w14:paraId="75F4D7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1B9E5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5039.05</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1CF8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99A6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5039.05</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37194CB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96.00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FA5255">
            <w:pPr>
              <w:jc w:val="center"/>
              <w:rPr>
                <w:rFonts w:hint="eastAsia" w:ascii="宋体" w:hAnsi="宋体" w:eastAsia="宋体" w:cs="宋体"/>
                <w:i w:val="0"/>
                <w:iCs w:val="0"/>
                <w:color w:val="000000"/>
                <w:sz w:val="21"/>
                <w:szCs w:val="21"/>
                <w:highlight w:val="none"/>
                <w:u w:val="none"/>
              </w:rPr>
            </w:pPr>
          </w:p>
        </w:tc>
      </w:tr>
      <w:tr w14:paraId="68741B6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EDDB3F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6591A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松山湖分公司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CC29D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松山湖分公司</w:t>
            </w:r>
          </w:p>
          <w:p w14:paraId="7475154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95840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647.00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65106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10F0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647.00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1F53C30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647.00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F70B91">
            <w:pPr>
              <w:jc w:val="center"/>
              <w:rPr>
                <w:rFonts w:hint="eastAsia" w:ascii="宋体" w:hAnsi="宋体" w:eastAsia="宋体" w:cs="宋体"/>
                <w:i w:val="0"/>
                <w:iCs w:val="0"/>
                <w:color w:val="000000"/>
                <w:sz w:val="21"/>
                <w:szCs w:val="21"/>
                <w:highlight w:val="none"/>
                <w:u w:val="none"/>
              </w:rPr>
            </w:pPr>
          </w:p>
        </w:tc>
      </w:tr>
      <w:tr w14:paraId="2C0FC6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CB87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0CD18">
            <w:pPr>
              <w:keepNext w:val="0"/>
              <w:keepLines w:val="0"/>
              <w:widowControl/>
              <w:suppressLineNumbers w:val="0"/>
              <w:jc w:val="center"/>
              <w:textAlignment w:val="center"/>
              <w:rPr>
                <w:rStyle w:val="104"/>
                <w:rFonts w:hint="eastAsia" w:ascii="宋体" w:hAnsi="宋体" w:eastAsia="宋体" w:cs="宋体"/>
                <w:color w:val="auto"/>
                <w:sz w:val="21"/>
                <w:szCs w:val="21"/>
                <w:highlight w:val="none"/>
                <w:lang w:val="en-US" w:eastAsia="zh-CN" w:bidi="ar"/>
              </w:rPr>
            </w:pPr>
            <w:r>
              <w:rPr>
                <w:rStyle w:val="104"/>
                <w:rFonts w:hint="eastAsia" w:ascii="宋体" w:hAnsi="宋体" w:eastAsia="宋体" w:cs="宋体"/>
                <w:color w:val="auto"/>
                <w:sz w:val="21"/>
                <w:szCs w:val="21"/>
                <w:highlight w:val="none"/>
                <w:lang w:val="en-US" w:eastAsia="zh-CN" w:bidi="ar"/>
              </w:rPr>
              <w:t>高</w:t>
            </w:r>
            <w:r>
              <w:rPr>
                <w:rFonts w:hint="eastAsia" w:ascii="宋体" w:hAnsi="宋体" w:eastAsia="宋体" w:cs="宋体"/>
                <w:i w:val="0"/>
                <w:iCs w:val="0"/>
                <w:color w:val="auto"/>
                <w:kern w:val="0"/>
                <w:sz w:val="21"/>
                <w:szCs w:val="21"/>
                <w:highlight w:val="none"/>
                <w:u w:val="none"/>
                <w:lang w:val="en-US" w:eastAsia="zh-CN" w:bidi="ar"/>
              </w:rPr>
              <w:t>埗</w:t>
            </w:r>
          </w:p>
          <w:p w14:paraId="3E8D422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4"/>
                <w:rFonts w:hint="eastAsia" w:ascii="宋体" w:hAnsi="宋体" w:eastAsia="宋体" w:cs="宋体"/>
                <w:color w:val="auto"/>
                <w:sz w:val="21"/>
                <w:szCs w:val="21"/>
                <w:highlight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D1109">
            <w:pPr>
              <w:keepNext w:val="0"/>
              <w:keepLines w:val="0"/>
              <w:widowControl/>
              <w:suppressLineNumbers w:val="0"/>
              <w:jc w:val="center"/>
              <w:textAlignment w:val="center"/>
              <w:rPr>
                <w:rStyle w:val="104"/>
                <w:rFonts w:hint="eastAsia" w:ascii="宋体" w:hAnsi="宋体" w:eastAsia="宋体" w:cs="宋体"/>
                <w:color w:val="auto"/>
                <w:sz w:val="21"/>
                <w:szCs w:val="21"/>
                <w:highlight w:val="none"/>
                <w:lang w:val="en-US" w:eastAsia="zh-CN" w:bidi="ar"/>
              </w:rPr>
            </w:pPr>
            <w:r>
              <w:rPr>
                <w:rStyle w:val="104"/>
                <w:rFonts w:hint="eastAsia" w:ascii="宋体" w:hAnsi="宋体" w:eastAsia="宋体" w:cs="宋体"/>
                <w:color w:val="auto"/>
                <w:sz w:val="21"/>
                <w:szCs w:val="21"/>
                <w:highlight w:val="none"/>
                <w:lang w:val="en-US" w:eastAsia="zh-CN" w:bidi="ar"/>
              </w:rPr>
              <w:t>高</w:t>
            </w:r>
            <w:r>
              <w:rPr>
                <w:rFonts w:hint="eastAsia" w:ascii="宋体" w:hAnsi="宋体" w:eastAsia="宋体" w:cs="宋体"/>
                <w:i w:val="0"/>
                <w:iCs w:val="0"/>
                <w:color w:val="auto"/>
                <w:kern w:val="0"/>
                <w:sz w:val="21"/>
                <w:szCs w:val="21"/>
                <w:highlight w:val="none"/>
                <w:u w:val="none"/>
                <w:lang w:val="en-US" w:eastAsia="zh-CN" w:bidi="ar"/>
              </w:rPr>
              <w:t>埗</w:t>
            </w:r>
            <w:r>
              <w:rPr>
                <w:rStyle w:val="104"/>
                <w:rFonts w:hint="eastAsia" w:ascii="宋体" w:hAnsi="宋体" w:eastAsia="宋体" w:cs="宋体"/>
                <w:color w:val="auto"/>
                <w:sz w:val="21"/>
                <w:szCs w:val="21"/>
                <w:highlight w:val="none"/>
                <w:lang w:val="en-US" w:eastAsia="zh-CN" w:bidi="ar"/>
              </w:rPr>
              <w:t>分公司</w:t>
            </w:r>
          </w:p>
          <w:p w14:paraId="5F184F8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4"/>
                <w:rFonts w:hint="eastAsia" w:ascii="宋体" w:hAnsi="宋体" w:eastAsia="宋体" w:cs="宋体"/>
                <w:color w:val="auto"/>
                <w:sz w:val="21"/>
                <w:szCs w:val="21"/>
                <w:highlight w:val="none"/>
                <w:lang w:val="en-US" w:eastAsia="zh-CN" w:bidi="ar"/>
              </w:rPr>
              <w:t>新厂区办公楼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E29D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1703.00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15D94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F8C9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1703.00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3B6012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2BAEC">
            <w:pPr>
              <w:jc w:val="center"/>
              <w:rPr>
                <w:rFonts w:hint="eastAsia" w:ascii="宋体" w:hAnsi="宋体" w:eastAsia="宋体" w:cs="宋体"/>
                <w:i w:val="0"/>
                <w:iCs w:val="0"/>
                <w:color w:val="000000"/>
                <w:sz w:val="21"/>
                <w:szCs w:val="21"/>
                <w:highlight w:val="none"/>
                <w:u w:val="none"/>
              </w:rPr>
            </w:pPr>
          </w:p>
        </w:tc>
      </w:tr>
      <w:tr w14:paraId="49B02D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6BD8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49A8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石碣</w:t>
            </w:r>
          </w:p>
          <w:p w14:paraId="28660E0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EA3C5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石碣分公司</w:t>
            </w:r>
          </w:p>
          <w:p w14:paraId="675797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8253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3213.57</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D0107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93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3213.57</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452E35E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3213.57</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CBC732">
            <w:pPr>
              <w:jc w:val="center"/>
              <w:rPr>
                <w:rFonts w:hint="eastAsia" w:ascii="宋体" w:hAnsi="宋体" w:eastAsia="宋体" w:cs="宋体"/>
                <w:i w:val="0"/>
                <w:iCs w:val="0"/>
                <w:color w:val="000000"/>
                <w:sz w:val="21"/>
                <w:szCs w:val="21"/>
                <w:highlight w:val="none"/>
                <w:u w:val="none"/>
              </w:rPr>
            </w:pPr>
          </w:p>
        </w:tc>
      </w:tr>
      <w:tr w14:paraId="5B4E34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A1F0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B2DF0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石龙</w:t>
            </w:r>
          </w:p>
          <w:p w14:paraId="27E270A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8A0D2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石龙分公司办公楼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7FF7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1304.00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77D6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2264.00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24C6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3568.00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072A51E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3568.00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C16CD1">
            <w:pPr>
              <w:jc w:val="center"/>
              <w:rPr>
                <w:rFonts w:hint="eastAsia" w:ascii="宋体" w:hAnsi="宋体" w:eastAsia="宋体" w:cs="宋体"/>
                <w:i w:val="0"/>
                <w:iCs w:val="0"/>
                <w:color w:val="000000"/>
                <w:sz w:val="21"/>
                <w:szCs w:val="21"/>
                <w:highlight w:val="none"/>
                <w:u w:val="none"/>
              </w:rPr>
            </w:pPr>
          </w:p>
        </w:tc>
      </w:tr>
      <w:tr w14:paraId="7CFCC69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F3BE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01C06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石龙</w:t>
            </w:r>
          </w:p>
          <w:p w14:paraId="761F17C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B4481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石龙分公司管网部办公楼、仓库</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FA0D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691.00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70EC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B2CD5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741.00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4EA19F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741.00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6BC53">
            <w:pPr>
              <w:jc w:val="center"/>
              <w:rPr>
                <w:rFonts w:hint="eastAsia" w:ascii="宋体" w:hAnsi="宋体" w:eastAsia="宋体" w:cs="宋体"/>
                <w:i w:val="0"/>
                <w:iCs w:val="0"/>
                <w:color w:val="000000"/>
                <w:sz w:val="21"/>
                <w:szCs w:val="21"/>
                <w:highlight w:val="none"/>
                <w:u w:val="none"/>
              </w:rPr>
            </w:pPr>
          </w:p>
        </w:tc>
      </w:tr>
      <w:tr w14:paraId="122DED8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993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7B33A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石排</w:t>
            </w:r>
          </w:p>
          <w:p w14:paraId="58EFBA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07EE6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石排分公司</w:t>
            </w:r>
          </w:p>
          <w:p w14:paraId="225103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5C86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1494.00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9F00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18F82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1644.00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59B63F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A13A56">
            <w:pPr>
              <w:jc w:val="center"/>
              <w:rPr>
                <w:rFonts w:hint="eastAsia" w:ascii="宋体" w:hAnsi="宋体" w:eastAsia="宋体" w:cs="宋体"/>
                <w:i w:val="0"/>
                <w:iCs w:val="0"/>
                <w:color w:val="000000"/>
                <w:sz w:val="21"/>
                <w:szCs w:val="21"/>
                <w:highlight w:val="none"/>
                <w:u w:val="none"/>
              </w:rPr>
            </w:pPr>
          </w:p>
        </w:tc>
      </w:tr>
      <w:tr w14:paraId="430175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3EB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685C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茶山</w:t>
            </w:r>
          </w:p>
          <w:p w14:paraId="6AC0A7A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4410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茶山分公司</w:t>
            </w:r>
          </w:p>
          <w:p w14:paraId="52D316C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办公区</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09AE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5300.00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52B8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4C3A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5300.00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705425F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7628.00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A0A8A">
            <w:pPr>
              <w:jc w:val="center"/>
              <w:rPr>
                <w:rFonts w:hint="eastAsia" w:ascii="宋体" w:hAnsi="宋体" w:eastAsia="宋体" w:cs="宋体"/>
                <w:i w:val="0"/>
                <w:iCs w:val="0"/>
                <w:color w:val="000000"/>
                <w:sz w:val="21"/>
                <w:szCs w:val="21"/>
                <w:highlight w:val="none"/>
                <w:u w:val="none"/>
              </w:rPr>
            </w:pPr>
          </w:p>
        </w:tc>
      </w:tr>
      <w:tr w14:paraId="20A53A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D549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24349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寮步</w:t>
            </w:r>
          </w:p>
          <w:p w14:paraId="06238F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3D005A">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寮步分公司</w:t>
            </w:r>
          </w:p>
          <w:p w14:paraId="2C1118B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61202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5409</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FC03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3905</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473C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9314.00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7AD0D84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989A74">
            <w:pPr>
              <w:jc w:val="center"/>
              <w:rPr>
                <w:rFonts w:hint="eastAsia" w:ascii="宋体" w:hAnsi="宋体" w:eastAsia="宋体" w:cs="宋体"/>
                <w:i w:val="0"/>
                <w:iCs w:val="0"/>
                <w:color w:val="000000"/>
                <w:sz w:val="21"/>
                <w:szCs w:val="21"/>
                <w:highlight w:val="none"/>
                <w:u w:val="none"/>
              </w:rPr>
            </w:pPr>
          </w:p>
        </w:tc>
      </w:tr>
      <w:tr w14:paraId="2BDF0E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128A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5E09F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寮步</w:t>
            </w:r>
          </w:p>
          <w:p w14:paraId="34F9D0E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A89D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寮步分公司</w:t>
            </w:r>
          </w:p>
          <w:p w14:paraId="46BE2C8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加压站</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254B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D814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4D22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6A3FB8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D9272">
            <w:pPr>
              <w:jc w:val="center"/>
              <w:rPr>
                <w:rFonts w:hint="eastAsia" w:ascii="宋体" w:hAnsi="宋体" w:eastAsia="宋体" w:cs="宋体"/>
                <w:i w:val="0"/>
                <w:iCs w:val="0"/>
                <w:color w:val="000000"/>
                <w:sz w:val="21"/>
                <w:szCs w:val="21"/>
                <w:highlight w:val="none"/>
                <w:u w:val="none"/>
              </w:rPr>
            </w:pPr>
          </w:p>
        </w:tc>
      </w:tr>
      <w:tr w14:paraId="40DCEE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897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654A4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大朗</w:t>
            </w:r>
          </w:p>
          <w:p w14:paraId="32B13D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88EB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大朗分公司</w:t>
            </w:r>
          </w:p>
          <w:p w14:paraId="2230C47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（综合楼）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E5F3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7869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65267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666278D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2500.00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541CF8">
            <w:pPr>
              <w:jc w:val="center"/>
              <w:rPr>
                <w:rFonts w:hint="eastAsia" w:ascii="宋体" w:hAnsi="宋体" w:eastAsia="宋体" w:cs="宋体"/>
                <w:i w:val="0"/>
                <w:iCs w:val="0"/>
                <w:color w:val="000000"/>
                <w:sz w:val="21"/>
                <w:szCs w:val="21"/>
                <w:highlight w:val="none"/>
                <w:u w:val="none"/>
              </w:rPr>
            </w:pPr>
          </w:p>
        </w:tc>
      </w:tr>
      <w:tr w14:paraId="534FE0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C462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0DF7E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大朗</w:t>
            </w:r>
          </w:p>
          <w:p w14:paraId="6739D43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588CF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大朗分公司</w:t>
            </w:r>
          </w:p>
          <w:p w14:paraId="014DE38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(松木山水厂)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1BF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F919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0340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0AB2218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21539.50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CBDF12">
            <w:pPr>
              <w:jc w:val="center"/>
              <w:rPr>
                <w:rFonts w:hint="eastAsia" w:ascii="宋体" w:hAnsi="宋体" w:eastAsia="宋体" w:cs="宋体"/>
                <w:i w:val="0"/>
                <w:iCs w:val="0"/>
                <w:color w:val="000000"/>
                <w:sz w:val="21"/>
                <w:szCs w:val="21"/>
                <w:highlight w:val="none"/>
                <w:u w:val="none"/>
              </w:rPr>
            </w:pPr>
          </w:p>
        </w:tc>
      </w:tr>
      <w:tr w14:paraId="7A37B9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4D3D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15</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4050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大岭山分公司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C9BA9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大岭山分公司</w:t>
            </w:r>
          </w:p>
          <w:p w14:paraId="1D4102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本部办公楼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C6D9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FF25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8E24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75A48C8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1847.15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0E992E">
            <w:pPr>
              <w:jc w:val="center"/>
              <w:rPr>
                <w:rFonts w:hint="eastAsia" w:ascii="宋体" w:hAnsi="宋体" w:eastAsia="宋体" w:cs="宋体"/>
                <w:i w:val="0"/>
                <w:iCs w:val="0"/>
                <w:color w:val="000000"/>
                <w:sz w:val="21"/>
                <w:szCs w:val="21"/>
                <w:highlight w:val="none"/>
                <w:u w:val="none"/>
              </w:rPr>
            </w:pPr>
          </w:p>
        </w:tc>
      </w:tr>
      <w:tr w14:paraId="6D9F5DC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70352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167E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望牛墩分公司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08F4B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望牛墩分公司</w:t>
            </w:r>
          </w:p>
          <w:p w14:paraId="4CF92F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9E074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A71D5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4100.00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3E8F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4800.00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7B2F330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7000.00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8F43B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2200.00</w:t>
            </w:r>
          </w:p>
        </w:tc>
      </w:tr>
      <w:tr w14:paraId="3D7727A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48F0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17</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3D0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望牛墩分公司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8C464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望牛墩分公司</w:t>
            </w:r>
          </w:p>
          <w:p w14:paraId="71CC12E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收费营业厅</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1E28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3521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111C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738174B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DFB1C4">
            <w:pPr>
              <w:jc w:val="center"/>
              <w:rPr>
                <w:rFonts w:hint="eastAsia" w:ascii="宋体" w:hAnsi="宋体" w:eastAsia="宋体" w:cs="宋体"/>
                <w:i w:val="0"/>
                <w:iCs w:val="0"/>
                <w:color w:val="000000"/>
                <w:sz w:val="21"/>
                <w:szCs w:val="21"/>
                <w:highlight w:val="none"/>
                <w:u w:val="none"/>
              </w:rPr>
            </w:pPr>
          </w:p>
        </w:tc>
      </w:tr>
      <w:tr w14:paraId="0B04AD5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BAD59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24F6A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洪梅</w:t>
            </w:r>
          </w:p>
          <w:p w14:paraId="53BAAA6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4CD3E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洪梅分公司</w:t>
            </w:r>
          </w:p>
          <w:p w14:paraId="196C53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FC75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983.64</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63DE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D50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2583.64</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7BDB68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2583.64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9ECDD">
            <w:pPr>
              <w:jc w:val="center"/>
              <w:rPr>
                <w:rFonts w:hint="eastAsia" w:ascii="宋体" w:hAnsi="宋体" w:eastAsia="宋体" w:cs="宋体"/>
                <w:i w:val="0"/>
                <w:iCs w:val="0"/>
                <w:color w:val="000000"/>
                <w:sz w:val="21"/>
                <w:szCs w:val="21"/>
                <w:highlight w:val="none"/>
                <w:u w:val="none"/>
              </w:rPr>
            </w:pPr>
          </w:p>
        </w:tc>
      </w:tr>
      <w:tr w14:paraId="5145F9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32859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96BA5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麻涌</w:t>
            </w:r>
          </w:p>
          <w:p w14:paraId="00AACF5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A4F52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麻涌分公司</w:t>
            </w:r>
          </w:p>
          <w:p w14:paraId="6947321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9DC5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1025.67</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23C44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3708.33</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32464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4734.00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38CC46B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4734.00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C7581">
            <w:pPr>
              <w:jc w:val="center"/>
              <w:rPr>
                <w:rFonts w:hint="eastAsia" w:ascii="宋体" w:hAnsi="宋体" w:eastAsia="宋体" w:cs="宋体"/>
                <w:i w:val="0"/>
                <w:iCs w:val="0"/>
                <w:color w:val="000000"/>
                <w:sz w:val="21"/>
                <w:szCs w:val="21"/>
                <w:highlight w:val="none"/>
                <w:u w:val="none"/>
              </w:rPr>
            </w:pPr>
          </w:p>
        </w:tc>
      </w:tr>
      <w:tr w14:paraId="2370AFE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4B1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C8247">
            <w:pPr>
              <w:keepNext w:val="0"/>
              <w:keepLines w:val="0"/>
              <w:widowControl/>
              <w:suppressLineNumbers w:val="0"/>
              <w:jc w:val="center"/>
              <w:textAlignment w:val="center"/>
              <w:rPr>
                <w:rStyle w:val="104"/>
                <w:rFonts w:hint="eastAsia" w:ascii="宋体" w:hAnsi="宋体" w:eastAsia="宋体" w:cs="宋体"/>
                <w:color w:val="auto"/>
                <w:sz w:val="21"/>
                <w:szCs w:val="21"/>
                <w:highlight w:val="none"/>
                <w:lang w:val="en-US" w:eastAsia="zh-CN" w:bidi="ar"/>
              </w:rPr>
            </w:pPr>
            <w:r>
              <w:rPr>
                <w:rStyle w:val="104"/>
                <w:rFonts w:hint="eastAsia" w:ascii="宋体" w:hAnsi="宋体" w:eastAsia="宋体" w:cs="宋体"/>
                <w:color w:val="auto"/>
                <w:sz w:val="21"/>
                <w:szCs w:val="21"/>
                <w:highlight w:val="none"/>
                <w:lang w:val="en-US" w:eastAsia="zh-CN" w:bidi="ar"/>
              </w:rPr>
              <w:t>道</w:t>
            </w:r>
            <w:r>
              <w:rPr>
                <w:rFonts w:hint="eastAsia" w:ascii="宋体" w:hAnsi="宋体" w:eastAsia="宋体" w:cs="宋体"/>
                <w:i w:val="0"/>
                <w:iCs w:val="0"/>
                <w:color w:val="auto"/>
                <w:kern w:val="0"/>
                <w:sz w:val="21"/>
                <w:szCs w:val="21"/>
                <w:highlight w:val="none"/>
                <w:u w:val="none"/>
                <w:lang w:val="en-US" w:eastAsia="zh-CN" w:bidi="ar"/>
              </w:rPr>
              <w:t>滘</w:t>
            </w:r>
          </w:p>
          <w:p w14:paraId="234521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4"/>
                <w:rFonts w:hint="eastAsia" w:ascii="宋体" w:hAnsi="宋体" w:eastAsia="宋体" w:cs="宋体"/>
                <w:color w:val="auto"/>
                <w:sz w:val="21"/>
                <w:szCs w:val="21"/>
                <w:highlight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5C4D3D">
            <w:pPr>
              <w:keepNext w:val="0"/>
              <w:keepLines w:val="0"/>
              <w:widowControl/>
              <w:suppressLineNumbers w:val="0"/>
              <w:jc w:val="center"/>
              <w:textAlignment w:val="center"/>
              <w:rPr>
                <w:rStyle w:val="104"/>
                <w:rFonts w:hint="eastAsia" w:ascii="宋体" w:hAnsi="宋体" w:eastAsia="宋体" w:cs="宋体"/>
                <w:color w:val="auto"/>
                <w:sz w:val="21"/>
                <w:szCs w:val="21"/>
                <w:highlight w:val="none"/>
                <w:lang w:val="en-US" w:eastAsia="zh-CN" w:bidi="ar"/>
              </w:rPr>
            </w:pPr>
            <w:r>
              <w:rPr>
                <w:rStyle w:val="104"/>
                <w:rFonts w:hint="eastAsia" w:ascii="宋体" w:hAnsi="宋体" w:eastAsia="宋体" w:cs="宋体"/>
                <w:color w:val="auto"/>
                <w:sz w:val="21"/>
                <w:szCs w:val="21"/>
                <w:highlight w:val="none"/>
                <w:lang w:val="en-US" w:eastAsia="zh-CN" w:bidi="ar"/>
              </w:rPr>
              <w:t>道</w:t>
            </w:r>
            <w:r>
              <w:rPr>
                <w:rFonts w:hint="eastAsia" w:ascii="宋体" w:hAnsi="宋体" w:eastAsia="宋体" w:cs="宋体"/>
                <w:i w:val="0"/>
                <w:iCs w:val="0"/>
                <w:color w:val="auto"/>
                <w:kern w:val="0"/>
                <w:sz w:val="21"/>
                <w:szCs w:val="21"/>
                <w:highlight w:val="none"/>
                <w:u w:val="none"/>
                <w:lang w:val="en-US" w:eastAsia="zh-CN" w:bidi="ar"/>
              </w:rPr>
              <w:t>滘</w:t>
            </w:r>
            <w:r>
              <w:rPr>
                <w:rStyle w:val="104"/>
                <w:rFonts w:hint="eastAsia" w:ascii="宋体" w:hAnsi="宋体" w:eastAsia="宋体" w:cs="宋体"/>
                <w:color w:val="auto"/>
                <w:sz w:val="21"/>
                <w:szCs w:val="21"/>
                <w:highlight w:val="none"/>
                <w:lang w:val="en-US" w:eastAsia="zh-CN" w:bidi="ar"/>
              </w:rPr>
              <w:t>分公司</w:t>
            </w:r>
          </w:p>
          <w:p w14:paraId="5CE60D2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Style w:val="104"/>
                <w:rFonts w:hint="eastAsia" w:ascii="宋体" w:hAnsi="宋体" w:eastAsia="宋体" w:cs="宋体"/>
                <w:color w:val="auto"/>
                <w:sz w:val="21"/>
                <w:szCs w:val="21"/>
                <w:highlight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143C3">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1485.00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7F6B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65D3A4">
            <w:pPr>
              <w:keepNext w:val="0"/>
              <w:keepLines w:val="0"/>
              <w:widowControl/>
              <w:suppressLineNumbers w:val="0"/>
              <w:jc w:val="center"/>
              <w:textAlignment w:val="center"/>
              <w:rPr>
                <w:rFonts w:hint="default" w:ascii="宋体" w:hAnsi="宋体" w:eastAsia="宋体" w:cs="宋体"/>
                <w:i w:val="0"/>
                <w:iCs w:val="0"/>
                <w:color w:val="000000"/>
                <w:sz w:val="21"/>
                <w:szCs w:val="21"/>
                <w:highlight w:val="none"/>
                <w:u w:val="none"/>
                <w:lang w:val="en-US"/>
              </w:rPr>
            </w:pPr>
            <w:r>
              <w:rPr>
                <w:rFonts w:hint="eastAsia" w:ascii="宋体" w:hAnsi="宋体" w:eastAsia="宋体" w:cs="宋体"/>
                <w:i w:val="0"/>
                <w:iCs w:val="0"/>
                <w:color w:val="000000"/>
                <w:kern w:val="0"/>
                <w:sz w:val="21"/>
                <w:szCs w:val="21"/>
                <w:highlight w:val="none"/>
                <w:u w:val="none"/>
                <w:lang w:val="en-US" w:eastAsia="zh-CN" w:bidi="ar"/>
              </w:rPr>
              <w:t>1485.00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317AAE6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1485.00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F73364">
            <w:pPr>
              <w:jc w:val="center"/>
              <w:rPr>
                <w:rFonts w:hint="eastAsia" w:ascii="宋体" w:hAnsi="宋体" w:eastAsia="宋体" w:cs="宋体"/>
                <w:i w:val="0"/>
                <w:iCs w:val="0"/>
                <w:color w:val="000000"/>
                <w:sz w:val="21"/>
                <w:szCs w:val="21"/>
                <w:highlight w:val="none"/>
                <w:u w:val="none"/>
              </w:rPr>
            </w:pPr>
          </w:p>
        </w:tc>
      </w:tr>
      <w:tr w14:paraId="24E708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D6723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1DB27F">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中堂</w:t>
            </w:r>
          </w:p>
          <w:p w14:paraId="0B089D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404DE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中堂分公司</w:t>
            </w:r>
          </w:p>
          <w:p w14:paraId="42ECE5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ED026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4852.00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9EF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DA8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4852.00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0BBE376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20FBF9">
            <w:pPr>
              <w:jc w:val="center"/>
              <w:rPr>
                <w:rFonts w:hint="eastAsia" w:ascii="宋体" w:hAnsi="宋体" w:eastAsia="宋体" w:cs="宋体"/>
                <w:i w:val="0"/>
                <w:iCs w:val="0"/>
                <w:color w:val="000000"/>
                <w:sz w:val="21"/>
                <w:szCs w:val="21"/>
                <w:highlight w:val="none"/>
                <w:u w:val="none"/>
              </w:rPr>
            </w:pPr>
          </w:p>
        </w:tc>
      </w:tr>
      <w:tr w14:paraId="10563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A1B37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CD1C9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中堂</w:t>
            </w:r>
          </w:p>
          <w:p w14:paraId="771F28C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4EDC2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中堂分公司</w:t>
            </w:r>
          </w:p>
          <w:p w14:paraId="733970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江南二次加压房</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C9A8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B7A56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AC3C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047610D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32EFE1">
            <w:pPr>
              <w:jc w:val="center"/>
              <w:rPr>
                <w:rFonts w:hint="eastAsia" w:ascii="宋体" w:hAnsi="宋体" w:eastAsia="宋体" w:cs="宋体"/>
                <w:i w:val="0"/>
                <w:iCs w:val="0"/>
                <w:color w:val="000000"/>
                <w:sz w:val="21"/>
                <w:szCs w:val="21"/>
                <w:highlight w:val="none"/>
                <w:u w:val="none"/>
              </w:rPr>
            </w:pPr>
          </w:p>
        </w:tc>
      </w:tr>
      <w:tr w14:paraId="4D48C5E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B5CE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49EF35">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沙田</w:t>
            </w:r>
          </w:p>
          <w:p w14:paraId="10905C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DA414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沙田分公司</w:t>
            </w:r>
          </w:p>
          <w:p w14:paraId="5DBD2D2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本部办公楼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3DB3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502.00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EEE7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7FD2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1102.00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12C39A2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1102.00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27F335">
            <w:pPr>
              <w:jc w:val="center"/>
              <w:rPr>
                <w:rFonts w:hint="eastAsia" w:ascii="宋体" w:hAnsi="宋体" w:eastAsia="宋体" w:cs="宋体"/>
                <w:i w:val="0"/>
                <w:iCs w:val="0"/>
                <w:color w:val="000000"/>
                <w:sz w:val="21"/>
                <w:szCs w:val="21"/>
                <w:highlight w:val="none"/>
                <w:u w:val="none"/>
              </w:rPr>
            </w:pPr>
          </w:p>
        </w:tc>
      </w:tr>
      <w:tr w14:paraId="171BD7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47729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0CBEF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厚街</w:t>
            </w:r>
          </w:p>
          <w:p w14:paraId="47F9F4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E414E2">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厚街分公司</w:t>
            </w:r>
          </w:p>
          <w:p w14:paraId="4C113C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本部办公楼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8B97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1900.00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C9A62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141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1900.00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66E793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1900.00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83428A">
            <w:pPr>
              <w:jc w:val="center"/>
              <w:rPr>
                <w:rFonts w:hint="eastAsia" w:ascii="宋体" w:hAnsi="宋体" w:eastAsia="宋体" w:cs="宋体"/>
                <w:i w:val="0"/>
                <w:iCs w:val="0"/>
                <w:color w:val="000000"/>
                <w:sz w:val="21"/>
                <w:szCs w:val="21"/>
                <w:highlight w:val="none"/>
                <w:u w:val="none"/>
              </w:rPr>
            </w:pPr>
          </w:p>
        </w:tc>
      </w:tr>
      <w:tr w14:paraId="780ED3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A4113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25</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CC72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厚街</w:t>
            </w:r>
          </w:p>
          <w:p w14:paraId="49B358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CD1E00">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厚街分公司</w:t>
            </w:r>
          </w:p>
          <w:p w14:paraId="071F6B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东部加压站</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129F5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AB15A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1400.00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CA39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5B8A758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72FF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1600.00</w:t>
            </w:r>
          </w:p>
        </w:tc>
      </w:tr>
      <w:tr w14:paraId="62798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1EF51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26</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5F37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长安</w:t>
            </w:r>
          </w:p>
          <w:p w14:paraId="6E4FF3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F9104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长安分公司</w:t>
            </w:r>
          </w:p>
          <w:p w14:paraId="3335D47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（总部办公点）</w:t>
            </w:r>
          </w:p>
        </w:tc>
        <w:tc>
          <w:tcPr>
            <w:tcW w:w="57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A1342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559" w:type="pct"/>
            <w:tcBorders>
              <w:top w:val="single" w:color="000000" w:sz="4" w:space="0"/>
              <w:left w:val="single" w:color="000000" w:sz="4" w:space="0"/>
              <w:bottom w:val="single" w:color="000000" w:sz="4" w:space="0"/>
              <w:right w:val="nil"/>
            </w:tcBorders>
            <w:shd w:val="clear" w:color="auto" w:fill="auto"/>
            <w:vAlign w:val="center"/>
          </w:tcPr>
          <w:p w14:paraId="0179285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3617D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89" w:type="pct"/>
            <w:tcBorders>
              <w:top w:val="single" w:color="000000" w:sz="4" w:space="0"/>
              <w:left w:val="single" w:color="000000" w:sz="4" w:space="0"/>
              <w:bottom w:val="single" w:color="000000" w:sz="4" w:space="0"/>
              <w:right w:val="nil"/>
            </w:tcBorders>
            <w:shd w:val="clear" w:color="auto" w:fill="auto"/>
            <w:noWrap/>
            <w:vAlign w:val="center"/>
          </w:tcPr>
          <w:p w14:paraId="62AECFF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24739.24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F754E">
            <w:pPr>
              <w:jc w:val="center"/>
              <w:rPr>
                <w:rFonts w:hint="eastAsia" w:ascii="宋体" w:hAnsi="宋体" w:eastAsia="宋体" w:cs="宋体"/>
                <w:i w:val="0"/>
                <w:iCs w:val="0"/>
                <w:color w:val="000000"/>
                <w:sz w:val="21"/>
                <w:szCs w:val="21"/>
                <w:highlight w:val="none"/>
                <w:u w:val="none"/>
              </w:rPr>
            </w:pPr>
          </w:p>
        </w:tc>
      </w:tr>
      <w:tr w14:paraId="2C88D0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13EC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27</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9ED43">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塘厦</w:t>
            </w:r>
          </w:p>
          <w:p w14:paraId="0879210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0BF92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塘厦分公司</w:t>
            </w:r>
          </w:p>
          <w:p w14:paraId="01B6101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本部办公楼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45A2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5605.60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3135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12846.38</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8A62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18451.98</w:t>
            </w:r>
          </w:p>
        </w:tc>
        <w:tc>
          <w:tcPr>
            <w:tcW w:w="589" w:type="pct"/>
            <w:tcBorders>
              <w:top w:val="nil"/>
              <w:left w:val="single" w:color="000000" w:sz="4" w:space="0"/>
              <w:bottom w:val="single" w:color="000000" w:sz="4" w:space="0"/>
              <w:right w:val="nil"/>
            </w:tcBorders>
            <w:shd w:val="clear" w:color="auto" w:fill="auto"/>
            <w:vAlign w:val="center"/>
          </w:tcPr>
          <w:p w14:paraId="3E6B332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10234.22</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0E6AB">
            <w:pPr>
              <w:jc w:val="center"/>
              <w:rPr>
                <w:rFonts w:hint="eastAsia" w:ascii="宋体" w:hAnsi="宋体" w:eastAsia="宋体" w:cs="宋体"/>
                <w:i w:val="0"/>
                <w:iCs w:val="0"/>
                <w:color w:val="000000"/>
                <w:sz w:val="21"/>
                <w:szCs w:val="21"/>
                <w:highlight w:val="none"/>
                <w:u w:val="none"/>
              </w:rPr>
            </w:pPr>
          </w:p>
        </w:tc>
      </w:tr>
      <w:tr w14:paraId="05595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11860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28</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A23F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塘厦</w:t>
            </w:r>
          </w:p>
          <w:p w14:paraId="34A191D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90D76">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塘厦分公司</w:t>
            </w:r>
          </w:p>
          <w:p w14:paraId="4C17F3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仓库</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241D0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319.00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CDAE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74E4F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319.00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3597FF8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319.00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EE31DE">
            <w:pPr>
              <w:jc w:val="center"/>
              <w:rPr>
                <w:rFonts w:hint="eastAsia" w:ascii="宋体" w:hAnsi="宋体" w:eastAsia="宋体" w:cs="宋体"/>
                <w:i w:val="0"/>
                <w:iCs w:val="0"/>
                <w:color w:val="000000"/>
                <w:sz w:val="21"/>
                <w:szCs w:val="21"/>
                <w:highlight w:val="none"/>
                <w:u w:val="none"/>
              </w:rPr>
            </w:pPr>
          </w:p>
        </w:tc>
      </w:tr>
      <w:tr w14:paraId="4FF802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E40CE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A43AC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凤岗</w:t>
            </w:r>
          </w:p>
          <w:p w14:paraId="09D0DB8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2FF3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凤岗分公司</w:t>
            </w:r>
          </w:p>
          <w:p w14:paraId="09F3EC7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ABDF0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1936.74</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2E56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0F62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1936.74</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4DA700E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95AC22">
            <w:pPr>
              <w:jc w:val="center"/>
              <w:rPr>
                <w:rFonts w:hint="eastAsia" w:ascii="宋体" w:hAnsi="宋体" w:eastAsia="宋体" w:cs="宋体"/>
                <w:i w:val="0"/>
                <w:iCs w:val="0"/>
                <w:color w:val="000000"/>
                <w:sz w:val="21"/>
                <w:szCs w:val="21"/>
                <w:highlight w:val="none"/>
                <w:u w:val="none"/>
              </w:rPr>
            </w:pPr>
          </w:p>
        </w:tc>
      </w:tr>
      <w:tr w14:paraId="7BE343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47B79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8DCBF">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凤岗</w:t>
            </w:r>
          </w:p>
          <w:p w14:paraId="04B4D9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4C457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凤岗分公司</w:t>
            </w:r>
          </w:p>
          <w:p w14:paraId="0E7547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供水服务中心</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E15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531.64</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1964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63A4D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531.64</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58FD114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67397">
            <w:pPr>
              <w:jc w:val="center"/>
              <w:rPr>
                <w:rFonts w:hint="eastAsia" w:ascii="宋体" w:hAnsi="宋体" w:eastAsia="宋体" w:cs="宋体"/>
                <w:i w:val="0"/>
                <w:iCs w:val="0"/>
                <w:color w:val="000000"/>
                <w:sz w:val="21"/>
                <w:szCs w:val="21"/>
                <w:highlight w:val="none"/>
                <w:u w:val="none"/>
              </w:rPr>
            </w:pPr>
          </w:p>
        </w:tc>
      </w:tr>
      <w:tr w14:paraId="6B523C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2F883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31</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A128D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樟木头分公司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02C26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樟木头分公司</w:t>
            </w:r>
          </w:p>
          <w:p w14:paraId="5AE836A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B1E8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0385E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47708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1050.00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39030F8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12D37B">
            <w:pPr>
              <w:jc w:val="center"/>
              <w:rPr>
                <w:rFonts w:hint="eastAsia" w:ascii="宋体" w:hAnsi="宋体" w:eastAsia="宋体" w:cs="宋体"/>
                <w:i w:val="0"/>
                <w:iCs w:val="0"/>
                <w:color w:val="000000"/>
                <w:sz w:val="21"/>
                <w:szCs w:val="21"/>
                <w:highlight w:val="none"/>
                <w:u w:val="none"/>
              </w:rPr>
            </w:pPr>
          </w:p>
        </w:tc>
      </w:tr>
      <w:tr w14:paraId="01668C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F163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32</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B06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樟木头分公司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FFBC4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樟木头分公司管网部、客服部办公楼、仓库</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4101F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600.00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8953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1420.00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221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2020.00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2EA60B4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1420.00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A77AEB">
            <w:pPr>
              <w:jc w:val="center"/>
              <w:rPr>
                <w:rFonts w:hint="eastAsia" w:ascii="宋体" w:hAnsi="宋体" w:eastAsia="宋体" w:cs="宋体"/>
                <w:i w:val="0"/>
                <w:iCs w:val="0"/>
                <w:color w:val="000000"/>
                <w:sz w:val="21"/>
                <w:szCs w:val="21"/>
                <w:highlight w:val="none"/>
                <w:u w:val="none"/>
              </w:rPr>
            </w:pPr>
          </w:p>
        </w:tc>
      </w:tr>
      <w:tr w14:paraId="6B775E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BC1E6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7F7F5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黄江</w:t>
            </w:r>
          </w:p>
          <w:p w14:paraId="4768A30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1A7AC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黄江分公司</w:t>
            </w:r>
          </w:p>
          <w:p w14:paraId="5E4848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D0CC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7778.00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59F41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3492.00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E0FA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11270.00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4C9FEDE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3E403A">
            <w:pPr>
              <w:jc w:val="center"/>
              <w:rPr>
                <w:rFonts w:hint="eastAsia" w:ascii="宋体" w:hAnsi="宋体" w:eastAsia="宋体" w:cs="宋体"/>
                <w:i w:val="0"/>
                <w:iCs w:val="0"/>
                <w:color w:val="000000"/>
                <w:sz w:val="21"/>
                <w:szCs w:val="21"/>
                <w:highlight w:val="none"/>
                <w:u w:val="none"/>
              </w:rPr>
            </w:pPr>
          </w:p>
        </w:tc>
      </w:tr>
      <w:tr w14:paraId="2CD38D5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B2811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34</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76A534">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谢岗</w:t>
            </w:r>
          </w:p>
          <w:p w14:paraId="306992A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E6C34E">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谢岗分公司</w:t>
            </w:r>
          </w:p>
          <w:p w14:paraId="5697553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BA21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1128.00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C4EF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48722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1128.00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2A3BFB0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3843.00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ADF72F">
            <w:pPr>
              <w:jc w:val="center"/>
              <w:rPr>
                <w:rFonts w:hint="eastAsia" w:ascii="宋体" w:hAnsi="宋体" w:eastAsia="宋体" w:cs="宋体"/>
                <w:i w:val="0"/>
                <w:iCs w:val="0"/>
                <w:color w:val="000000"/>
                <w:sz w:val="21"/>
                <w:szCs w:val="21"/>
                <w:highlight w:val="none"/>
                <w:u w:val="none"/>
              </w:rPr>
            </w:pPr>
          </w:p>
        </w:tc>
      </w:tr>
      <w:tr w14:paraId="007CB4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B07F1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35</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1C451">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东坑</w:t>
            </w:r>
          </w:p>
          <w:p w14:paraId="788BF9F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994DD7">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东坑分公司</w:t>
            </w:r>
          </w:p>
          <w:p w14:paraId="257FC5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07494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787.05</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8F6D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E1BB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787.05</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1A73939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87069D">
            <w:pPr>
              <w:jc w:val="center"/>
              <w:rPr>
                <w:rFonts w:hint="eastAsia" w:ascii="宋体" w:hAnsi="宋体" w:eastAsia="宋体" w:cs="宋体"/>
                <w:i w:val="0"/>
                <w:iCs w:val="0"/>
                <w:color w:val="000000"/>
                <w:sz w:val="21"/>
                <w:szCs w:val="21"/>
                <w:highlight w:val="none"/>
                <w:u w:val="none"/>
              </w:rPr>
            </w:pPr>
          </w:p>
        </w:tc>
      </w:tr>
      <w:tr w14:paraId="06FE4A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085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36</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98148">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横沥</w:t>
            </w:r>
          </w:p>
          <w:p w14:paraId="55D4347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2F5E3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横沥分公司</w:t>
            </w:r>
          </w:p>
          <w:p w14:paraId="09BC156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1595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5678.00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2774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7D48F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5678.00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09997C9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5678.00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08C6C4">
            <w:pPr>
              <w:jc w:val="center"/>
              <w:rPr>
                <w:rFonts w:hint="eastAsia" w:ascii="宋体" w:hAnsi="宋体" w:eastAsia="宋体" w:cs="宋体"/>
                <w:i w:val="0"/>
                <w:iCs w:val="0"/>
                <w:color w:val="000000"/>
                <w:sz w:val="21"/>
                <w:szCs w:val="21"/>
                <w:highlight w:val="none"/>
                <w:u w:val="none"/>
              </w:rPr>
            </w:pPr>
          </w:p>
        </w:tc>
      </w:tr>
      <w:tr w14:paraId="681AAF3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7E2FD2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37</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39CDB">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企石</w:t>
            </w:r>
          </w:p>
          <w:p w14:paraId="63884F5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836C0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企石分公司</w:t>
            </w:r>
          </w:p>
          <w:p w14:paraId="755167E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F5FBD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3367.11</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5B7531">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4464.00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85E87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7831.11</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14B4A4E7">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3367.11</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8A760">
            <w:pPr>
              <w:jc w:val="center"/>
              <w:rPr>
                <w:rFonts w:hint="eastAsia" w:ascii="宋体" w:hAnsi="宋体" w:eastAsia="宋体" w:cs="宋体"/>
                <w:i w:val="0"/>
                <w:iCs w:val="0"/>
                <w:color w:val="000000"/>
                <w:sz w:val="21"/>
                <w:szCs w:val="21"/>
                <w:highlight w:val="none"/>
                <w:u w:val="none"/>
              </w:rPr>
            </w:pPr>
          </w:p>
        </w:tc>
      </w:tr>
      <w:tr w14:paraId="40FFAF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C21E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D89C9C">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桥头</w:t>
            </w:r>
          </w:p>
          <w:p w14:paraId="564EF6D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4A9D4D">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桥头分公司</w:t>
            </w:r>
          </w:p>
          <w:p w14:paraId="41E12246">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办公楼</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ED25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746.64</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0F860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D63F4">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746.64</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24C8673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746.64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147D0">
            <w:pPr>
              <w:jc w:val="center"/>
              <w:rPr>
                <w:rFonts w:hint="eastAsia" w:ascii="宋体" w:hAnsi="宋体" w:eastAsia="宋体" w:cs="宋体"/>
                <w:i w:val="0"/>
                <w:iCs w:val="0"/>
                <w:color w:val="000000"/>
                <w:sz w:val="21"/>
                <w:szCs w:val="21"/>
                <w:highlight w:val="none"/>
                <w:u w:val="none"/>
              </w:rPr>
            </w:pPr>
          </w:p>
        </w:tc>
      </w:tr>
      <w:tr w14:paraId="0385C4A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6533C9">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39</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3EB7A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黄江分公司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7B5A29">
            <w:pPr>
              <w:keepNext w:val="0"/>
              <w:keepLines w:val="0"/>
              <w:widowControl/>
              <w:suppressLineNumbers w:val="0"/>
              <w:jc w:val="center"/>
              <w:textAlignment w:val="center"/>
              <w:rPr>
                <w:rFonts w:hint="eastAsia" w:ascii="宋体" w:hAnsi="宋体" w:eastAsia="宋体" w:cs="宋体"/>
                <w:i w:val="0"/>
                <w:iCs w:val="0"/>
                <w:color w:val="000000"/>
                <w:kern w:val="0"/>
                <w:sz w:val="21"/>
                <w:szCs w:val="21"/>
                <w:highlight w:val="none"/>
                <w:u w:val="none"/>
                <w:lang w:val="en-US" w:eastAsia="zh-CN" w:bidi="ar"/>
              </w:rPr>
            </w:pPr>
            <w:r>
              <w:rPr>
                <w:rFonts w:hint="eastAsia" w:ascii="宋体" w:hAnsi="宋体" w:eastAsia="宋体" w:cs="宋体"/>
                <w:i w:val="0"/>
                <w:iCs w:val="0"/>
                <w:color w:val="000000"/>
                <w:kern w:val="0"/>
                <w:sz w:val="21"/>
                <w:szCs w:val="21"/>
                <w:highlight w:val="none"/>
                <w:u w:val="none"/>
                <w:lang w:val="en-US" w:eastAsia="zh-CN" w:bidi="ar"/>
              </w:rPr>
              <w:t>黄江分公司</w:t>
            </w:r>
          </w:p>
          <w:p w14:paraId="4308E6B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（梅塘加压泵站）</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B5435E">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ACFF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9DFA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6FFFD9D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205.35</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EEA8E">
            <w:pPr>
              <w:jc w:val="center"/>
              <w:rPr>
                <w:rFonts w:hint="eastAsia" w:ascii="宋体" w:hAnsi="宋体" w:eastAsia="宋体" w:cs="宋体"/>
                <w:i w:val="0"/>
                <w:iCs w:val="0"/>
                <w:color w:val="000000"/>
                <w:sz w:val="21"/>
                <w:szCs w:val="21"/>
                <w:highlight w:val="none"/>
                <w:u w:val="none"/>
              </w:rPr>
            </w:pPr>
          </w:p>
        </w:tc>
      </w:tr>
      <w:tr w14:paraId="03C0CB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2CEE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40</w:t>
            </w:r>
          </w:p>
        </w:tc>
        <w:tc>
          <w:tcPr>
            <w:tcW w:w="74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5E7D82">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黄江分公司</w:t>
            </w:r>
          </w:p>
        </w:tc>
        <w:tc>
          <w:tcPr>
            <w:tcW w:w="8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B3F82">
            <w:pPr>
              <w:pStyle w:val="2"/>
              <w:jc w:val="both"/>
              <w:rPr>
                <w:rFonts w:hint="eastAsia"/>
                <w:highlight w:val="none"/>
                <w:lang w:val="en-US" w:eastAsia="zh-CN"/>
              </w:rPr>
            </w:pPr>
            <w:r>
              <w:rPr>
                <w:rFonts w:hint="eastAsia" w:ascii="宋体" w:hAnsi="宋体" w:eastAsia="宋体" w:cs="宋体"/>
                <w:i w:val="0"/>
                <w:iCs w:val="0"/>
                <w:color w:val="000000"/>
                <w:kern w:val="0"/>
                <w:sz w:val="21"/>
                <w:szCs w:val="21"/>
                <w:highlight w:val="none"/>
                <w:u w:val="none"/>
                <w:lang w:val="en-US" w:eastAsia="zh-CN" w:bidi="ar"/>
              </w:rPr>
              <w:t>黄江分公司</w:t>
            </w:r>
          </w:p>
          <w:p w14:paraId="6DDD48A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（长龙加压泵站）</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6F913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59847D">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D9B6AB">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5E24BC1F">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42.16</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0123A">
            <w:pPr>
              <w:jc w:val="center"/>
              <w:rPr>
                <w:rFonts w:hint="eastAsia" w:ascii="宋体" w:hAnsi="宋体" w:eastAsia="宋体" w:cs="宋体"/>
                <w:i w:val="0"/>
                <w:iCs w:val="0"/>
                <w:color w:val="000000"/>
                <w:sz w:val="21"/>
                <w:szCs w:val="21"/>
                <w:highlight w:val="none"/>
                <w:u w:val="none"/>
              </w:rPr>
            </w:pPr>
          </w:p>
        </w:tc>
      </w:tr>
      <w:tr w14:paraId="30C8F7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37"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DD4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41</w:t>
            </w:r>
          </w:p>
        </w:tc>
        <w:tc>
          <w:tcPr>
            <w:tcW w:w="74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38BE5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虎门分公司</w:t>
            </w:r>
          </w:p>
        </w:tc>
        <w:tc>
          <w:tcPr>
            <w:tcW w:w="803" w:type="pct"/>
            <w:tcBorders>
              <w:top w:val="single" w:color="000000" w:sz="4" w:space="0"/>
              <w:left w:val="nil"/>
              <w:bottom w:val="single" w:color="000000" w:sz="4" w:space="0"/>
              <w:right w:val="single" w:color="000000" w:sz="4" w:space="0"/>
            </w:tcBorders>
            <w:shd w:val="clear" w:color="auto" w:fill="auto"/>
            <w:noWrap/>
            <w:vAlign w:val="center"/>
          </w:tcPr>
          <w:p w14:paraId="444B6FB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芦花坑水厂</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384A9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2932.00</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E41BB0">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7740.00</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16ADC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10672.00</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42AAC0E5">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0.00</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C98737">
            <w:pPr>
              <w:jc w:val="center"/>
              <w:rPr>
                <w:rFonts w:hint="eastAsia" w:ascii="宋体" w:hAnsi="宋体" w:eastAsia="宋体" w:cs="宋体"/>
                <w:i w:val="0"/>
                <w:iCs w:val="0"/>
                <w:color w:val="000000"/>
                <w:sz w:val="21"/>
                <w:szCs w:val="21"/>
                <w:highlight w:val="none"/>
                <w:u w:val="none"/>
              </w:rPr>
            </w:pPr>
          </w:p>
        </w:tc>
      </w:tr>
      <w:tr w14:paraId="24B4A4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00" w:hRule="atLeast"/>
        </w:trPr>
        <w:tc>
          <w:tcPr>
            <w:tcW w:w="1883"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30B938">
            <w:pPr>
              <w:jc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70C9E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87484.53</w:t>
            </w:r>
          </w:p>
        </w:tc>
        <w:tc>
          <w:tcPr>
            <w:tcW w:w="5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1407DC">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53179.71</w:t>
            </w:r>
          </w:p>
        </w:tc>
        <w:tc>
          <w:tcPr>
            <w:tcW w:w="6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5E11A">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140664.24</w:t>
            </w:r>
          </w:p>
        </w:tc>
        <w:tc>
          <w:tcPr>
            <w:tcW w:w="589" w:type="pct"/>
            <w:tcBorders>
              <w:top w:val="single" w:color="000000" w:sz="4" w:space="0"/>
              <w:left w:val="single" w:color="000000" w:sz="4" w:space="0"/>
              <w:bottom w:val="single" w:color="000000" w:sz="4" w:space="0"/>
              <w:right w:val="nil"/>
            </w:tcBorders>
            <w:shd w:val="clear" w:color="auto" w:fill="auto"/>
            <w:vAlign w:val="center"/>
          </w:tcPr>
          <w:p w14:paraId="154C3FC3">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148208.14</w:t>
            </w:r>
          </w:p>
        </w:tc>
        <w:tc>
          <w:tcPr>
            <w:tcW w:w="7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BEE728">
            <w:pPr>
              <w:keepNext w:val="0"/>
              <w:keepLines w:val="0"/>
              <w:widowControl/>
              <w:suppressLineNumbers w:val="0"/>
              <w:jc w:val="center"/>
              <w:textAlignment w:val="center"/>
              <w:rPr>
                <w:rFonts w:hint="eastAsia" w:ascii="宋体" w:hAnsi="宋体" w:eastAsia="宋体" w:cs="宋体"/>
                <w:i w:val="0"/>
                <w:iCs w:val="0"/>
                <w:color w:val="000000"/>
                <w:sz w:val="21"/>
                <w:szCs w:val="21"/>
                <w:highlight w:val="none"/>
                <w:u w:val="none"/>
              </w:rPr>
            </w:pPr>
            <w:r>
              <w:rPr>
                <w:rFonts w:hint="eastAsia" w:ascii="宋体" w:hAnsi="宋体" w:eastAsia="宋体" w:cs="宋体"/>
                <w:i w:val="0"/>
                <w:iCs w:val="0"/>
                <w:color w:val="000000"/>
                <w:kern w:val="0"/>
                <w:sz w:val="21"/>
                <w:szCs w:val="21"/>
                <w:highlight w:val="none"/>
                <w:u w:val="none"/>
                <w:lang w:val="en-US" w:eastAsia="zh-CN" w:bidi="ar"/>
              </w:rPr>
              <w:t>3800.00</w:t>
            </w:r>
          </w:p>
        </w:tc>
      </w:tr>
    </w:tbl>
    <w:p w14:paraId="14212A10">
      <w:pPr>
        <w:keepNext w:val="0"/>
        <w:keepLines w:val="0"/>
        <w:pageBreakBefore w:val="0"/>
        <w:kinsoku/>
        <w:wordWrap/>
        <w:overflowPunct/>
        <w:topLinePunct w:val="0"/>
        <w:autoSpaceDE w:val="0"/>
        <w:autoSpaceDN w:val="0"/>
        <w:bidi w:val="0"/>
        <w:adjustRightInd w:val="0"/>
        <w:snapToGrid/>
        <w:spacing w:line="360" w:lineRule="auto"/>
        <w:jc w:val="left"/>
        <w:textAlignment w:val="auto"/>
        <w:rPr>
          <w:rFonts w:ascii="宋体" w:hAnsi="宋体" w:eastAsia="宋体" w:cs="宋体"/>
          <w:szCs w:val="21"/>
          <w:highlight w:val="none"/>
        </w:rPr>
      </w:pPr>
      <w:r>
        <w:rPr>
          <w:rFonts w:hint="eastAsia" w:ascii="宋体" w:hAnsi="宋体" w:eastAsia="宋体" w:cs="宋体"/>
          <w:b/>
          <w:bCs/>
          <w:kern w:val="0"/>
          <w:szCs w:val="21"/>
          <w:highlight w:val="none"/>
          <w:lang w:bidi="ar"/>
        </w:rPr>
        <w:t>注：上述地点、面积均为暂定，甲方有权根据实际经营情况对服务地点及服务面积进行调整，并不承担乙方的任何损失。</w:t>
      </w:r>
    </w:p>
    <w:p w14:paraId="6BF6E71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sz w:val="21"/>
          <w:szCs w:val="21"/>
          <w:highlight w:val="none"/>
        </w:rPr>
      </w:pPr>
    </w:p>
    <w:p w14:paraId="5FE93CF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sz w:val="21"/>
          <w:szCs w:val="21"/>
          <w:highlight w:val="none"/>
        </w:rPr>
      </w:pPr>
      <w:r>
        <w:rPr>
          <w:rFonts w:hint="eastAsia" w:ascii="宋体" w:hAnsi="宋体" w:eastAsia="宋体" w:cs="宋体"/>
          <w:b/>
          <w:sz w:val="21"/>
          <w:szCs w:val="21"/>
          <w:highlight w:val="none"/>
        </w:rPr>
        <w:t>（三）清洁保洁服务包括但不限于以下内容：</w:t>
      </w:r>
    </w:p>
    <w:p w14:paraId="2071E3C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1.室内行政办公区（含办公楼、宿舍、食堂）：</w:t>
      </w:r>
    </w:p>
    <w:p w14:paraId="50DD90C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（1）所有办公区域（含营业厅）的清洁保洁。如办公区域、会议室、接待室、饭堂、茶水间、洗手间、公共区域、楼梯、电梯、顶层天花板的清洁保洁工作。</w:t>
      </w:r>
    </w:p>
    <w:p w14:paraId="6AD4D1B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（2）生活区域的清洁保洁。员工生活楼、宿舍楼、健身活动室及相关公共区域的保洁工作。</w:t>
      </w:r>
    </w:p>
    <w:p w14:paraId="167AAB4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2.道路（含停车场、运动场、门口广场、喷水池）：</w:t>
      </w:r>
    </w:p>
    <w:p w14:paraId="5FA39DA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（1）雨污水井口、明渠的清掏及喷药；果皮箱的清扫。</w:t>
      </w:r>
    </w:p>
    <w:p w14:paraId="735698B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（2）大院、道路、运动场、喷水池的清扫冲洗。</w:t>
      </w:r>
    </w:p>
    <w:p w14:paraId="1F7C7EB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（3）停车场及车库的卫生保洁。</w:t>
      </w:r>
    </w:p>
    <w:p w14:paraId="26F4EBD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3.生产车间：</w:t>
      </w:r>
    </w:p>
    <w:p w14:paraId="7A426D8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生产车间地面（包括地面以上4米的墙体蜘蛛网及灰尘、门窗、护栏等保洁），保持地面洁净，无垃圾，地面4米以内无蜘蛛网，门窗、外墙、不锈钢扶手、天花、灭火器、安全用品柜、清水池玻璃罩、检验室的外围玻璃、阀门罩、池体盖板及垃圾网等洁净。</w:t>
      </w:r>
    </w:p>
    <w:p w14:paraId="72C549F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生产车间屋面（包括屋面排水渠、雨水立管疏通），保持屋面清洁，无垃圾。</w:t>
      </w:r>
    </w:p>
    <w:p w14:paraId="07E8CBD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生产车间（设施）外露管道，保持管道清洁，无蜘蛛网。</w:t>
      </w:r>
    </w:p>
    <w:p w14:paraId="7D49E5C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4.水面清洁：</w:t>
      </w:r>
    </w:p>
    <w:p w14:paraId="57FE154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水面垃圾的打捞清除，保持水面清洁。（含粗格栅、细格栅、絮凝池、沉淀池/二沉池、滤池、回收池、收集池、综合池、取水口等构筑物）。</w:t>
      </w:r>
    </w:p>
    <w:p w14:paraId="068CF91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5.池壁清洁：</w:t>
      </w:r>
    </w:p>
    <w:p w14:paraId="48FB2005">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构筑物（含粗格栅、细格栅、格栅间、絮凝池、沉淀池/二沉池、集水槽、滤池、综合池、配水井、贮泥池、污泥泵房、消毒接触池、计量槽、脱水机房等）的池壁（含出水明渠、紫外渠池壁）、护栏、楼梯、走道板、气管槽、斜管、出水堰板、标识标牌、除臭罩等的清洁。</w:t>
      </w:r>
    </w:p>
    <w:p w14:paraId="2F9AE3E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6.生活垃圾的清除，包括办公场所、值班室、宿舍、厨房等产生的垃圾，生活垃圾必须每天清除出厂，盛装垃圾的清洁垃圾桶、垃圾胶袋均由乙方提供。</w:t>
      </w:r>
    </w:p>
    <w:p w14:paraId="4FDE425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生产垃圾的清除，包括生产各车间、粗格栅、细格栅、格栅间、絮凝池、沉淀池/二沉池、滤池、配水井等产生的垃圾，各类格栅的栅渣、沉砂池的泥沙、水面浮泥浮渣均属于生产垃圾的范围，生产垃圾必须每天清除出厂。盛装垃圾的清洁垃圾桶、垃圾胶袋由乙方提供。</w:t>
      </w:r>
    </w:p>
    <w:p w14:paraId="4DCA833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b/>
          <w:bCs/>
          <w:sz w:val="21"/>
          <w:szCs w:val="21"/>
          <w:highlight w:val="none"/>
        </w:rPr>
      </w:pPr>
      <w:r>
        <w:rPr>
          <w:rFonts w:hint="eastAsia" w:ascii="宋体" w:hAnsi="宋体" w:eastAsia="宋体" w:cs="宋体"/>
          <w:b/>
          <w:bCs/>
          <w:sz w:val="21"/>
          <w:szCs w:val="21"/>
          <w:highlight w:val="none"/>
        </w:rPr>
        <w:t>（四）绿化养护服务包括但不限于以下内容：</w:t>
      </w:r>
    </w:p>
    <w:p w14:paraId="2F49D92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1.绿化的成活、修剪、施肥、浇水、除虫、清除杂草等日常养护。</w:t>
      </w:r>
    </w:p>
    <w:p w14:paraId="2046F93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ascii="宋体" w:hAnsi="宋体" w:eastAsia="宋体" w:cs="宋体"/>
          <w:sz w:val="21"/>
          <w:szCs w:val="21"/>
          <w:highlight w:val="none"/>
          <w:lang w:val="en-US" w:eastAsia="zh-CN"/>
        </w:rPr>
      </w:pPr>
      <w:r>
        <w:rPr>
          <w:rFonts w:hint="eastAsia" w:eastAsia="宋体" w:cs="宋体"/>
          <w:sz w:val="21"/>
          <w:szCs w:val="21"/>
          <w:highlight w:val="none"/>
          <w:lang w:val="en-US" w:eastAsia="zh-CN"/>
        </w:rPr>
        <w:t>2.乔（灌）木修剪、施肥、浇水、除虫及修剪后产生的绿化垃圾清运等，制定修剪、施肥工作计划并落实。</w:t>
      </w:r>
    </w:p>
    <w:p w14:paraId="4E00A85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eastAsia="宋体" w:cs="宋体"/>
          <w:sz w:val="21"/>
          <w:szCs w:val="21"/>
          <w:highlight w:val="none"/>
          <w:lang w:val="en-US" w:eastAsia="zh-CN"/>
        </w:rPr>
        <w:t>3</w:t>
      </w:r>
      <w:r>
        <w:rPr>
          <w:rFonts w:hint="eastAsia" w:ascii="宋体" w:hAnsi="宋体" w:eastAsia="宋体" w:cs="宋体"/>
          <w:sz w:val="21"/>
          <w:szCs w:val="21"/>
          <w:highlight w:val="none"/>
        </w:rPr>
        <w:t>.绿地保洁、草地铺沙平整（必须用疏草机对草地进行疏草）和植物老化的复壮等，绿化养护期内出现植物枯死情况，要求补种同规格同种类植物（花坛内的时花种养除外）。</w:t>
      </w:r>
    </w:p>
    <w:p w14:paraId="24E8988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eastAsia="宋体" w:cs="宋体"/>
          <w:sz w:val="21"/>
          <w:szCs w:val="21"/>
          <w:highlight w:val="none"/>
          <w:lang w:val="en-US" w:eastAsia="zh-CN"/>
        </w:rPr>
        <w:t>4</w:t>
      </w:r>
      <w:r>
        <w:rPr>
          <w:rFonts w:hint="eastAsia" w:ascii="宋体" w:hAnsi="宋体" w:eastAsia="宋体" w:cs="宋体"/>
          <w:sz w:val="21"/>
          <w:szCs w:val="21"/>
          <w:highlight w:val="none"/>
        </w:rPr>
        <w:t>.厂建绿化设施的日常维护、清洁。包括：绿地洒水及喷灌系统的清洁、损坏维修；绿地内排水沟、雨水井口保洁及清淤、损坏维修等。</w:t>
      </w:r>
    </w:p>
    <w:p w14:paraId="24670CE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eastAsia="宋体" w:cs="宋体"/>
          <w:sz w:val="21"/>
          <w:szCs w:val="21"/>
          <w:highlight w:val="none"/>
          <w:lang w:val="en-US" w:eastAsia="zh-CN"/>
        </w:rPr>
        <w:t>5</w:t>
      </w:r>
      <w:r>
        <w:rPr>
          <w:rFonts w:hint="eastAsia" w:ascii="宋体" w:hAnsi="宋体" w:eastAsia="宋体" w:cs="宋体"/>
          <w:sz w:val="21"/>
          <w:szCs w:val="21"/>
          <w:highlight w:val="none"/>
        </w:rPr>
        <w:t>.足球场维护，每周剪草一次，施肥一次，护期内出现草地枯死情况，需按同种标准补种草皮并养活。</w:t>
      </w:r>
    </w:p>
    <w:p w14:paraId="743DEE3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eastAsia="宋体" w:cs="宋体"/>
          <w:sz w:val="21"/>
          <w:szCs w:val="21"/>
          <w:highlight w:val="none"/>
          <w:lang w:val="en-US" w:eastAsia="zh-CN"/>
        </w:rPr>
        <w:t>6</w:t>
      </w:r>
      <w:r>
        <w:rPr>
          <w:rFonts w:hint="eastAsia" w:ascii="宋体" w:hAnsi="宋体" w:eastAsia="宋体" w:cs="宋体"/>
          <w:sz w:val="21"/>
          <w:szCs w:val="21"/>
          <w:highlight w:val="none"/>
        </w:rPr>
        <w:t>.园林绿化垃圾的清除，包括厂区清理的杂草及树木的树叶等，园林绿化垃圾必须及时清除出厂，盛装垃圾的清洁垃圾桶、垃圾胶袋均由乙方提供。</w:t>
      </w:r>
    </w:p>
    <w:p w14:paraId="1BF0BF4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2" w:firstLineChars="200"/>
        <w:textAlignment w:val="auto"/>
        <w:rPr>
          <w:rFonts w:hint="eastAsia" w:ascii="宋体" w:hAnsi="宋体" w:eastAsia="宋体" w:cs="宋体"/>
          <w:sz w:val="21"/>
          <w:szCs w:val="21"/>
          <w:highlight w:val="none"/>
        </w:rPr>
      </w:pPr>
      <w:r>
        <w:rPr>
          <w:rFonts w:hint="eastAsia" w:ascii="宋体" w:hAnsi="宋体" w:eastAsia="宋体" w:cs="宋体"/>
          <w:b/>
          <w:bCs/>
          <w:sz w:val="21"/>
          <w:szCs w:val="21"/>
          <w:highlight w:val="none"/>
        </w:rPr>
        <w:t>（五）除“四害”及灭蚁防治服务包括但不限于以下内容：</w:t>
      </w:r>
    </w:p>
    <w:p w14:paraId="723BA11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1.按照以下安排，对行政区域（含含生产车间、办公楼内部）和生产区域实施喷洒式或烟雾式灭蚊子、苍蝇、蟑螂工作（特殊情况下应服从供水公司要求增加服务次数）：</w:t>
      </w:r>
    </w:p>
    <w:p w14:paraId="5665CE85">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（1）越冬蚊杀灭阶段（每年12月至次年3月），每月一次：每月第1周周五开展1次集中消杀行动，逢法定节假日可适当调整；</w:t>
      </w:r>
    </w:p>
    <w:p w14:paraId="0244A21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（2）应对准备阶段（4至5月），每周一次：每周五开展 1 次集中消杀行动；</w:t>
      </w:r>
    </w:p>
    <w:p w14:paraId="6602D4E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（3）防控强化阶段（6至11月），每周二次：每周二、周五各开展1次集中消杀行动。</w:t>
      </w:r>
    </w:p>
    <w:p w14:paraId="2873DA9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2.每周至少实施1次全厂区灭鼠、灭红火蚁工作，施放老鼠药及填补鼠洞，及时清理死鼠。</w:t>
      </w:r>
    </w:p>
    <w:p w14:paraId="2AC4438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3.每半月至少1次对厂区所有区域（含生产车间、办公楼内部）进行白蚁检查，如有发现应立即进行防治处理。</w:t>
      </w:r>
    </w:p>
    <w:p w14:paraId="51987A7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4.害虫繁殖高峰期要加强防治工作，保证效果。</w:t>
      </w:r>
    </w:p>
    <w:p w14:paraId="665802E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5.特殊情况下（例如“登革热”爆发期），应</w:t>
      </w:r>
      <w:r>
        <w:rPr>
          <w:rFonts w:hint="eastAsia" w:eastAsia="宋体" w:cs="宋体"/>
          <w:sz w:val="21"/>
          <w:szCs w:val="21"/>
          <w:highlight w:val="none"/>
          <w:lang w:val="en-US" w:eastAsia="zh-CN"/>
        </w:rPr>
        <w:t>甲方</w:t>
      </w:r>
      <w:r>
        <w:rPr>
          <w:rFonts w:hint="eastAsia" w:ascii="宋体" w:hAnsi="宋体" w:eastAsia="宋体" w:cs="宋体"/>
          <w:sz w:val="21"/>
          <w:szCs w:val="21"/>
          <w:highlight w:val="none"/>
        </w:rPr>
        <w:t>要求加强除“四害”力度，保证效果。</w:t>
      </w:r>
    </w:p>
    <w:p w14:paraId="69962A4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6.服务范围内收集动物尸体工作（含老鼠、蟑螂等收集清理工作），并将尸体无害化处理。</w:t>
      </w:r>
    </w:p>
    <w:p w14:paraId="3EC51EE5">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r>
        <w:rPr>
          <w:rFonts w:hint="eastAsia" w:ascii="宋体" w:hAnsi="宋体" w:eastAsia="宋体" w:cs="宋体"/>
          <w:sz w:val="21"/>
          <w:szCs w:val="21"/>
          <w:highlight w:val="none"/>
        </w:rPr>
        <w:t>7.每周1次对行政区域和生产区域下水渠实施灭蚊处理。</w:t>
      </w:r>
    </w:p>
    <w:p w14:paraId="17765DE1">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rPr>
      </w:pPr>
    </w:p>
    <w:p w14:paraId="277D961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2" w:firstLineChars="200"/>
        <w:textAlignment w:val="auto"/>
        <w:outlineLvl w:val="1"/>
        <w:rPr>
          <w:rFonts w:hint="eastAsia" w:ascii="宋体" w:hAnsi="宋体" w:eastAsia="宋体" w:cs="宋体"/>
          <w:sz w:val="21"/>
          <w:szCs w:val="21"/>
          <w:highlight w:val="none"/>
          <w:u w:val="single"/>
        </w:rPr>
      </w:pPr>
      <w:r>
        <w:rPr>
          <w:rFonts w:hint="eastAsia" w:ascii="宋体" w:hAnsi="宋体" w:eastAsia="宋体" w:cs="宋体"/>
          <w:b/>
          <w:sz w:val="21"/>
          <w:szCs w:val="21"/>
          <w:highlight w:val="none"/>
        </w:rPr>
        <w:t>二、服务地点及服务期</w:t>
      </w:r>
    </w:p>
    <w:p w14:paraId="1DCB80E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eastAsia" w:ascii="宋体" w:hAnsi="宋体" w:eastAsia="宋体" w:cs="宋体"/>
          <w:sz w:val="21"/>
          <w:szCs w:val="21"/>
          <w:highlight w:val="none"/>
          <w:u w:val="single"/>
        </w:rPr>
      </w:pPr>
      <w:r>
        <w:rPr>
          <w:rFonts w:hint="eastAsia" w:ascii="宋体" w:hAnsi="宋体" w:eastAsia="宋体" w:cs="宋体"/>
          <w:sz w:val="21"/>
          <w:szCs w:val="21"/>
          <w:highlight w:val="none"/>
        </w:rPr>
        <w:t>1</w:t>
      </w:r>
      <w:r>
        <w:rPr>
          <w:rFonts w:hint="eastAsia" w:ascii="宋体" w:hAnsi="宋体" w:eastAsia="宋体" w:cs="宋体"/>
          <w:sz w:val="21"/>
          <w:szCs w:val="21"/>
          <w:highlight w:val="none"/>
          <w:lang w:val="en-US" w:eastAsia="zh-CN"/>
        </w:rPr>
        <w:t>.</w:t>
      </w:r>
      <w:r>
        <w:rPr>
          <w:rFonts w:hint="eastAsia" w:ascii="宋体" w:hAnsi="宋体" w:eastAsia="宋体" w:cs="宋体"/>
          <w:sz w:val="21"/>
          <w:szCs w:val="21"/>
          <w:highlight w:val="none"/>
        </w:rPr>
        <w:t>服务地点：东莞市辖区内，各服务点所在地。</w:t>
      </w:r>
    </w:p>
    <w:p w14:paraId="48F3F65B">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eastAsia="宋体" w:cs="宋体"/>
          <w:sz w:val="21"/>
          <w:szCs w:val="21"/>
          <w:highlight w:val="none"/>
        </w:rPr>
      </w:pPr>
      <w:r>
        <w:rPr>
          <w:rFonts w:hint="eastAsia" w:eastAsia="宋体" w:cs="宋体"/>
          <w:sz w:val="21"/>
          <w:szCs w:val="21"/>
          <w:highlight w:val="none"/>
        </w:rPr>
        <w:t>2</w:t>
      </w:r>
      <w:r>
        <w:rPr>
          <w:rFonts w:hint="eastAsia" w:eastAsia="宋体" w:cs="宋体"/>
          <w:sz w:val="21"/>
          <w:szCs w:val="21"/>
          <w:highlight w:val="none"/>
          <w:lang w:val="en-US" w:eastAsia="zh-CN"/>
        </w:rPr>
        <w:t>.</w:t>
      </w:r>
      <w:r>
        <w:rPr>
          <w:rFonts w:hint="eastAsia" w:eastAsia="宋体" w:cs="宋体"/>
          <w:sz w:val="21"/>
          <w:szCs w:val="21"/>
          <w:highlight w:val="none"/>
        </w:rPr>
        <w:t>服务合同期：自</w:t>
      </w:r>
      <w:r>
        <w:rPr>
          <w:rFonts w:hint="eastAsia" w:eastAsia="宋体" w:cs="宋体"/>
          <w:sz w:val="21"/>
          <w:szCs w:val="21"/>
          <w:highlight w:val="none"/>
          <w:lang w:val="en-US" w:eastAsia="zh-CN"/>
        </w:rPr>
        <w:t>甲方</w:t>
      </w:r>
      <w:r>
        <w:rPr>
          <w:rFonts w:hint="eastAsia" w:eastAsia="宋体" w:cs="宋体"/>
          <w:sz w:val="21"/>
          <w:szCs w:val="21"/>
          <w:highlight w:val="none"/>
        </w:rPr>
        <w:t>发出书面通知单明确入场时间之日起至2027年6月30日止，暂定从2026年3月1日起</w:t>
      </w:r>
      <w:r>
        <w:rPr>
          <w:rFonts w:hint="eastAsia" w:eastAsia="宋体" w:cs="宋体"/>
          <w:sz w:val="21"/>
          <w:szCs w:val="21"/>
          <w:highlight w:val="none"/>
          <w:lang w:eastAsia="zh-CN"/>
        </w:rPr>
        <w:t>至</w:t>
      </w:r>
      <w:r>
        <w:rPr>
          <w:rFonts w:hint="eastAsia" w:eastAsia="宋体" w:cs="宋体"/>
          <w:sz w:val="21"/>
          <w:szCs w:val="21"/>
          <w:highlight w:val="none"/>
        </w:rPr>
        <w:t>2027年6月30日止，16个月。</w:t>
      </w:r>
    </w:p>
    <w:p w14:paraId="09012E05">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eastAsia="宋体" w:cs="宋体"/>
          <w:sz w:val="21"/>
          <w:szCs w:val="21"/>
          <w:highlight w:val="none"/>
        </w:rPr>
      </w:pPr>
      <w:r>
        <w:rPr>
          <w:rFonts w:hint="eastAsia" w:eastAsia="宋体" w:cs="宋体"/>
          <w:bCs/>
          <w:sz w:val="21"/>
          <w:szCs w:val="21"/>
          <w:highlight w:val="none"/>
        </w:rPr>
        <w:t>3</w:t>
      </w:r>
      <w:r>
        <w:rPr>
          <w:rFonts w:hint="eastAsia" w:eastAsia="宋体" w:cs="宋体"/>
          <w:bCs/>
          <w:sz w:val="21"/>
          <w:szCs w:val="21"/>
          <w:highlight w:val="none"/>
          <w:lang w:val="en-US" w:eastAsia="zh-CN"/>
        </w:rPr>
        <w:t>.</w:t>
      </w:r>
      <w:r>
        <w:rPr>
          <w:rFonts w:hint="eastAsia" w:eastAsia="宋体" w:cs="宋体"/>
          <w:sz w:val="21"/>
          <w:szCs w:val="21"/>
          <w:highlight w:val="none"/>
        </w:rPr>
        <w:t>在合同服务期内，甲方根据服务点的实际情况需要，明确该服务点的具体人员数量、进驻时间、服务费用及其支付事宜。</w:t>
      </w:r>
    </w:p>
    <w:p w14:paraId="32016A07">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eastAsia="宋体" w:cs="宋体"/>
          <w:sz w:val="21"/>
          <w:szCs w:val="21"/>
          <w:highlight w:val="none"/>
          <w:u w:val="single"/>
        </w:rPr>
      </w:pPr>
    </w:p>
    <w:p w14:paraId="0C4C57BA">
      <w:pPr>
        <w:pStyle w:val="33"/>
        <w:keepNext w:val="0"/>
        <w:keepLines w:val="0"/>
        <w:pageBreakBefore w:val="0"/>
        <w:kinsoku/>
        <w:wordWrap/>
        <w:overflowPunct/>
        <w:topLinePunct w:val="0"/>
        <w:bidi w:val="0"/>
        <w:adjustRightInd/>
        <w:snapToGrid/>
        <w:spacing w:before="0" w:beforeAutospacing="0" w:after="0" w:afterAutospacing="0" w:line="360" w:lineRule="auto"/>
        <w:ind w:firstLine="422" w:firstLineChars="200"/>
        <w:textAlignment w:val="auto"/>
        <w:outlineLvl w:val="1"/>
        <w:rPr>
          <w:rFonts w:eastAsia="宋体" w:cs="宋体"/>
          <w:b/>
          <w:sz w:val="21"/>
          <w:szCs w:val="21"/>
          <w:highlight w:val="none"/>
        </w:rPr>
      </w:pPr>
      <w:r>
        <w:rPr>
          <w:rFonts w:hint="eastAsia" w:eastAsia="宋体" w:cs="宋体"/>
          <w:b/>
          <w:sz w:val="21"/>
          <w:szCs w:val="21"/>
          <w:highlight w:val="none"/>
        </w:rPr>
        <w:t>三、承包方式</w:t>
      </w:r>
    </w:p>
    <w:p w14:paraId="41955E44">
      <w:pPr>
        <w:pStyle w:val="33"/>
        <w:keepNext w:val="0"/>
        <w:keepLines w:val="0"/>
        <w:pageBreakBefore w:val="0"/>
        <w:kinsoku/>
        <w:wordWrap/>
        <w:overflowPunct/>
        <w:topLinePunct w:val="0"/>
        <w:bidi w:val="0"/>
        <w:adjustRightInd/>
        <w:snapToGrid/>
        <w:spacing w:before="0" w:beforeAutospacing="0" w:after="0" w:afterAutospacing="0" w:line="360" w:lineRule="auto"/>
        <w:ind w:firstLine="420" w:firstLineChars="200"/>
        <w:textAlignment w:val="auto"/>
        <w:rPr>
          <w:rFonts w:eastAsia="宋体" w:cs="宋体"/>
          <w:sz w:val="21"/>
          <w:szCs w:val="21"/>
          <w:highlight w:val="none"/>
        </w:rPr>
      </w:pPr>
      <w:r>
        <w:rPr>
          <w:rFonts w:hint="eastAsia" w:eastAsia="宋体" w:cs="宋体"/>
          <w:sz w:val="21"/>
          <w:szCs w:val="21"/>
          <w:highlight w:val="none"/>
        </w:rPr>
        <w:t>1</w:t>
      </w:r>
      <w:r>
        <w:rPr>
          <w:rFonts w:hint="eastAsia" w:eastAsia="宋体" w:cs="宋体"/>
          <w:sz w:val="21"/>
          <w:szCs w:val="21"/>
          <w:highlight w:val="none"/>
          <w:lang w:val="en-US" w:eastAsia="zh-CN"/>
        </w:rPr>
        <w:t>.</w:t>
      </w:r>
      <w:r>
        <w:rPr>
          <w:rFonts w:hint="eastAsia" w:eastAsia="宋体" w:cs="宋体"/>
          <w:sz w:val="21"/>
          <w:szCs w:val="21"/>
          <w:highlight w:val="none"/>
        </w:rPr>
        <w:t>按</w:t>
      </w:r>
      <w:r>
        <w:rPr>
          <w:rFonts w:hint="eastAsia" w:eastAsia="宋体" w:cs="宋体"/>
          <w:sz w:val="21"/>
          <w:szCs w:val="21"/>
          <w:highlight w:val="none"/>
          <w:lang w:val="en-US" w:eastAsia="zh-CN"/>
        </w:rPr>
        <w:t>暂定</w:t>
      </w:r>
      <w:r>
        <w:rPr>
          <w:rFonts w:hint="eastAsia" w:eastAsia="宋体" w:cs="宋体"/>
          <w:sz w:val="21"/>
          <w:szCs w:val="21"/>
          <w:highlight w:val="none"/>
        </w:rPr>
        <w:t>合同价包工、包料（清洁工具，清洁剂，肥料，农药等）、包机械设备（工具）、包管理期、包质量、包安全文明措施、包设施维护、包垃圾处理等服务过程中所需的全部费用。服务</w:t>
      </w:r>
      <w:r>
        <w:rPr>
          <w:rFonts w:hint="eastAsia" w:eastAsia="宋体" w:cs="宋体"/>
          <w:sz w:val="21"/>
          <w:szCs w:val="21"/>
          <w:highlight w:val="none"/>
          <w:lang w:val="en-US" w:eastAsia="zh-CN"/>
        </w:rPr>
        <w:t>费</w:t>
      </w:r>
      <w:r>
        <w:rPr>
          <w:rFonts w:hint="eastAsia" w:eastAsia="宋体" w:cs="宋体"/>
          <w:sz w:val="21"/>
          <w:szCs w:val="21"/>
          <w:highlight w:val="none"/>
        </w:rPr>
        <w:t>计价表</w:t>
      </w:r>
      <w:r>
        <w:rPr>
          <w:rFonts w:hint="eastAsia" w:eastAsia="宋体" w:cs="宋体"/>
          <w:sz w:val="21"/>
          <w:szCs w:val="21"/>
          <w:highlight w:val="none"/>
          <w:lang w:eastAsia="zh-CN"/>
        </w:rPr>
        <w:t>（</w:t>
      </w:r>
      <w:r>
        <w:rPr>
          <w:rFonts w:hint="eastAsia" w:eastAsia="宋体" w:cs="宋体"/>
          <w:sz w:val="21"/>
          <w:szCs w:val="21"/>
          <w:highlight w:val="none"/>
          <w:lang w:val="en-US" w:eastAsia="zh-CN"/>
        </w:rPr>
        <w:t>详</w:t>
      </w:r>
      <w:r>
        <w:rPr>
          <w:rFonts w:hint="eastAsia" w:eastAsia="宋体" w:cs="宋体"/>
          <w:bCs/>
          <w:sz w:val="21"/>
          <w:szCs w:val="21"/>
          <w:highlight w:val="none"/>
        </w:rPr>
        <w:t>见附件</w:t>
      </w:r>
      <w:r>
        <w:rPr>
          <w:rFonts w:hint="eastAsia" w:eastAsia="宋体" w:cs="宋体"/>
          <w:bCs/>
          <w:sz w:val="21"/>
          <w:szCs w:val="21"/>
          <w:highlight w:val="none"/>
          <w:lang w:val="en-US" w:eastAsia="zh-CN"/>
        </w:rPr>
        <w:t>八</w:t>
      </w:r>
      <w:r>
        <w:rPr>
          <w:rFonts w:hint="eastAsia" w:eastAsia="宋体" w:cs="宋体"/>
          <w:sz w:val="21"/>
          <w:szCs w:val="21"/>
          <w:highlight w:val="none"/>
          <w:lang w:eastAsia="zh-CN"/>
        </w:rPr>
        <w:t>）</w:t>
      </w:r>
      <w:r>
        <w:rPr>
          <w:rFonts w:hint="eastAsia" w:eastAsia="宋体" w:cs="宋体"/>
          <w:sz w:val="21"/>
          <w:szCs w:val="21"/>
          <w:highlight w:val="none"/>
        </w:rPr>
        <w:t>中的</w:t>
      </w:r>
      <w:r>
        <w:rPr>
          <w:rFonts w:hint="eastAsia" w:eastAsia="宋体" w:cs="宋体"/>
          <w:sz w:val="21"/>
          <w:szCs w:val="21"/>
          <w:highlight w:val="none"/>
          <w:lang w:val="en-US" w:eastAsia="zh-CN"/>
        </w:rPr>
        <w:t>服务点及</w:t>
      </w:r>
      <w:r>
        <w:rPr>
          <w:rFonts w:hint="eastAsia" w:eastAsia="宋体" w:cs="宋体"/>
          <w:sz w:val="21"/>
          <w:szCs w:val="21"/>
          <w:highlight w:val="none"/>
        </w:rPr>
        <w:t>服务</w:t>
      </w:r>
      <w:r>
        <w:rPr>
          <w:rFonts w:hint="eastAsia" w:eastAsia="宋体" w:cs="宋体"/>
          <w:sz w:val="21"/>
          <w:szCs w:val="21"/>
          <w:highlight w:val="none"/>
          <w:lang w:val="en-US" w:eastAsia="zh-CN"/>
        </w:rPr>
        <w:t>面积</w:t>
      </w:r>
      <w:r>
        <w:rPr>
          <w:rFonts w:hint="eastAsia" w:eastAsia="宋体" w:cs="宋体"/>
          <w:sz w:val="21"/>
          <w:szCs w:val="21"/>
          <w:highlight w:val="none"/>
        </w:rPr>
        <w:t>仅为方便合计</w:t>
      </w:r>
      <w:r>
        <w:rPr>
          <w:rFonts w:hint="eastAsia" w:eastAsia="宋体" w:cs="宋体"/>
          <w:sz w:val="21"/>
          <w:szCs w:val="21"/>
          <w:highlight w:val="none"/>
          <w:lang w:val="en-US" w:eastAsia="zh-CN"/>
        </w:rPr>
        <w:t>暂定</w:t>
      </w:r>
      <w:r>
        <w:rPr>
          <w:rFonts w:hint="eastAsia" w:eastAsia="宋体" w:cs="宋体"/>
          <w:sz w:val="21"/>
          <w:szCs w:val="21"/>
          <w:highlight w:val="none"/>
        </w:rPr>
        <w:t>合同价，不作为甲方最终</w:t>
      </w:r>
      <w:r>
        <w:rPr>
          <w:rFonts w:hint="eastAsia" w:eastAsia="宋体" w:cs="宋体"/>
          <w:sz w:val="21"/>
          <w:szCs w:val="21"/>
          <w:highlight w:val="none"/>
          <w:lang w:val="en-US" w:eastAsia="zh-CN"/>
        </w:rPr>
        <w:t>采购数量</w:t>
      </w:r>
      <w:r>
        <w:rPr>
          <w:rFonts w:hint="eastAsia" w:eastAsia="宋体" w:cs="宋体"/>
          <w:sz w:val="21"/>
          <w:szCs w:val="21"/>
          <w:highlight w:val="none"/>
        </w:rPr>
        <w:t>的保证。</w:t>
      </w:r>
    </w:p>
    <w:p w14:paraId="756605F7">
      <w:pPr>
        <w:pStyle w:val="33"/>
        <w:keepNext w:val="0"/>
        <w:keepLines w:val="0"/>
        <w:pageBreakBefore w:val="0"/>
        <w:kinsoku/>
        <w:wordWrap/>
        <w:overflowPunct/>
        <w:topLinePunct w:val="0"/>
        <w:bidi w:val="0"/>
        <w:adjustRightInd/>
        <w:snapToGrid/>
        <w:spacing w:before="0" w:beforeAutospacing="0" w:after="0" w:afterAutospacing="0" w:line="360" w:lineRule="auto"/>
        <w:ind w:firstLine="420" w:firstLineChars="200"/>
        <w:textAlignment w:val="auto"/>
        <w:rPr>
          <w:rFonts w:hint="default" w:eastAsia="宋体" w:cs="宋体"/>
          <w:sz w:val="21"/>
          <w:szCs w:val="21"/>
          <w:highlight w:val="none"/>
          <w:lang w:val="en-US" w:eastAsia="zh-CN"/>
        </w:rPr>
      </w:pPr>
      <w:r>
        <w:rPr>
          <w:rFonts w:hint="eastAsia" w:eastAsia="宋体" w:cs="宋体"/>
          <w:sz w:val="21"/>
          <w:szCs w:val="21"/>
          <w:highlight w:val="none"/>
          <w:lang w:val="en-US" w:eastAsia="zh-CN"/>
        </w:rPr>
        <w:t>2.</w:t>
      </w:r>
      <w:r>
        <w:rPr>
          <w:rFonts w:hint="eastAsia" w:ascii="宋体" w:hAnsi="宋体" w:eastAsia="宋体" w:cs="宋体"/>
          <w:color w:val="auto"/>
          <w:kern w:val="0"/>
          <w:sz w:val="21"/>
          <w:szCs w:val="21"/>
          <w:highlight w:val="none"/>
          <w:lang w:bidi="ar"/>
        </w:rPr>
        <w:t>合同履约过程中，如</w:t>
      </w:r>
      <w:r>
        <w:rPr>
          <w:rFonts w:hint="eastAsia" w:eastAsia="宋体" w:cs="宋体"/>
          <w:color w:val="auto"/>
          <w:kern w:val="0"/>
          <w:sz w:val="21"/>
          <w:szCs w:val="21"/>
          <w:highlight w:val="none"/>
          <w:lang w:val="en-US" w:eastAsia="zh-CN" w:bidi="ar"/>
        </w:rPr>
        <w:t>甲方</w:t>
      </w:r>
      <w:r>
        <w:rPr>
          <w:rFonts w:hint="eastAsia" w:ascii="宋体" w:hAnsi="宋体" w:eastAsia="宋体" w:cs="宋体"/>
          <w:color w:val="auto"/>
          <w:kern w:val="0"/>
          <w:sz w:val="21"/>
          <w:szCs w:val="21"/>
          <w:highlight w:val="none"/>
          <w:lang w:bidi="ar"/>
        </w:rPr>
        <w:t>有需要或有新增的办公点或生产点需要清洁保洁、绿化养护和除“四害”及灭蚁防治服务，可按中标折扣系数与</w:t>
      </w:r>
      <w:r>
        <w:rPr>
          <w:rFonts w:hint="eastAsia" w:eastAsia="宋体" w:cs="宋体"/>
          <w:color w:val="auto"/>
          <w:kern w:val="0"/>
          <w:sz w:val="21"/>
          <w:szCs w:val="21"/>
          <w:highlight w:val="none"/>
          <w:lang w:val="en-US" w:eastAsia="zh-CN" w:bidi="ar"/>
        </w:rPr>
        <w:t>乙方</w:t>
      </w:r>
      <w:r>
        <w:rPr>
          <w:rFonts w:hint="eastAsia" w:ascii="宋体" w:hAnsi="宋体" w:eastAsia="宋体" w:cs="宋体"/>
          <w:color w:val="auto"/>
          <w:kern w:val="0"/>
          <w:sz w:val="21"/>
          <w:szCs w:val="21"/>
          <w:highlight w:val="none"/>
          <w:lang w:bidi="ar"/>
        </w:rPr>
        <w:t>签订补充协议。补充协议中各服务点每月结算费用=∑各项服务</w:t>
      </w:r>
      <w:r>
        <w:rPr>
          <w:rFonts w:hint="eastAsia" w:ascii="宋体" w:hAnsi="宋体" w:eastAsia="宋体" w:cs="宋体"/>
          <w:bCs/>
          <w:color w:val="auto"/>
          <w:kern w:val="0"/>
          <w:sz w:val="21"/>
          <w:szCs w:val="21"/>
          <w:highlight w:val="none"/>
          <w:lang w:bidi="ar"/>
        </w:rPr>
        <w:t>不含税预算综合</w:t>
      </w:r>
      <w:r>
        <w:rPr>
          <w:rFonts w:hint="eastAsia" w:ascii="宋体" w:hAnsi="宋体" w:eastAsia="宋体" w:cs="宋体"/>
          <w:color w:val="auto"/>
          <w:kern w:val="0"/>
          <w:sz w:val="21"/>
          <w:szCs w:val="21"/>
          <w:highlight w:val="none"/>
          <w:lang w:bidi="ar"/>
        </w:rPr>
        <w:t>单价×当月该项实际服务面积×中标折扣系数，实际服务面积以</w:t>
      </w:r>
      <w:r>
        <w:rPr>
          <w:rFonts w:hint="eastAsia" w:eastAsia="宋体" w:cs="宋体"/>
          <w:color w:val="auto"/>
          <w:kern w:val="0"/>
          <w:sz w:val="21"/>
          <w:szCs w:val="21"/>
          <w:highlight w:val="none"/>
          <w:lang w:val="en-US" w:eastAsia="zh-CN" w:bidi="ar"/>
        </w:rPr>
        <w:t>甲方</w:t>
      </w:r>
      <w:r>
        <w:rPr>
          <w:rFonts w:hint="eastAsia" w:ascii="宋体" w:hAnsi="宋体" w:eastAsia="宋体" w:cs="宋体"/>
          <w:color w:val="auto"/>
          <w:kern w:val="0"/>
          <w:sz w:val="21"/>
          <w:szCs w:val="21"/>
          <w:highlight w:val="none"/>
          <w:lang w:bidi="ar"/>
        </w:rPr>
        <w:t>确认为准。</w:t>
      </w:r>
    </w:p>
    <w:p w14:paraId="5C6D440B">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kern w:val="0"/>
          <w:sz w:val="21"/>
          <w:szCs w:val="21"/>
          <w:highlight w:val="none"/>
          <w:lang w:eastAsia="zh-CN" w:bidi="ar"/>
        </w:rPr>
      </w:pPr>
      <w:r>
        <w:rPr>
          <w:rFonts w:hint="eastAsia" w:eastAsia="宋体" w:cs="宋体"/>
          <w:sz w:val="21"/>
          <w:szCs w:val="21"/>
          <w:highlight w:val="none"/>
          <w:lang w:val="en-US" w:eastAsia="zh-CN"/>
        </w:rPr>
        <w:t>3.</w:t>
      </w:r>
      <w:r>
        <w:rPr>
          <w:rFonts w:hint="eastAsia" w:eastAsia="宋体" w:cs="宋体"/>
          <w:sz w:val="21"/>
          <w:szCs w:val="21"/>
          <w:highlight w:val="none"/>
        </w:rPr>
        <w:t>甲方（含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分公司）每月根据考评结果情况支付实际服务费给乙方</w:t>
      </w:r>
      <w:r>
        <w:rPr>
          <w:rFonts w:hint="eastAsia" w:eastAsia="宋体" w:cs="宋体"/>
          <w:kern w:val="0"/>
          <w:sz w:val="21"/>
          <w:szCs w:val="21"/>
          <w:highlight w:val="none"/>
          <w:lang w:eastAsia="zh-CN" w:bidi="ar"/>
        </w:rPr>
        <w:t>：</w:t>
      </w:r>
    </w:p>
    <w:p w14:paraId="3CB69C77">
      <w:pPr>
        <w:pStyle w:val="33"/>
        <w:keepNext w:val="0"/>
        <w:keepLines w:val="0"/>
        <w:pageBreakBefore w:val="0"/>
        <w:numPr>
          <w:ilvl w:val="0"/>
          <w:numId w:val="0"/>
        </w:numPr>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kern w:val="0"/>
          <w:sz w:val="21"/>
          <w:szCs w:val="21"/>
          <w:highlight w:val="none"/>
          <w:lang w:bidi="ar"/>
        </w:rPr>
      </w:pPr>
      <w:r>
        <w:rPr>
          <w:rFonts w:hint="eastAsia" w:ascii="宋体" w:hAnsi="宋体" w:eastAsia="宋体" w:cs="宋体"/>
          <w:kern w:val="0"/>
          <w:sz w:val="21"/>
          <w:szCs w:val="21"/>
          <w:highlight w:val="none"/>
          <w:lang w:val="en-US" w:eastAsia="zh-CN" w:bidi="ar"/>
        </w:rPr>
        <w:t>（1）</w:t>
      </w:r>
      <w:r>
        <w:rPr>
          <w:rFonts w:hint="eastAsia" w:eastAsia="宋体" w:cs="宋体"/>
          <w:kern w:val="0"/>
          <w:sz w:val="21"/>
          <w:szCs w:val="21"/>
          <w:highlight w:val="none"/>
          <w:lang w:eastAsia="zh-CN" w:bidi="ar"/>
        </w:rPr>
        <w:t>当实际考核项目总分满分为100分，</w:t>
      </w:r>
      <w:r>
        <w:rPr>
          <w:rFonts w:hint="eastAsia" w:eastAsia="宋体" w:cs="宋体"/>
          <w:kern w:val="0"/>
          <w:sz w:val="21"/>
          <w:szCs w:val="21"/>
          <w:highlight w:val="none"/>
          <w:lang w:bidi="ar"/>
        </w:rPr>
        <w:t>如甲方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分公司）对乙方的服务考核评分达到90分或以上的，该月服务费全额支付；如甲方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分公司）对乙方的服务考核评分不足90分的，该月实际支付的服务费=该月应支付服务费×当月考核评分占比；如发现累计两个月未达到60分时，且乙方没有提供令甲方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分公司）认可的整改方案的，甲方有权单方解除合同。</w:t>
      </w:r>
    </w:p>
    <w:p w14:paraId="5AFE92C4">
      <w:pPr>
        <w:pStyle w:val="33"/>
        <w:keepNext w:val="0"/>
        <w:keepLines w:val="0"/>
        <w:pageBreakBefore w:val="0"/>
        <w:kinsoku/>
        <w:wordWrap/>
        <w:overflowPunct/>
        <w:topLinePunct w:val="0"/>
        <w:bidi w:val="0"/>
        <w:adjustRightInd/>
        <w:snapToGrid/>
        <w:spacing w:before="0" w:beforeAutospacing="0" w:after="0" w:afterAutospacing="0" w:line="360" w:lineRule="auto"/>
        <w:ind w:firstLine="420" w:firstLineChars="200"/>
        <w:textAlignment w:val="auto"/>
        <w:rPr>
          <w:rFonts w:hint="eastAsia" w:eastAsia="宋体" w:cs="宋体"/>
          <w:sz w:val="21"/>
          <w:szCs w:val="21"/>
          <w:highlight w:val="none"/>
        </w:rPr>
      </w:pP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当实际考核项目总分满分不足100分，将考核分数按百分制进行折算（折算分数=实际得分/满分</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100），折算后高于90%</w:t>
      </w:r>
      <w:r>
        <w:rPr>
          <w:rFonts w:hint="eastAsia" w:ascii="宋体" w:hAnsi="宋体" w:eastAsia="宋体" w:cs="宋体"/>
          <w:kern w:val="0"/>
          <w:sz w:val="21"/>
          <w:szCs w:val="21"/>
          <w:highlight w:val="none"/>
          <w:lang w:bidi="ar"/>
        </w:rPr>
        <w:t>或以上的，该月服务费全额支付；如甲方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对乙方的服务考核评分</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不足90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的，该月实际支付的服务费=该月应支付服务费×</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折算分数/100</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；如发现累计两个月</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未达到60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时，且</w:t>
      </w:r>
      <w:r>
        <w:rPr>
          <w:rFonts w:hint="eastAsia" w:ascii="宋体" w:hAnsi="宋体" w:eastAsia="宋体" w:cs="宋体"/>
          <w:kern w:val="0"/>
          <w:sz w:val="21"/>
          <w:szCs w:val="21"/>
          <w:highlight w:val="none"/>
          <w:lang w:val="en-US" w:eastAsia="zh-CN" w:bidi="ar"/>
        </w:rPr>
        <w:t>乙方</w:t>
      </w:r>
      <w:r>
        <w:rPr>
          <w:rFonts w:hint="eastAsia" w:ascii="宋体" w:hAnsi="宋体" w:eastAsia="宋体" w:cs="宋体"/>
          <w:kern w:val="0"/>
          <w:sz w:val="21"/>
          <w:szCs w:val="21"/>
          <w:highlight w:val="none"/>
          <w:lang w:bidi="ar"/>
        </w:rPr>
        <w:t>没有提供令</w:t>
      </w:r>
      <w:r>
        <w:rPr>
          <w:rFonts w:hint="eastAsia" w:ascii="宋体" w:hAnsi="宋体" w:eastAsia="宋体" w:cs="宋体"/>
          <w:kern w:val="0"/>
          <w:sz w:val="21"/>
          <w:szCs w:val="21"/>
          <w:highlight w:val="none"/>
          <w:lang w:val="en-US" w:eastAsia="zh-CN" w:bidi="ar"/>
        </w:rPr>
        <w:t>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认可的整改方案的</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甲方有权单方解除合同。</w:t>
      </w:r>
    </w:p>
    <w:p w14:paraId="574B2B7F">
      <w:pPr>
        <w:pStyle w:val="33"/>
        <w:keepNext w:val="0"/>
        <w:keepLines w:val="0"/>
        <w:pageBreakBefore w:val="0"/>
        <w:kinsoku/>
        <w:wordWrap/>
        <w:overflowPunct/>
        <w:topLinePunct w:val="0"/>
        <w:bidi w:val="0"/>
        <w:adjustRightInd/>
        <w:snapToGrid/>
        <w:spacing w:before="0" w:beforeAutospacing="0" w:after="0" w:afterAutospacing="0" w:line="360" w:lineRule="auto"/>
        <w:ind w:firstLine="420" w:firstLineChars="200"/>
        <w:textAlignment w:val="auto"/>
        <w:rPr>
          <w:rFonts w:hint="eastAsia" w:eastAsia="宋体" w:cs="宋体"/>
          <w:sz w:val="21"/>
          <w:szCs w:val="21"/>
          <w:highlight w:val="none"/>
        </w:rPr>
      </w:pPr>
      <w:r>
        <w:rPr>
          <w:rFonts w:hint="eastAsia" w:eastAsia="宋体" w:cs="宋体"/>
          <w:sz w:val="21"/>
          <w:szCs w:val="21"/>
          <w:highlight w:val="none"/>
          <w:lang w:val="en-US" w:eastAsia="zh-CN"/>
        </w:rPr>
        <w:t>4.</w:t>
      </w:r>
      <w:r>
        <w:rPr>
          <w:rFonts w:hint="eastAsia" w:eastAsia="宋体" w:cs="宋体"/>
          <w:sz w:val="21"/>
          <w:szCs w:val="21"/>
          <w:highlight w:val="none"/>
        </w:rPr>
        <w:t>承包期间所需水费（含污水处理费）由甲方</w:t>
      </w:r>
      <w:r>
        <w:rPr>
          <w:rFonts w:hint="eastAsia" w:ascii="宋体" w:hAnsi="宋体" w:eastAsia="宋体" w:cs="宋体"/>
          <w:color w:val="auto"/>
          <w:kern w:val="0"/>
          <w:sz w:val="21"/>
          <w:szCs w:val="21"/>
          <w:highlight w:val="none"/>
          <w:lang w:bidi="ar"/>
        </w:rPr>
        <w:t>或其权属分公司</w:t>
      </w:r>
      <w:r>
        <w:rPr>
          <w:rFonts w:hint="eastAsia" w:eastAsia="宋体" w:cs="宋体"/>
          <w:sz w:val="21"/>
          <w:szCs w:val="21"/>
          <w:highlight w:val="none"/>
        </w:rPr>
        <w:t>支付，所需设施维护费、垃圾处理费等由乙方支付。按国家规定应由乙方缴纳的各种费用已包含在合同价内，由乙方负责向有关部门支付。</w:t>
      </w:r>
    </w:p>
    <w:p w14:paraId="0977EC9A">
      <w:pPr>
        <w:pStyle w:val="33"/>
        <w:keepNext w:val="0"/>
        <w:keepLines w:val="0"/>
        <w:pageBreakBefore w:val="0"/>
        <w:kinsoku/>
        <w:wordWrap/>
        <w:overflowPunct/>
        <w:topLinePunct w:val="0"/>
        <w:bidi w:val="0"/>
        <w:adjustRightInd/>
        <w:snapToGrid/>
        <w:spacing w:before="0" w:beforeAutospacing="0" w:after="0" w:afterAutospacing="0" w:line="360" w:lineRule="auto"/>
        <w:ind w:firstLine="420" w:firstLineChars="200"/>
        <w:textAlignment w:val="auto"/>
        <w:rPr>
          <w:rFonts w:eastAsia="宋体" w:cs="宋体"/>
          <w:sz w:val="21"/>
          <w:szCs w:val="21"/>
          <w:highlight w:val="none"/>
        </w:rPr>
      </w:pPr>
      <w:r>
        <w:rPr>
          <w:rFonts w:hint="eastAsia" w:eastAsia="宋体" w:cs="宋体"/>
          <w:sz w:val="21"/>
          <w:szCs w:val="21"/>
          <w:highlight w:val="none"/>
          <w:lang w:val="en-US" w:eastAsia="zh-CN"/>
        </w:rPr>
        <w:t>5.上述结算费用，</w:t>
      </w:r>
      <w:r>
        <w:rPr>
          <w:rFonts w:hint="eastAsia" w:eastAsia="宋体" w:cs="宋体"/>
          <w:sz w:val="21"/>
          <w:szCs w:val="21"/>
          <w:highlight w:val="none"/>
        </w:rPr>
        <w:t>计算过程中按四舍五入的规则保留小数点后四位，确定支付金额后按四舍五入的规则保留小数点后两位。</w:t>
      </w:r>
    </w:p>
    <w:p w14:paraId="0DDED113">
      <w:pPr>
        <w:pStyle w:val="33"/>
        <w:keepNext w:val="0"/>
        <w:keepLines w:val="0"/>
        <w:pageBreakBefore w:val="0"/>
        <w:kinsoku/>
        <w:wordWrap/>
        <w:overflowPunct/>
        <w:topLinePunct w:val="0"/>
        <w:bidi w:val="0"/>
        <w:adjustRightInd/>
        <w:snapToGrid/>
        <w:spacing w:before="0" w:beforeAutospacing="0" w:after="0" w:afterAutospacing="0" w:line="360" w:lineRule="auto"/>
        <w:ind w:firstLine="420" w:firstLineChars="200"/>
        <w:textAlignment w:val="auto"/>
        <w:rPr>
          <w:rFonts w:eastAsia="宋体" w:cs="宋体"/>
          <w:sz w:val="21"/>
          <w:szCs w:val="21"/>
          <w:highlight w:val="none"/>
        </w:rPr>
      </w:pPr>
      <w:r>
        <w:rPr>
          <w:rFonts w:hint="eastAsia" w:eastAsia="宋体" w:cs="宋体"/>
          <w:sz w:val="21"/>
          <w:szCs w:val="21"/>
          <w:highlight w:val="none"/>
        </w:rPr>
        <w:t xml:space="preserve"> </w:t>
      </w:r>
    </w:p>
    <w:p w14:paraId="072A0190">
      <w:pPr>
        <w:pStyle w:val="33"/>
        <w:keepNext w:val="0"/>
        <w:keepLines w:val="0"/>
        <w:pageBreakBefore w:val="0"/>
        <w:kinsoku/>
        <w:wordWrap/>
        <w:overflowPunct/>
        <w:topLinePunct w:val="0"/>
        <w:bidi w:val="0"/>
        <w:adjustRightInd/>
        <w:snapToGrid/>
        <w:spacing w:before="0" w:beforeAutospacing="0" w:after="0" w:afterAutospacing="0" w:line="360" w:lineRule="auto"/>
        <w:ind w:firstLine="422" w:firstLineChars="200"/>
        <w:textAlignment w:val="auto"/>
        <w:outlineLvl w:val="1"/>
        <w:rPr>
          <w:rFonts w:hint="default" w:eastAsia="宋体" w:cs="宋体"/>
          <w:b/>
          <w:sz w:val="21"/>
          <w:szCs w:val="21"/>
          <w:highlight w:val="none"/>
          <w:lang w:val="en-US" w:eastAsia="zh-CN"/>
        </w:rPr>
      </w:pPr>
      <w:r>
        <w:rPr>
          <w:rFonts w:hint="eastAsia" w:eastAsia="宋体" w:cs="宋体"/>
          <w:b/>
          <w:sz w:val="21"/>
          <w:szCs w:val="21"/>
          <w:highlight w:val="none"/>
        </w:rPr>
        <w:t>四、</w:t>
      </w:r>
      <w:r>
        <w:rPr>
          <w:rFonts w:hint="eastAsia" w:eastAsia="宋体" w:cs="宋体"/>
          <w:b/>
          <w:sz w:val="21"/>
          <w:szCs w:val="21"/>
          <w:highlight w:val="none"/>
          <w:lang w:val="en-US" w:eastAsia="zh-CN"/>
        </w:rPr>
        <w:t>工作要求</w:t>
      </w:r>
    </w:p>
    <w:p w14:paraId="5637AB17">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（一）日常制度：</w:t>
      </w:r>
    </w:p>
    <w:p w14:paraId="21309FA0">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1、乙方工作人员要按时上下班，上下班时间由乙方报甲方或其权属分公司同意后实行，</w:t>
      </w:r>
      <w:r>
        <w:rPr>
          <w:rFonts w:hint="eastAsia" w:ascii="宋体" w:hAnsi="宋体" w:eastAsia="宋体" w:cs="宋体"/>
          <w:kern w:val="0"/>
          <w:szCs w:val="21"/>
          <w:highlight w:val="none"/>
          <w:lang w:val="en-US" w:eastAsia="zh-CN" w:bidi="ar"/>
        </w:rPr>
        <w:t>乙方</w:t>
      </w:r>
      <w:r>
        <w:rPr>
          <w:rFonts w:hint="eastAsia" w:ascii="宋体" w:hAnsi="宋体" w:eastAsia="宋体" w:cs="宋体"/>
          <w:kern w:val="0"/>
          <w:szCs w:val="21"/>
          <w:highlight w:val="none"/>
          <w:lang w:bidi="ar"/>
        </w:rPr>
        <w:t>班前班后须清点人数。</w:t>
      </w:r>
    </w:p>
    <w:p w14:paraId="505D278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pPr>
    </w:p>
    <w:p w14:paraId="726338D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2、乙方工作人员要求：其中，涉及水面、池壁、池体清洁的男女员工懂水性。所有员工穿统一工作服，不能出现如草帽乌黑、穿拖鞋、上下服装不统一等着装不整齐</w:t>
      </w:r>
      <w:r>
        <w:rPr>
          <w:rFonts w:hint="eastAsia" w:ascii="宋体" w:hAnsi="宋体" w:eastAsia="宋体" w:cs="宋体"/>
          <w:color w:val="auto"/>
          <w:kern w:val="0"/>
          <w:sz w:val="21"/>
          <w:szCs w:val="21"/>
          <w:highlight w:val="none"/>
          <w:lang w:eastAsia="zh-CN" w:bidi="ar"/>
        </w:rPr>
        <w:t>的</w:t>
      </w:r>
      <w:r>
        <w:rPr>
          <w:rFonts w:hint="eastAsia" w:ascii="宋体" w:hAnsi="宋体" w:eastAsia="宋体" w:cs="宋体"/>
          <w:color w:val="auto"/>
          <w:kern w:val="0"/>
          <w:sz w:val="21"/>
          <w:szCs w:val="21"/>
          <w:highlight w:val="none"/>
          <w:lang w:val="en-US" w:eastAsia="zh-CN" w:bidi="ar"/>
        </w:rPr>
        <w:t>情况</w:t>
      </w:r>
      <w:r>
        <w:rPr>
          <w:rFonts w:hint="eastAsia" w:ascii="宋体" w:hAnsi="宋体" w:eastAsia="宋体" w:cs="宋体"/>
          <w:kern w:val="0"/>
          <w:szCs w:val="21"/>
          <w:highlight w:val="none"/>
          <w:lang w:bidi="ar"/>
        </w:rPr>
        <w:t>。</w:t>
      </w:r>
    </w:p>
    <w:p w14:paraId="0421331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3、乙方须向工作人员明确具有危险性的服务项目清单（包括但不限于：构筑物池面垃圾清理、构筑物池体清洗和清理杂草丛等），在开展危险作业前，必须按相关人员配置要求落实</w:t>
      </w:r>
      <w:r>
        <w:rPr>
          <w:rFonts w:hint="eastAsia" w:ascii="宋体" w:hAnsi="宋体" w:eastAsia="宋体" w:cs="宋体"/>
          <w:color w:val="auto"/>
          <w:kern w:val="0"/>
          <w:sz w:val="21"/>
          <w:szCs w:val="21"/>
          <w:highlight w:val="none"/>
          <w:lang w:val="en-US" w:eastAsia="zh-CN" w:bidi="ar"/>
        </w:rPr>
        <w:t>防护措施</w:t>
      </w:r>
      <w:r>
        <w:rPr>
          <w:rFonts w:hint="eastAsia" w:ascii="宋体" w:hAnsi="宋体" w:eastAsia="宋体" w:cs="宋体"/>
          <w:kern w:val="0"/>
          <w:szCs w:val="21"/>
          <w:highlight w:val="none"/>
          <w:lang w:bidi="ar"/>
        </w:rPr>
        <w:t>。</w:t>
      </w:r>
    </w:p>
    <w:p w14:paraId="4EE6482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（二）清洁保洁：</w:t>
      </w:r>
    </w:p>
    <w:p w14:paraId="70D5A7B0">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1.室内行政办公区（含办公楼、宿舍、食堂等）：每日至少清扫一次。包括但不限于办公室、会议室、接待室、饭堂、厨房、茶水间、洗手间、楼梯、电梯、顶层天花板、生活楼、宿舍楼、值班室、健身活动室及相关公共区域的清洁保洁工作。营业厅、领导办公室、会议室、接待室、厕所等公共区域，随时处理突发卫生情况。确保办公区干净整洁。</w:t>
      </w:r>
    </w:p>
    <w:p w14:paraId="334A690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2.路面（含大院、运动场、广场）每周至少保洁三次（如专家检查或水厂开放日等来访参观活动，按厂区要求进行保洁），保持路面洁净，无垃圾、积水、污迹。大院、停车场、广场、喷水池（如有）、运动场地面每周清洗一次。</w:t>
      </w:r>
    </w:p>
    <w:p w14:paraId="351DD84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3.生产车间地面（包括地面以上4米的墙体蜘蛛网及灰尘、门窗、护栏等保洁）每周保洁两次，保持地面洁净，无垃圾，地面4米以内无蜘蛛网，门窗洁净。生产车间屋面（包括屋面排水渠、雨水立管疏通），每季度保洁一次，保持屋面清洁，无垃圾。生产车间（设施）外露管道，每季度保洁一次，保持管道清洁，无蜘蛛网。</w:t>
      </w:r>
    </w:p>
    <w:p w14:paraId="680F348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4.取水口、格栅间、配水井、絮凝池、沉淀池、滤池等处的垃圾（含泥沙）每天清理外运出厂。垃圾桶要每周进行冲水消毒。</w:t>
      </w:r>
    </w:p>
    <w:p w14:paraId="0E4A2D0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5.取水口、格栅间、配水井、絮凝池、沉淀池、滤池等构筑物的楼梯、护栏（栏杆）、走道板、斜管、标识标牌以保持无积尘、蜘蛛网和鸟粪，每周拖、抹次数不少于1次。</w:t>
      </w:r>
    </w:p>
    <w:p w14:paraId="0C80598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6.取水口、格栅间、配水井、絮凝池、沉淀池、滤池等构筑物池内壁清洗需每周1-2次（具体以厂区需求为准）要求达到池壁干净，无积泥、青苔刮吸泥机支架应无蜘蛛网附着，虹吸管口无垃圾堆积，以免堵塞虹吸口。清洁集水槽及出水堰，要求无青苔、污泥附着。对于厂区池壁清洗、水面清洁有临时需求的，</w:t>
      </w:r>
      <w:r>
        <w:rPr>
          <w:rFonts w:hint="eastAsia" w:ascii="宋体" w:hAnsi="宋体" w:eastAsia="宋体" w:cs="宋体"/>
          <w:kern w:val="0"/>
          <w:szCs w:val="21"/>
          <w:highlight w:val="none"/>
          <w:lang w:val="en-US" w:eastAsia="zh-CN" w:bidi="ar"/>
        </w:rPr>
        <w:t>乙方</w:t>
      </w:r>
      <w:r>
        <w:rPr>
          <w:rFonts w:hint="eastAsia" w:ascii="宋体" w:hAnsi="宋体" w:eastAsia="宋体" w:cs="宋体"/>
          <w:kern w:val="0"/>
          <w:szCs w:val="21"/>
          <w:highlight w:val="none"/>
          <w:lang w:bidi="ar"/>
        </w:rPr>
        <w:t>根据厂区需求做好清洗或配合工作。</w:t>
      </w:r>
    </w:p>
    <w:p w14:paraId="25F2D1F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7.甲方或其权属分公司进行絮凝池、沉淀池、滤池等构筑物放空大修时，乙方应负责安排保洁人员用水带进行清理和冲洗池底、池壁和设备上的污泥及青苔，乙方或乙方委托的第三方单位外运垃圾须具备城市垃圾收集或倾倒的合法途径，并负责垃圾外运和承担相应的费用。冲洗设备时应按照甲方的要求进行。</w:t>
      </w:r>
    </w:p>
    <w:p w14:paraId="31499FD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8.如有突击性的保洁任务时，乙方应按时、按标准、按要求完成甲方所分配的保洁任务。</w:t>
      </w:r>
    </w:p>
    <w:p w14:paraId="7378689E">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9.保洁人员在清洁作业时，要遵守厂内的安全作业标准，尤其进行沉淀池、生物池清洁时，一定按要求佩戴安全带或穿救生衣，以免发生安全事故。</w:t>
      </w:r>
    </w:p>
    <w:p w14:paraId="4138E0CE">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10.负责生产区垃圾和办公区、宿舍区、食堂等生活区域的垃圾每天外运出厂。</w:t>
      </w:r>
    </w:p>
    <w:p w14:paraId="2C4D461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11.室外场地、道路、停车场等保持清洁无积尘、纸屑、树叶、烟头等杂物。</w:t>
      </w:r>
    </w:p>
    <w:p w14:paraId="56CDCA67">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12.路灯、牌匾、宣传栏、标识标牌美观、整洁，无乱贴无污渍现象。</w:t>
      </w:r>
    </w:p>
    <w:p w14:paraId="7E8869EF">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13.所有清洁区域应达到无蚊、虫、老鼠、蛛网、果皮、烟头、纸屑，门、窗、墙面等经常打扫、清理，保持无</w:t>
      </w:r>
      <w:r>
        <w:rPr>
          <w:rFonts w:hint="eastAsia" w:ascii="宋体" w:hAnsi="宋体" w:eastAsia="宋体" w:cs="宋体"/>
          <w:kern w:val="0"/>
          <w:szCs w:val="21"/>
          <w:highlight w:val="none"/>
          <w:lang w:eastAsia="zh-CN" w:bidi="ar"/>
        </w:rPr>
        <w:t>污渍</w:t>
      </w:r>
      <w:r>
        <w:rPr>
          <w:rFonts w:hint="eastAsia" w:ascii="宋体" w:hAnsi="宋体" w:eastAsia="宋体" w:cs="宋体"/>
          <w:kern w:val="0"/>
          <w:szCs w:val="21"/>
          <w:highlight w:val="none"/>
          <w:lang w:bidi="ar"/>
        </w:rPr>
        <w:t>、积尘、积水。</w:t>
      </w:r>
    </w:p>
    <w:p w14:paraId="70AD163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14.节假日，各服务点至少需清洁一次（办公区的公共区域需每日清扫一次），保证节假日期间，生产及办公场所整洁卫生。</w:t>
      </w:r>
    </w:p>
    <w:p w14:paraId="3EBDAE2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15.本项目清洁物资由乙方自行配备，必须满足办公、生活区域保洁的要求。清洁物资包括但不限于:清洁工具(车)盒、洗地车、水、百洁布、毛巾、扫帚、箕、清洁剂喷壶手刷、胶皮手套、玻璃刮、告示牌、垃圾袋、吸尘器、墩布(车)、梯子、全能清洁剂、玻璃洁洁剂、消毒酒精、铲刀、洁厕剂、洗手液、可降解垃圾袋、玻璃清洁剂、不锈钢清洁剂家居蜡、芳香球等。</w:t>
      </w:r>
    </w:p>
    <w:p w14:paraId="57EC2D4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（三）绿化养护</w:t>
      </w:r>
      <w:r>
        <w:rPr>
          <w:rFonts w:hint="eastAsia" w:ascii="宋体" w:hAnsi="宋体" w:eastAsia="宋体" w:cs="宋体"/>
          <w:b/>
          <w:kern w:val="0"/>
          <w:szCs w:val="21"/>
          <w:highlight w:val="none"/>
          <w:lang w:bidi="ar"/>
        </w:rPr>
        <w:t>按二级</w:t>
      </w:r>
      <w:r>
        <w:rPr>
          <w:rFonts w:hint="eastAsia" w:ascii="宋体" w:hAnsi="宋体" w:eastAsia="宋体" w:cs="宋体"/>
          <w:kern w:val="0"/>
          <w:szCs w:val="21"/>
          <w:highlight w:val="none"/>
          <w:lang w:bidi="ar"/>
        </w:rPr>
        <w:t>养护质量标准（仅限市第三、四、六水厂及松山湖水厂）：</w:t>
      </w:r>
    </w:p>
    <w:p w14:paraId="1D024267">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1.按照广东省《城市绿地养护技术规范》DB44/T268—2005的规定对绿地进行养护，制订较完善的养护技术方案，建有工种齐全和相对稳定的养护队伍，养护基本到位、得当，基本达到黄土不露天，绿地总体景观较好。</w:t>
      </w:r>
    </w:p>
    <w:p w14:paraId="4250554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2.园林植物</w:t>
      </w:r>
    </w:p>
    <w:p w14:paraId="3AF607EF">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2.1草坪植物叶片大小、色泽正常，基本无枯黄叶；其它植物新梢枝叶萌发正常，叶片大小和色泽正常，基本无枯枝败叶。新建植草坪的绿色期和覆盖率在一年内、其它新种植物的生长状况在两年内达到二级养护标准。</w:t>
      </w:r>
    </w:p>
    <w:p w14:paraId="75847DEE">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2.2乔木树冠基本完整，生长与开花结果正常；主侧枝分布基本合理，分枝点高度与树种特性基本相适应，分枝不影响游览及观景。基本无死株、缺株。</w:t>
      </w:r>
      <w:r>
        <w:rPr>
          <w:rFonts w:hint="eastAsia" w:ascii="宋体" w:hAnsi="宋体" w:eastAsia="宋体" w:cs="宋体"/>
          <w:kern w:val="0"/>
          <w:szCs w:val="21"/>
          <w:highlight w:val="none"/>
          <w:lang w:val="en-US" w:eastAsia="zh-CN" w:bidi="ar"/>
        </w:rPr>
        <w:t>人</w:t>
      </w:r>
      <w:r>
        <w:rPr>
          <w:rFonts w:hint="eastAsia" w:ascii="宋体" w:hAnsi="宋体" w:eastAsia="宋体" w:cs="宋体"/>
          <w:kern w:val="0"/>
          <w:szCs w:val="21"/>
          <w:highlight w:val="none"/>
          <w:lang w:bidi="ar"/>
        </w:rPr>
        <w:t>行道树的体量、高度基本保持一致，下缘线和分枝点高度的控制基本符合DB44/T268—2005的规定，倾斜率小于5%。</w:t>
      </w:r>
    </w:p>
    <w:p w14:paraId="6B16D25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2.3花灌木生长正常，株型完整，开花正常，花后修剪合理、及时。木本地被植物生长正常，覆盖率达到97%以上，基本无杂草，无死株、缺株。</w:t>
      </w:r>
    </w:p>
    <w:p w14:paraId="6599025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2.4花坛、花带及绿篱轮廓基本清晰，线条基本整齐，无残缺，基本无杂草，修剪及时。</w:t>
      </w:r>
    </w:p>
    <w:p w14:paraId="74F9E9A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2.5造型植物修剪合理，线条基本齐整、圆滑。规则式种植的造型植物，形状或体量基本保持一致；自然式种植的，形状和体量大小符合设计和景观的要求。</w:t>
      </w:r>
    </w:p>
    <w:p w14:paraId="657CD94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2.6藤本植物生长正常，开花适时，牵引合理，覆盖率不低于85%。藤本植物尚未到达棚顶或篱顶时，应设立支撑物并作牵引，以利其攀缠。当以建筑物墙（柱）体为攀缠对象时，应经常进行绑扎、整理。藤本植物的修剪应以促进分枝为主，加快覆盖和攀缠的速度；同时，剪除徒长枝和下垂枝。多年生的藤本植物应定期翻蔓，清除枯枝，疏删老弱藤蔓。</w:t>
      </w:r>
    </w:p>
    <w:p w14:paraId="0B966BC4">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2.7草本花卉正常，株型完整，开花适时，开花时覆盖率达到90%以上，基本无杂草；花后需修剪的，得到合理修剪。</w:t>
      </w:r>
    </w:p>
    <w:p w14:paraId="6A1671C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2.8草坪绿色期不少于250天，覆盖率不小于90%,杂草的覆盖率不超过3%,无积水，修剪合理。</w:t>
      </w:r>
    </w:p>
    <w:p w14:paraId="5B94E4C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2.9水生植物生长旺盛，开花适时，生长范围符合景观要求。</w:t>
      </w:r>
    </w:p>
    <w:p w14:paraId="5799B4D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2.10绿篱生长旺盛，无死株，无明显断垄，无高草杂草，无明显病虫害发生。</w:t>
      </w:r>
    </w:p>
    <w:p w14:paraId="20045F7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2.11补植、改植于5天内完成。草坪补植或改植后一个月内覆盖率达到95%以上，其它植物补植或改植的成活率达到98%以上，补植乔木必须做好支撑。同时树木支撑根据树木生长情况适时进行“松绑”处理。</w:t>
      </w:r>
    </w:p>
    <w:p w14:paraId="0F6BF62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2.12病虫害控制及时、有效，被害植株不超过5%,被害叶片不超过植株叶片总量的3%。有害植物的危害得到及时治理，鼠害基本得到控制。同时注意防治红火蚁，选择使用高效、低毒、低残留、高质量的饵剂和粉剂为主，依据相关使用说明规范用药。</w:t>
      </w:r>
    </w:p>
    <w:p w14:paraId="0EF4ED17">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施肥要求：制定施肥工作计划。乔灌木每年不少于2次，2—3月和9—10月重点进行施肥，复合肥和基肥结合，每次2—3千克/株，对角埋施，新种、补种、生长势弱树木可适时适量多施；观花灌木每年不少于3次，每次0.5千克/株；草本花卉每年不少于4次，成片花卉每月撒施复合肥1次，每次0.15千克/平方米，每年根据其长势和覆盖率情况适当施基肥1—2次，每次0.5千克/平方米；绿篱每年撒施复合肥不少于2次，每次0.15千克/平方米，每年根据其长势和覆盖率情况适当施基肥1—2次，每次0.5千克/平方米；草地、地被每年不少于2次，每次施尿素0.1千克/平方米。</w:t>
      </w:r>
    </w:p>
    <w:p w14:paraId="7AD1F52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4.淋水要求：旱季一般乔木3—5天淋水1次，新补植乔木，淋好定根水后，1周内每天淋水1次；单丛灌木、成片花卉、绿篱一般2—3天淋水1次，补植后一周内每天淋水1次，施肥和补植需加强淋水；草地、地被一般每天淋水1次。雨季根据天气情况适当调节。</w:t>
      </w:r>
    </w:p>
    <w:p w14:paraId="5346167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5.苗木修剪</w:t>
      </w:r>
    </w:p>
    <w:p w14:paraId="1FE7EFB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5.1自然形乔木每年不少于1次，造型乔木每年不少于4次。主要修剪内膛枝、徒长枝、病虫枝、交叉枝、下垂枝、扭伤枝及枯枝烂头等。庭荫树的分枝点应随着树木生长逐步提高，树冠与树干高度的比例应在7：3至6：4之间。行道树在同一路段的分枝点高低、树高、冠幅大小应基本一致。</w:t>
      </w:r>
    </w:p>
    <w:p w14:paraId="7F2DA1B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5.2自然形灌木每年不少于1次，造型灌木每年不少6次。灌木修剪应促进枝繁叶茂、分布均匀。花灌木修剪要有利于短枝和花芽的形成，遵循“自下而上、先内后外、去弱留强、去老留新”的原则进行修剪。</w:t>
      </w:r>
    </w:p>
    <w:p w14:paraId="0178E131">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5.3绿篱、模纹花坛修剪：绿篱、模纹花坛修剪每年不少于6次。</w:t>
      </w:r>
    </w:p>
    <w:p w14:paraId="6C51D94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5.4草坪修剪：结缕草属和狗牙根属草坪草每年不少于6次，假俭草属、地毯草属、钝叶草属草坪草不少于3次。结缕草属草修剪留茬高度1.3—5.0cm，地毯草属草修剪留茬高度2.5—5.0cm，假俭草属草修剪留茬高度2.5—5.0cm，钝叶草属草修剪留茬高度3.8—7.6cm，普通狗牙根修剪留茬高度1.3—3.8cm，杂种狗牙根修剪留茬高度0.6—2.5cm。</w:t>
      </w:r>
    </w:p>
    <w:p w14:paraId="6C0DA250">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5.5休眠期修剪以整形为主，可稍重剪，生长期修剪以调整树势为主，宜轻剪。修剪要避开树木伤流盛期。</w:t>
      </w:r>
    </w:p>
    <w:p w14:paraId="04F01894">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5.6绿化修剪后的枯枝干叶等，在修剪当天及时清理运走，并及时清除灌木丛上的修剪枝，苗木落叶当天及时清扫保洁。</w:t>
      </w:r>
    </w:p>
    <w:p w14:paraId="0EA5EDEE">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5.7制定苗木修剪计划并实施。</w:t>
      </w:r>
    </w:p>
    <w:p w14:paraId="627653C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6.浇灌</w:t>
      </w:r>
    </w:p>
    <w:p w14:paraId="5EE83FF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6.1浇灌的实施应科学、合理、宜采用喷灌或滴灌等节水方式。对于花坛及道路分车带内植物，在干旱季节，可进行叶面喷水。在花芽分化时应适当控制浇灌量，以免园林植物徒长。</w:t>
      </w:r>
    </w:p>
    <w:p w14:paraId="42BB96E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6.2日浇灌的时间应根据季节与气温决定，并注意控制水温与表土温差不宜太大，以免造成根系伤害。夏秋高温季节，浇灌应避开中午烈日，宜在10时之前或16时之后进行；冬季及早春，宜在10时至16时之间进行。</w:t>
      </w:r>
    </w:p>
    <w:p w14:paraId="78E1F15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6.3喷灌时应确保喷水的有效范围与园林植物的种植范围一致。</w:t>
      </w:r>
    </w:p>
    <w:p w14:paraId="59E88D9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7.安全作业</w:t>
      </w:r>
    </w:p>
    <w:p w14:paraId="06E09DB4">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7.1截除较大的树枝、藤蔓或砍伐清除枯死的树体时，应预先制定施工方案和应急预案，采取必要的安全措施。砍伐或清除枯死树体，应严格依次按照先锯除侧枝和主枝，再分段锯除主干、后挖除树兜和回填种植土的操作程序作业。（砍伐城市树木必须经城市人民政府城市绿化行政主管部门批准。）</w:t>
      </w:r>
    </w:p>
    <w:p w14:paraId="5920510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7.2规范开展高空作业工作，高空作业要使用升降车，不得站在车辆车厢、驾驶舱顶部或攀爬树木进行修剪，各单位要严格执行“双报备”、高处作业做到“五个必须”（必须培训持证上岗、必须实行作业审批、必须做好个人防护、必须落实工程措施、必须安排专人监护）。道路树木修剪作业时要做好安全防护措施，占道作业时要做好警示标志及雪糕筒的摆放。</w:t>
      </w:r>
    </w:p>
    <w:p w14:paraId="5B47B440">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（四）绿化养护</w:t>
      </w:r>
      <w:r>
        <w:rPr>
          <w:rFonts w:hint="eastAsia" w:ascii="宋体" w:hAnsi="宋体" w:eastAsia="宋体" w:cs="宋体"/>
          <w:b/>
          <w:bCs/>
          <w:kern w:val="0"/>
          <w:szCs w:val="21"/>
          <w:highlight w:val="none"/>
          <w:lang w:bidi="ar"/>
        </w:rPr>
        <w:t>按三级</w:t>
      </w:r>
      <w:r>
        <w:rPr>
          <w:rFonts w:hint="eastAsia" w:ascii="宋体" w:hAnsi="宋体" w:eastAsia="宋体" w:cs="宋体"/>
          <w:kern w:val="0"/>
          <w:szCs w:val="21"/>
          <w:highlight w:val="none"/>
          <w:lang w:bidi="ar"/>
        </w:rPr>
        <w:t>养护质量标准（其余水厂及分公司）：</w:t>
      </w:r>
    </w:p>
    <w:p w14:paraId="7456E05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1.按照DB44/T268—2005的规定对绿地进行养护，制订较完善的养护技术方案，建有工种齐全和相对稳定的养护队伍，养护基本到位、得当，基本达到黄土不露天，绿地总体景观较好。</w:t>
      </w:r>
    </w:p>
    <w:p w14:paraId="2958A54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2.园林植物</w:t>
      </w:r>
    </w:p>
    <w:p w14:paraId="02561B0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2.1草坪植物叶片大小、色泽正常，基本无枯黄叶；其它植物新梢枝叶萌发正常，叶片大小和色泽正常，基本无枯枝败叶。新建植草坪的绿色期和覆盖率在一年内、其它新种植物的生长状况在两年内达到</w:t>
      </w:r>
      <w:r>
        <w:rPr>
          <w:rFonts w:hint="eastAsia" w:ascii="宋体" w:hAnsi="宋体" w:eastAsia="宋体" w:cs="宋体"/>
          <w:kern w:val="0"/>
          <w:szCs w:val="21"/>
          <w:highlight w:val="none"/>
          <w:lang w:val="en-US" w:eastAsia="zh-CN" w:bidi="ar"/>
        </w:rPr>
        <w:t>三</w:t>
      </w:r>
      <w:r>
        <w:rPr>
          <w:rFonts w:hint="eastAsia" w:ascii="宋体" w:hAnsi="宋体" w:eastAsia="宋体" w:cs="宋体"/>
          <w:kern w:val="0"/>
          <w:szCs w:val="21"/>
          <w:highlight w:val="none"/>
          <w:lang w:bidi="ar"/>
        </w:rPr>
        <w:t>级养护标准。</w:t>
      </w:r>
    </w:p>
    <w:p w14:paraId="5D7614F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2.2乔木树冠基本完整，生长与开花结果正常；分枝基本不影响游览及观景。行道树的倾斜率小于7%。</w:t>
      </w:r>
    </w:p>
    <w:p w14:paraId="125440E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2.3花灌木生长发育基本正常，木本地被覆盖率达到95%以上。</w:t>
      </w:r>
    </w:p>
    <w:p w14:paraId="34C420D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2.4花坛、花带及绿篱基本无残缺，杂草覆盖率小于5%，无死株、缺株。</w:t>
      </w:r>
    </w:p>
    <w:p w14:paraId="66B23BB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2.5造型植物修剪基本合理。规则式种植的造型植物，形状或体量大致一致；自然式种植的，形状和体量基本大小符合设计和景观的要求。</w:t>
      </w:r>
    </w:p>
    <w:p w14:paraId="11EB189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2.6藤本植物生长正常，开花适时，牵引合理，覆盖率不低于80%。藤本植物尚未到达棚顶或篱顶时，应设立支撑物并作牵引，以利其攀缠。当以建筑物墙（柱）体为攀缠对象时，应经常进行绑扎、整理。藤本植物的修剪应以促进分枝为主，加快覆盖和攀缠的速度；同时，剪除徒长枝和下垂枝。多年生的藤本植物应定期翻蔓，清除枯枝，疏删老弱藤蔓。</w:t>
      </w:r>
    </w:p>
    <w:p w14:paraId="1B40EB1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2.7草本花卉基本正常，株型基本完整，开花时覆盖率达到80%以上，杂草覆盖率小于5%；花后需修剪的，基本得到修剪。</w:t>
      </w:r>
    </w:p>
    <w:p w14:paraId="42E9F8C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2.8草坪绿色期不少于230天，覆盖率不小于85%,杂草的覆盖率不超过5%,草坪表面无积水。</w:t>
      </w:r>
    </w:p>
    <w:p w14:paraId="73DF536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2.9水生植物生长基本正常，开花适时。</w:t>
      </w:r>
    </w:p>
    <w:p w14:paraId="6E782E2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2.10绿篱生长基本正常，无死株，无明显断垄，无高草杂草，无明显病虫害发生。</w:t>
      </w:r>
    </w:p>
    <w:p w14:paraId="1177534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2.11补植、改植于7天内完成。草坪补植或改植后一个月内覆盖率达到90%以上，其它植物补植或改植的成活率达到95%以上，补植乔木必须做好支撑。同时树木支撑根据树木生长情况适时进行“松绑”处理。</w:t>
      </w:r>
    </w:p>
    <w:p w14:paraId="10BA786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2.12病虫害控制及时、有效，被害植株不超过7%,被害叶片不超过植株叶片总量的5%。同时注意防治红火蚁，选择使用高效、低毒、低残留、高质量的饵剂和粉剂为主，依据相关使用说明规范用药。</w:t>
      </w:r>
    </w:p>
    <w:p w14:paraId="52BB4EB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3.施肥要求：乔灌木每年不少于1次，2—3月和9—10月重点进行施肥，复合肥和基肥结合，每次2—3千克/株，对角埋施，新种、补种、生长势弱树木可适时适量多施；观花灌木每年不少于2次，每次0.5千克/株；草本花卉每年不少于2次，成片花卉每月撒施复合肥1次，每次0.15千克/平方米，每年根据其长势和覆盖率情况适当施基肥1—2次，每次0.5千克/平方米；绿篱每年撒施复合肥不少于2次，每次0.15千克/平方米，每年根据其长势和覆盖率情况适当施基肥1—2次，每次0.5千克/平方米；草地、地被每年不少于1次，每次施尿素0.1千克/平方米。</w:t>
      </w:r>
    </w:p>
    <w:p w14:paraId="544F4BC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4.淋水要求：旱季一般乔木5-6天淋水1次，新补植乔木，淋好定根水后，1周内每天淋水1次；单丛灌木、成片花卉、绿篱一般3-4天淋水1次，补植后一周内每天淋水1次，施肥和补植需加强淋水；草地、地被一般每天淋水1次。雨季根据天气情况适当调节。</w:t>
      </w:r>
    </w:p>
    <w:p w14:paraId="6D551D3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5.苗木修剪</w:t>
      </w:r>
    </w:p>
    <w:p w14:paraId="304C0CF4">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5.1自然形乔木每年不少于1次，造型乔木每年不少于2次。主要修剪内膛枝、徒长枝、病虫枝、交叉枝、下垂枝、扭伤枝及枯枝烂头等。庭荫树的分枝点应随着树木生长逐步提高，树冠与树干高度的比例应在7：3至6：4之间。行道树在同一路段的分枝点高低、树高、冠幅大小应基本一致。</w:t>
      </w:r>
    </w:p>
    <w:p w14:paraId="01BD29F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5.2自然形灌木每年不少于1次，造型灌木每年不少4次。灌木修剪应促进枝繁叶茂、分布均匀。花灌木修剪要有利于短枝和花芽的形成，遵循“自下而上、先内后外、去弱留强、去老留新”的原则进行修剪。</w:t>
      </w:r>
    </w:p>
    <w:p w14:paraId="197D83A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5.3绿篱、模纹花坛修剪：绿篱、模纹花坛修剪每年不少于4次。</w:t>
      </w:r>
    </w:p>
    <w:p w14:paraId="4795B9A0">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5.4草坪修剪：结缕草属和狗牙根属草坪草每年不少于3次，假俭草属、地毯草属、钝叶草属草坪草不少于2次。结缕草属草修剪留茬高度1.3—5.0cm，地毯草属草修剪留茬高度2.5—5.0cm，假俭草属草修剪留茬高度2.5—5.0cm，钝叶草属草修剪留茬高度3.8—7.6cm，普通狗牙根修剪留茬高度1.3—3.8cm，杂种狗牙根修剪留茬高度0.6—2.5cm。</w:t>
      </w:r>
    </w:p>
    <w:p w14:paraId="275847AD">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5.5休眠期修剪以整形为主，可稍重剪，生长期修剪以调整树势为主，宜轻剪。修剪要避开树木伤流盛期。</w:t>
      </w:r>
    </w:p>
    <w:p w14:paraId="0D9DA3E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5.6绿化修剪后的枯枝干叶等，在修剪当天及时清理运走，并及时清除灌木丛上的修剪枝，苗木落叶当天及时清扫保洁。</w:t>
      </w:r>
    </w:p>
    <w:p w14:paraId="5CDFE64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5.7制定苗木修剪计划并实施。</w:t>
      </w:r>
    </w:p>
    <w:p w14:paraId="09850917">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6.浇灌</w:t>
      </w:r>
    </w:p>
    <w:p w14:paraId="0ED5C7E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6.1浇灌的实施应科学、合理、宜采用喷灌或滴灌等节水方式。对于花坛及道路分车带内植物，在干旱季节，可进行叶面喷水。在花芽分化时应适当控制浇灌量，以免园林植物徒长。</w:t>
      </w:r>
    </w:p>
    <w:p w14:paraId="77503DFF">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6.2日浇灌的时间应根据季节与气温决定，并注意控制水温与表土温差不宜太大，以免造成根系伤害。夏秋高温季节，浇灌应避开中午烈日，宜在10时之前或16时之后进行；冬季及早春，宜在10时至16时之间进行。</w:t>
      </w:r>
    </w:p>
    <w:p w14:paraId="7076A5F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6.3喷灌时应确保喷水的有效范围与园林植物的种植范围一致。</w:t>
      </w:r>
    </w:p>
    <w:p w14:paraId="1B7ACF8E">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7.安全作业</w:t>
      </w:r>
    </w:p>
    <w:p w14:paraId="5AC345E6">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kern w:val="0"/>
          <w:szCs w:val="21"/>
          <w:highlight w:val="none"/>
          <w:lang w:bidi="ar"/>
        </w:rPr>
      </w:pPr>
      <w:r>
        <w:rPr>
          <w:rFonts w:hint="eastAsia" w:ascii="宋体" w:hAnsi="宋体" w:eastAsia="宋体" w:cs="宋体"/>
          <w:kern w:val="0"/>
          <w:szCs w:val="21"/>
          <w:highlight w:val="none"/>
          <w:lang w:bidi="ar"/>
        </w:rPr>
        <w:t>7.1截除较大的树枝、藤蔓或砍伐清除枯死的树体时，应预先制定施工方案和应急预案，采取必要的安全措施。砍伐或清除枯死树体，应严格依次按照先锯除侧枝和主枝，再分段锯除主干、后挖除树兜和回填种植土的操作程序作业。（砍伐城市树木必须经城市人民政府城市绿化行政主管部门批准。）</w:t>
      </w:r>
    </w:p>
    <w:p w14:paraId="3FFAD11D">
      <w:pPr>
        <w:keepNext w:val="0"/>
        <w:keepLines w:val="0"/>
        <w:pageBreakBefore w:val="0"/>
        <w:kinsoku/>
        <w:wordWrap/>
        <w:overflowPunct/>
        <w:topLinePunct w:val="0"/>
        <w:bidi w:val="0"/>
        <w:adjustRightInd/>
        <w:snapToGrid/>
        <w:spacing w:line="360" w:lineRule="auto"/>
        <w:ind w:firstLine="420" w:firstLineChars="200"/>
        <w:textAlignment w:val="auto"/>
        <w:rPr>
          <w:highlight w:val="none"/>
        </w:rPr>
      </w:pPr>
      <w:r>
        <w:rPr>
          <w:rFonts w:hint="eastAsia" w:ascii="宋体" w:hAnsi="宋体" w:eastAsia="宋体" w:cs="宋体"/>
          <w:kern w:val="0"/>
          <w:szCs w:val="21"/>
          <w:highlight w:val="none"/>
          <w:lang w:bidi="ar"/>
        </w:rPr>
        <w:t>7.2规范开展高空作业工作，高空作业要使用升降车，不得站在车辆车厢、驾驶舱顶部或攀爬树木进行修剪，各单位要严格执行“双报备”、高处作业做到“五个必须”（必须培训持证上岗、必须实行作业审批、必须做好个人防护、必须落实工程措施、必须安排专人监护）。道路树木修剪作业时要做好安全防护措施，占道作业时要做好警示标志及雪糕筒的摆放。</w:t>
      </w:r>
    </w:p>
    <w:p w14:paraId="486A3FDF">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（五）除“四害”及灭蚁防治服务：</w:t>
      </w:r>
    </w:p>
    <w:p w14:paraId="59572E3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1.</w:t>
      </w:r>
      <w:r>
        <w:rPr>
          <w:rFonts w:hint="eastAsia" w:ascii="宋体" w:hAnsi="宋体" w:eastAsia="宋体" w:cs="宋体"/>
          <w:kern w:val="0"/>
          <w:szCs w:val="21"/>
          <w:highlight w:val="none"/>
          <w:lang w:val="en-US" w:eastAsia="zh-CN" w:bidi="ar"/>
        </w:rPr>
        <w:t>乙方</w:t>
      </w:r>
      <w:r>
        <w:rPr>
          <w:rFonts w:hint="eastAsia" w:ascii="宋体" w:hAnsi="宋体" w:eastAsia="宋体" w:cs="宋体"/>
          <w:kern w:val="0"/>
          <w:szCs w:val="21"/>
          <w:highlight w:val="none"/>
          <w:lang w:bidi="ar"/>
        </w:rPr>
        <w:t>必须具备“四害”消杀及白蚁防治服务相关的经验。</w:t>
      </w:r>
    </w:p>
    <w:p w14:paraId="7CFA33A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2.</w:t>
      </w:r>
      <w:r>
        <w:rPr>
          <w:rFonts w:hint="eastAsia" w:ascii="宋体" w:hAnsi="宋体" w:eastAsia="宋体" w:cs="宋体"/>
          <w:kern w:val="0"/>
          <w:szCs w:val="21"/>
          <w:highlight w:val="none"/>
          <w:lang w:val="en-US" w:eastAsia="zh-CN" w:bidi="ar"/>
        </w:rPr>
        <w:t>乙方</w:t>
      </w:r>
      <w:r>
        <w:rPr>
          <w:rFonts w:hint="eastAsia" w:ascii="宋体" w:hAnsi="宋体" w:eastAsia="宋体" w:cs="宋体"/>
          <w:kern w:val="0"/>
          <w:szCs w:val="21"/>
          <w:highlight w:val="none"/>
          <w:lang w:bidi="ar"/>
        </w:rPr>
        <w:t>应该自备除“四害”和白蚁防治等方面的工具，配备除“四害”和白蚁防治项目负责人一名与甲方或其权属分公司联系，并提供联系方式，应付突发事件发生；项目负责人需取得除“四害”和《建筑白蚁防治技术从业人员职业培训合格证书》，其他管理人员</w:t>
      </w:r>
      <w:r>
        <w:rPr>
          <w:rFonts w:hint="eastAsia" w:ascii="宋体" w:hAnsi="宋体" w:eastAsia="宋体" w:cs="宋体"/>
          <w:kern w:val="0"/>
          <w:szCs w:val="21"/>
          <w:highlight w:val="none"/>
          <w:lang w:val="en-US" w:eastAsia="zh-CN" w:bidi="ar"/>
        </w:rPr>
        <w:t>需取得相关</w:t>
      </w:r>
      <w:r>
        <w:rPr>
          <w:rFonts w:hint="eastAsia" w:ascii="宋体" w:hAnsi="宋体" w:eastAsia="宋体" w:cs="宋体"/>
          <w:kern w:val="0"/>
          <w:szCs w:val="21"/>
          <w:highlight w:val="none"/>
          <w:lang w:bidi="ar"/>
        </w:rPr>
        <w:t>上岗证。</w:t>
      </w:r>
    </w:p>
    <w:p w14:paraId="0A04866A">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3.</w:t>
      </w:r>
      <w:r>
        <w:rPr>
          <w:rFonts w:hint="eastAsia" w:ascii="宋体" w:hAnsi="宋体" w:eastAsia="宋体" w:cs="宋体"/>
          <w:kern w:val="0"/>
          <w:szCs w:val="21"/>
          <w:highlight w:val="none"/>
          <w:lang w:val="en-US" w:eastAsia="zh-CN" w:bidi="ar"/>
        </w:rPr>
        <w:t>乙方</w:t>
      </w:r>
      <w:r>
        <w:rPr>
          <w:rFonts w:hint="eastAsia" w:ascii="宋体" w:hAnsi="宋体" w:eastAsia="宋体" w:cs="宋体"/>
          <w:kern w:val="0"/>
          <w:szCs w:val="21"/>
          <w:highlight w:val="none"/>
          <w:lang w:bidi="ar"/>
        </w:rPr>
        <w:t>必须注重科学用药，不能使用假药、国家禁用的药物。所使用的药物必须符合国家相关规定或行业标准。</w:t>
      </w:r>
    </w:p>
    <w:p w14:paraId="4140C153">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kern w:val="0"/>
          <w:szCs w:val="21"/>
          <w:highlight w:val="none"/>
          <w:lang w:bidi="ar"/>
        </w:rPr>
        <w:t>4.</w:t>
      </w:r>
      <w:r>
        <w:rPr>
          <w:rFonts w:hint="eastAsia" w:ascii="宋体" w:hAnsi="宋体" w:eastAsia="宋体" w:cs="宋体"/>
          <w:kern w:val="0"/>
          <w:szCs w:val="21"/>
          <w:highlight w:val="none"/>
          <w:lang w:val="en-US" w:eastAsia="zh-CN" w:bidi="ar"/>
        </w:rPr>
        <w:t>乙方</w:t>
      </w:r>
      <w:r>
        <w:rPr>
          <w:rFonts w:hint="eastAsia" w:ascii="宋体" w:hAnsi="宋体" w:eastAsia="宋体" w:cs="宋体"/>
          <w:kern w:val="0"/>
          <w:szCs w:val="21"/>
          <w:highlight w:val="none"/>
          <w:lang w:bidi="ar"/>
        </w:rPr>
        <w:t>有完整的病媒生物预防控制操作规程，其中灭蚊、灭鼠、灭蟑螂、灭蝇达到国家除“四害”标准，并具有完善的事故应急方案。</w:t>
      </w:r>
    </w:p>
    <w:p w14:paraId="5105E590">
      <w:pPr>
        <w:pStyle w:val="33"/>
        <w:keepNext w:val="0"/>
        <w:keepLines w:val="0"/>
        <w:pageBreakBefore w:val="0"/>
        <w:kinsoku/>
        <w:wordWrap/>
        <w:overflowPunct/>
        <w:topLinePunct w:val="0"/>
        <w:autoSpaceDE w:val="0"/>
        <w:bidi w:val="0"/>
        <w:adjustRightInd/>
        <w:snapToGrid/>
        <w:spacing w:before="0" w:beforeAutospacing="0" w:after="0" w:afterAutospacing="0" w:line="360" w:lineRule="auto"/>
        <w:ind w:firstLine="422" w:firstLineChars="200"/>
        <w:jc w:val="both"/>
        <w:textAlignment w:val="auto"/>
        <w:rPr>
          <w:rFonts w:eastAsia="宋体" w:cs="宋体"/>
          <w:b/>
          <w:sz w:val="21"/>
          <w:szCs w:val="21"/>
          <w:highlight w:val="none"/>
        </w:rPr>
      </w:pPr>
    </w:p>
    <w:p w14:paraId="6240406B">
      <w:pPr>
        <w:pStyle w:val="33"/>
        <w:keepNext w:val="0"/>
        <w:keepLines w:val="0"/>
        <w:pageBreakBefore w:val="0"/>
        <w:kinsoku/>
        <w:wordWrap/>
        <w:overflowPunct/>
        <w:topLinePunct w:val="0"/>
        <w:autoSpaceDE w:val="0"/>
        <w:bidi w:val="0"/>
        <w:snapToGrid/>
        <w:spacing w:before="0" w:beforeAutospacing="0" w:after="0" w:afterAutospacing="0" w:line="360" w:lineRule="auto"/>
        <w:ind w:firstLine="422" w:firstLineChars="200"/>
        <w:jc w:val="both"/>
        <w:textAlignment w:val="auto"/>
        <w:outlineLvl w:val="1"/>
        <w:rPr>
          <w:rFonts w:hint="default" w:eastAsia="宋体" w:cs="宋体"/>
          <w:b/>
          <w:sz w:val="21"/>
          <w:szCs w:val="21"/>
          <w:highlight w:val="none"/>
          <w:lang w:val="en-US" w:eastAsia="zh-CN"/>
        </w:rPr>
      </w:pPr>
      <w:r>
        <w:rPr>
          <w:rFonts w:hint="eastAsia" w:eastAsia="宋体" w:cs="宋体"/>
          <w:b/>
          <w:sz w:val="21"/>
          <w:szCs w:val="21"/>
          <w:highlight w:val="none"/>
        </w:rPr>
        <w:t>五、</w:t>
      </w:r>
      <w:r>
        <w:rPr>
          <w:rFonts w:hint="eastAsia" w:eastAsia="宋体" w:cs="宋体"/>
          <w:b/>
          <w:sz w:val="21"/>
          <w:szCs w:val="21"/>
          <w:highlight w:val="none"/>
          <w:lang w:val="en-US" w:eastAsia="zh-CN"/>
        </w:rPr>
        <w:t>人员配置要求</w:t>
      </w:r>
    </w:p>
    <w:p w14:paraId="4B85B907">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szCs w:val="21"/>
          <w:highlight w:val="none"/>
        </w:rPr>
        <w:t>1、清洁保洁和绿化养护人员要求身体健康无残疾。合同期内人员配置</w:t>
      </w:r>
      <w:r>
        <w:rPr>
          <w:rFonts w:hint="eastAsia" w:ascii="宋体" w:hAnsi="宋体" w:eastAsia="宋体" w:cs="宋体"/>
          <w:szCs w:val="21"/>
          <w:highlight w:val="none"/>
          <w:lang w:val="en-US" w:eastAsia="zh-CN"/>
        </w:rPr>
        <w:t>251</w:t>
      </w:r>
      <w:r>
        <w:rPr>
          <w:rFonts w:hint="eastAsia" w:ascii="宋体" w:hAnsi="宋体" w:eastAsia="宋体" w:cs="宋体"/>
          <w:szCs w:val="21"/>
          <w:highlight w:val="none"/>
        </w:rPr>
        <w:t>人（其中清洁保洁人员</w:t>
      </w:r>
      <w:r>
        <w:rPr>
          <w:rFonts w:hint="eastAsia" w:ascii="宋体" w:hAnsi="宋体" w:eastAsia="宋体" w:cs="宋体"/>
          <w:szCs w:val="21"/>
          <w:highlight w:val="none"/>
          <w:lang w:val="en-US" w:eastAsia="zh-CN"/>
        </w:rPr>
        <w:t>163</w:t>
      </w:r>
      <w:r>
        <w:rPr>
          <w:rFonts w:hint="eastAsia" w:ascii="宋体" w:hAnsi="宋体" w:eastAsia="宋体" w:cs="宋体"/>
          <w:szCs w:val="21"/>
          <w:highlight w:val="none"/>
        </w:rPr>
        <w:t>人，</w:t>
      </w:r>
      <w:r>
        <w:rPr>
          <w:rFonts w:hint="eastAsia" w:ascii="宋体" w:hAnsi="宋体" w:eastAsia="宋体" w:cs="宋体"/>
          <w:szCs w:val="21"/>
          <w:highlight w:val="none"/>
          <w:lang w:val="en-US" w:eastAsia="zh-CN"/>
        </w:rPr>
        <w:t>绿化</w:t>
      </w:r>
      <w:r>
        <w:rPr>
          <w:rFonts w:hint="eastAsia" w:ascii="宋体" w:hAnsi="宋体" w:eastAsia="宋体" w:cs="宋体"/>
          <w:szCs w:val="21"/>
          <w:highlight w:val="none"/>
          <w:lang w:eastAsia="zh-CN"/>
        </w:rPr>
        <w:t>养护</w:t>
      </w:r>
      <w:r>
        <w:rPr>
          <w:rFonts w:hint="eastAsia" w:ascii="宋体" w:hAnsi="宋体" w:eastAsia="宋体" w:cs="宋体"/>
          <w:szCs w:val="21"/>
          <w:highlight w:val="none"/>
          <w:lang w:val="en-US" w:eastAsia="zh-CN"/>
        </w:rPr>
        <w:t>88</w:t>
      </w:r>
      <w:r>
        <w:rPr>
          <w:rFonts w:hint="eastAsia" w:ascii="宋体" w:hAnsi="宋体" w:eastAsia="宋体" w:cs="宋体"/>
          <w:szCs w:val="21"/>
          <w:highlight w:val="none"/>
          <w:lang w:eastAsia="zh-CN"/>
        </w:rPr>
        <w:t>人</w:t>
      </w:r>
      <w:r>
        <w:rPr>
          <w:rFonts w:hint="eastAsia" w:ascii="宋体" w:hAnsi="宋体" w:eastAsia="宋体" w:cs="宋体"/>
          <w:szCs w:val="21"/>
          <w:highlight w:val="none"/>
        </w:rPr>
        <w:t>）。每个项目具体配置人数，</w:t>
      </w:r>
      <w:r>
        <w:rPr>
          <w:rFonts w:hint="eastAsia" w:ascii="宋体" w:hAnsi="宋体" w:eastAsia="宋体" w:cs="宋体"/>
          <w:szCs w:val="21"/>
          <w:highlight w:val="none"/>
          <w:lang w:val="en-US" w:eastAsia="zh-CN"/>
        </w:rPr>
        <w:t>乙方</w:t>
      </w:r>
      <w:r>
        <w:rPr>
          <w:rFonts w:hint="eastAsia" w:ascii="宋体" w:hAnsi="宋体" w:eastAsia="宋体" w:cs="宋体"/>
          <w:szCs w:val="21"/>
          <w:highlight w:val="none"/>
        </w:rPr>
        <w:t>可根据各个项目的机械化程度，在保证满足服务质量的前提下，经</w:t>
      </w:r>
      <w:r>
        <w:rPr>
          <w:rFonts w:hint="eastAsia" w:ascii="宋体" w:hAnsi="宋体" w:eastAsia="宋体" w:cs="宋体"/>
          <w:szCs w:val="21"/>
          <w:highlight w:val="none"/>
          <w:lang w:val="en-US" w:eastAsia="zh-CN"/>
        </w:rPr>
        <w:t>甲方</w:t>
      </w:r>
      <w:r>
        <w:rPr>
          <w:rFonts w:hint="eastAsia" w:ascii="宋体" w:hAnsi="宋体" w:eastAsia="宋体" w:cs="宋体"/>
          <w:szCs w:val="21"/>
          <w:highlight w:val="none"/>
        </w:rPr>
        <w:t>或其权属分公司书面同意，可允许该项目人员配置进行优化。</w:t>
      </w:r>
    </w:p>
    <w:p w14:paraId="3B13AA68">
      <w:pPr>
        <w:keepNext w:val="0"/>
        <w:keepLines w:val="0"/>
        <w:pageBreakBefore w:val="0"/>
        <w:kinsoku/>
        <w:wordWrap/>
        <w:overflowPunct/>
        <w:topLinePunct w:val="0"/>
        <w:autoSpaceDE w:val="0"/>
        <w:autoSpaceDN w:val="0"/>
        <w:bidi w:val="0"/>
        <w:adjustRightInd w:val="0"/>
        <w:snapToGrid/>
        <w:spacing w:line="360" w:lineRule="auto"/>
        <w:ind w:firstLine="420" w:firstLineChars="200"/>
        <w:jc w:val="left"/>
        <w:textAlignment w:val="auto"/>
        <w:rPr>
          <w:rFonts w:ascii="宋体" w:hAnsi="宋体" w:eastAsia="宋体" w:cs="宋体"/>
          <w:szCs w:val="21"/>
          <w:highlight w:val="none"/>
        </w:rPr>
      </w:pPr>
      <w:r>
        <w:rPr>
          <w:rFonts w:hint="eastAsia" w:ascii="宋体" w:hAnsi="宋体" w:eastAsia="宋体" w:cs="宋体"/>
          <w:szCs w:val="21"/>
          <w:highlight w:val="none"/>
        </w:rPr>
        <w:t>各项目人员配置情况：（制水分公司</w:t>
      </w:r>
      <w:r>
        <w:rPr>
          <w:rFonts w:hint="eastAsia" w:ascii="宋体" w:hAnsi="宋体" w:eastAsia="宋体" w:cs="宋体"/>
          <w:szCs w:val="21"/>
          <w:highlight w:val="none"/>
          <w:lang w:val="en-US" w:eastAsia="zh-CN"/>
        </w:rPr>
        <w:t>208</w:t>
      </w:r>
      <w:r>
        <w:rPr>
          <w:rFonts w:hint="eastAsia" w:ascii="宋体" w:hAnsi="宋体" w:eastAsia="宋体" w:cs="宋体"/>
          <w:szCs w:val="21"/>
          <w:highlight w:val="none"/>
        </w:rPr>
        <w:t>人，本部及属地分公司</w:t>
      </w:r>
      <w:r>
        <w:rPr>
          <w:rFonts w:hint="eastAsia" w:ascii="宋体" w:hAnsi="宋体" w:eastAsia="宋体" w:cs="宋体"/>
          <w:szCs w:val="21"/>
          <w:highlight w:val="none"/>
          <w:lang w:val="en-US" w:eastAsia="zh-CN"/>
        </w:rPr>
        <w:t>43</w:t>
      </w:r>
      <w:r>
        <w:rPr>
          <w:rFonts w:hint="eastAsia" w:ascii="宋体" w:hAnsi="宋体" w:eastAsia="宋体" w:cs="宋体"/>
          <w:szCs w:val="21"/>
          <w:highlight w:val="none"/>
        </w:rPr>
        <w:t>人）</w:t>
      </w:r>
    </w:p>
    <w:p w14:paraId="0B5445AC">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lang w:val="en-US" w:eastAsia="zh-CN"/>
        </w:rPr>
      </w:pPr>
      <w:r>
        <w:rPr>
          <w:rFonts w:hint="eastAsia" w:ascii="宋体" w:hAnsi="宋体" w:eastAsia="宋体" w:cs="宋体"/>
          <w:b w:val="0"/>
          <w:bCs/>
          <w:color w:val="auto"/>
          <w:sz w:val="21"/>
          <w:szCs w:val="21"/>
          <w:highlight w:val="none"/>
          <w:lang w:val="en-US" w:eastAsia="zh-CN"/>
        </w:rPr>
        <w:t>制水分公司：</w:t>
      </w:r>
      <w:r>
        <w:rPr>
          <w:rFonts w:hint="eastAsia" w:hAnsi="宋体" w:cs="宋体"/>
          <w:b w:val="0"/>
          <w:bCs/>
          <w:color w:val="auto"/>
          <w:sz w:val="21"/>
          <w:szCs w:val="21"/>
          <w:highlight w:val="none"/>
          <w:lang w:val="en-US" w:eastAsia="zh-CN"/>
        </w:rPr>
        <w:t>208</w:t>
      </w:r>
      <w:r>
        <w:rPr>
          <w:rFonts w:hint="eastAsia" w:ascii="宋体" w:hAnsi="宋体" w:eastAsia="宋体" w:cs="宋体"/>
          <w:b w:val="0"/>
          <w:bCs/>
          <w:color w:val="auto"/>
          <w:sz w:val="21"/>
          <w:szCs w:val="21"/>
          <w:highlight w:val="none"/>
          <w:lang w:val="en-US" w:eastAsia="zh-CN"/>
        </w:rPr>
        <w:t>人。其中：</w:t>
      </w:r>
      <w:r>
        <w:rPr>
          <w:rFonts w:hint="eastAsia" w:hAnsi="宋体" w:cs="宋体"/>
          <w:b w:val="0"/>
          <w:bCs/>
          <w:color w:val="auto"/>
          <w:sz w:val="21"/>
          <w:szCs w:val="21"/>
          <w:highlight w:val="none"/>
          <w:lang w:val="en-US" w:eastAsia="zh-CN"/>
        </w:rPr>
        <w:t>122</w:t>
      </w:r>
      <w:r>
        <w:rPr>
          <w:rFonts w:hint="eastAsia" w:ascii="宋体" w:hAnsi="宋体" w:eastAsia="宋体" w:cs="宋体"/>
          <w:b w:val="0"/>
          <w:bCs/>
          <w:color w:val="auto"/>
          <w:sz w:val="21"/>
          <w:szCs w:val="21"/>
          <w:highlight w:val="none"/>
          <w:lang w:val="en-US" w:eastAsia="zh-CN"/>
        </w:rPr>
        <w:t>名保洁，</w:t>
      </w:r>
      <w:r>
        <w:rPr>
          <w:rFonts w:hint="eastAsia" w:hAnsi="宋体" w:cs="宋体"/>
          <w:b w:val="0"/>
          <w:bCs/>
          <w:color w:val="auto"/>
          <w:sz w:val="21"/>
          <w:szCs w:val="21"/>
          <w:highlight w:val="none"/>
          <w:lang w:val="en-US" w:eastAsia="zh-CN"/>
        </w:rPr>
        <w:t>86</w:t>
      </w:r>
      <w:r>
        <w:rPr>
          <w:rFonts w:hint="eastAsia" w:ascii="宋体" w:hAnsi="宋体" w:eastAsia="宋体" w:cs="宋体"/>
          <w:b w:val="0"/>
          <w:bCs/>
          <w:color w:val="auto"/>
          <w:sz w:val="21"/>
          <w:szCs w:val="21"/>
          <w:highlight w:val="none"/>
          <w:lang w:val="en-US" w:eastAsia="zh-CN"/>
        </w:rPr>
        <w:t>名绿化</w:t>
      </w:r>
    </w:p>
    <w:p w14:paraId="09E6596B">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）制水分公司市第</w:t>
      </w:r>
      <w:r>
        <w:rPr>
          <w:rFonts w:hint="eastAsia" w:ascii="宋体" w:hAnsi="宋体" w:eastAsia="宋体" w:cs="宋体"/>
          <w:b w:val="0"/>
          <w:bCs/>
          <w:color w:val="auto"/>
          <w:sz w:val="21"/>
          <w:szCs w:val="21"/>
          <w:highlight w:val="none"/>
          <w:lang w:val="en-US" w:eastAsia="zh-CN"/>
        </w:rPr>
        <w:t>二</w:t>
      </w:r>
      <w:r>
        <w:rPr>
          <w:rFonts w:hint="eastAsia" w:ascii="宋体" w:hAnsi="宋体" w:eastAsia="宋体" w:cs="宋体"/>
          <w:b w:val="0"/>
          <w:bCs/>
          <w:color w:val="auto"/>
          <w:sz w:val="21"/>
          <w:szCs w:val="21"/>
          <w:highlight w:val="none"/>
        </w:rPr>
        <w:t>水厂及子项目配置清洁保洁和绿化养护人员合计</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hAnsi="宋体" w:cs="宋体"/>
          <w:b w:val="0"/>
          <w:bCs/>
          <w:color w:val="auto"/>
          <w:sz w:val="21"/>
          <w:szCs w:val="21"/>
          <w:highlight w:val="none"/>
          <w:u w:val="single"/>
          <w:lang w:val="en-US" w:eastAsia="zh-CN"/>
        </w:rPr>
        <w:t>0</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547B604B">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）制水分公司市第三水厂及子项目配置</w:t>
      </w:r>
      <w:r>
        <w:rPr>
          <w:rFonts w:hint="eastAsia" w:hAnsi="宋体" w:cs="宋体"/>
          <w:b w:val="0"/>
          <w:bCs/>
          <w:color w:val="auto"/>
          <w:sz w:val="21"/>
          <w:szCs w:val="21"/>
          <w:highlight w:val="none"/>
          <w:lang w:val="en-US" w:eastAsia="zh-CN"/>
        </w:rPr>
        <w:t>清洁保洁和</w:t>
      </w:r>
      <w:r>
        <w:rPr>
          <w:rFonts w:hint="eastAsia" w:ascii="宋体" w:hAnsi="宋体" w:eastAsia="宋体" w:cs="宋体"/>
          <w:b w:val="0"/>
          <w:bCs/>
          <w:color w:val="auto"/>
          <w:sz w:val="21"/>
          <w:szCs w:val="21"/>
          <w:highlight w:val="none"/>
        </w:rPr>
        <w:t>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13</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7</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6</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4D58A9B4">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）制水分公司市第四水厂及子项目配置清洁保洁和绿化养护人员合计</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12</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4</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8</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0A42D534">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）制水分公司市第</w:t>
      </w:r>
      <w:r>
        <w:rPr>
          <w:rFonts w:hint="eastAsia" w:ascii="宋体" w:hAnsi="宋体" w:eastAsia="宋体" w:cs="宋体"/>
          <w:b w:val="0"/>
          <w:bCs/>
          <w:color w:val="auto"/>
          <w:sz w:val="21"/>
          <w:szCs w:val="21"/>
          <w:highlight w:val="none"/>
          <w:lang w:val="en-US" w:eastAsia="zh-CN"/>
        </w:rPr>
        <w:t>五</w:t>
      </w:r>
      <w:r>
        <w:rPr>
          <w:rFonts w:hint="eastAsia" w:ascii="宋体" w:hAnsi="宋体" w:eastAsia="宋体" w:cs="宋体"/>
          <w:b w:val="0"/>
          <w:bCs/>
          <w:color w:val="auto"/>
          <w:sz w:val="21"/>
          <w:szCs w:val="21"/>
          <w:highlight w:val="none"/>
        </w:rPr>
        <w:t>水厂及子项目配置清洁保洁和绿化养护人员合计</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6</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5B265F76">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）制水分公司市第六水厂配置清洁保洁和绿化养护人员合计</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15</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6</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9</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1864F2A2">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东城水厂及子项目</w:t>
      </w:r>
      <w:r>
        <w:rPr>
          <w:rFonts w:hint="eastAsia" w:ascii="宋体" w:hAnsi="宋体" w:eastAsia="宋体" w:cs="宋体"/>
          <w:b w:val="0"/>
          <w:bCs/>
          <w:color w:val="auto"/>
          <w:sz w:val="21"/>
          <w:szCs w:val="21"/>
          <w:highlight w:val="none"/>
        </w:rPr>
        <w:t>配置清洁保洁和绿化养护人员合计</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8</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4</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4</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2C968E78">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万江水厂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6</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2BAD51B6">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8</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高埗水厂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5</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0</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620C8E49">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9</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石碣水厂</w:t>
      </w:r>
      <w:r>
        <w:rPr>
          <w:rFonts w:hint="eastAsia" w:ascii="宋体" w:hAnsi="宋体" w:eastAsia="宋体" w:cs="宋体"/>
          <w:b w:val="0"/>
          <w:bCs/>
          <w:color w:val="auto"/>
          <w:sz w:val="21"/>
          <w:szCs w:val="21"/>
          <w:highlight w:val="none"/>
        </w:rPr>
        <w:t>及子项目配置清洁保洁和绿化养护人员合计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6</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5</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4E9CDFDE">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10</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石龙西湖水厂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5</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 xml:space="preserve">3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3448D031">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石龙黄州水厂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5</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7BAC5E24">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石排水厂</w:t>
      </w:r>
      <w:r>
        <w:rPr>
          <w:rFonts w:hint="eastAsia" w:ascii="宋体" w:hAnsi="宋体" w:eastAsia="宋体" w:cs="宋体"/>
          <w:b w:val="0"/>
          <w:bCs/>
          <w:color w:val="auto"/>
          <w:sz w:val="21"/>
          <w:szCs w:val="21"/>
          <w:highlight w:val="none"/>
        </w:rPr>
        <w:t>及子项目配置清洁保洁和绿化养护人员合计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6</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4</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16D299E0">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大岭山长湖水厂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2</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065E9AC0">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大岭山金鸡咀水厂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2</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5940CB48">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塘厦中心水厂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6</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4</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7603D839">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塘厦凤凰水厂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7</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4</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4A4FC7D6">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1</w:t>
      </w:r>
      <w:r>
        <w:rPr>
          <w:rFonts w:hint="eastAsia"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塘厦虾公岩水厂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4</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1EB3D0AF">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18</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塘厦牛眠埔水厂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6</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4</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11456420">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19</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凤岗第一水厂及子项目</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5</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786FF038">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hAnsi="宋体" w:cs="宋体"/>
          <w:b w:val="0"/>
          <w:bCs/>
          <w:color w:val="auto"/>
          <w:sz w:val="21"/>
          <w:szCs w:val="21"/>
          <w:highlight w:val="none"/>
          <w:lang w:val="en-US" w:eastAsia="zh-CN"/>
        </w:rPr>
        <w:t>0</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凤岗第二水厂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6</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4</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52D05B96">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hAnsi="宋体" w:cs="宋体"/>
          <w:b w:val="0"/>
          <w:bCs/>
          <w:color w:val="auto"/>
          <w:sz w:val="21"/>
          <w:szCs w:val="21"/>
          <w:highlight w:val="none"/>
          <w:lang w:val="en-US" w:eastAsia="zh-CN"/>
        </w:rPr>
        <w:t>1</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樟木头簕竹排水厂及子项目</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7</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6</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245D94A1">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hAnsi="宋体" w:cs="宋体"/>
          <w:b w:val="0"/>
          <w:bCs/>
          <w:color w:val="auto"/>
          <w:sz w:val="21"/>
          <w:szCs w:val="21"/>
          <w:highlight w:val="none"/>
          <w:lang w:val="en-US" w:eastAsia="zh-CN"/>
        </w:rPr>
        <w:t>2</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黄江水厂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5</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5B0C2FE0">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hAnsi="宋体" w:cs="宋体"/>
          <w:b w:val="0"/>
          <w:bCs/>
          <w:color w:val="auto"/>
          <w:sz w:val="21"/>
          <w:szCs w:val="21"/>
          <w:highlight w:val="none"/>
          <w:lang w:val="en-US" w:eastAsia="zh-CN"/>
        </w:rPr>
        <w:t>3</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谢岗第三水厂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5</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6F03DE2C">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hAnsi="宋体" w:cs="宋体"/>
          <w:b w:val="0"/>
          <w:bCs/>
          <w:color w:val="auto"/>
          <w:sz w:val="21"/>
          <w:szCs w:val="21"/>
          <w:highlight w:val="none"/>
          <w:lang w:val="en-US" w:eastAsia="zh-CN"/>
        </w:rPr>
        <w:t>4</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谢岗第二水厂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2</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359AB841">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hAnsi="宋体" w:cs="宋体"/>
          <w:b w:val="0"/>
          <w:bCs/>
          <w:color w:val="auto"/>
          <w:sz w:val="21"/>
          <w:szCs w:val="21"/>
          <w:highlight w:val="none"/>
          <w:lang w:val="en-US" w:eastAsia="zh-CN"/>
        </w:rPr>
        <w:t>5</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横沥水厂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5</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5A2E694F">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hAnsi="宋体" w:cs="宋体"/>
          <w:b w:val="0"/>
          <w:bCs/>
          <w:color w:val="auto"/>
          <w:sz w:val="21"/>
          <w:szCs w:val="21"/>
          <w:highlight w:val="none"/>
          <w:lang w:val="en-US" w:eastAsia="zh-CN"/>
        </w:rPr>
        <w:t>6</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企石水厂及子项目</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4</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45B559CD">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val="en-US" w:eastAsia="zh-CN"/>
        </w:rPr>
        <w:t>2</w:t>
      </w:r>
      <w:r>
        <w:rPr>
          <w:rFonts w:hint="eastAsia" w:hAnsi="宋体" w:cs="宋体"/>
          <w:b w:val="0"/>
          <w:bCs/>
          <w:color w:val="auto"/>
          <w:sz w:val="21"/>
          <w:szCs w:val="21"/>
          <w:highlight w:val="none"/>
          <w:lang w:val="en-US" w:eastAsia="zh-CN"/>
        </w:rPr>
        <w:t>7</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桥头第二水厂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4</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3</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1</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08B06B7F">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28</w:t>
      </w:r>
      <w:r>
        <w:rPr>
          <w:rFonts w:hint="eastAsia" w:ascii="宋体" w:hAnsi="宋体" w:eastAsia="宋体" w:cs="宋体"/>
          <w:b w:val="0"/>
          <w:bCs/>
          <w:color w:val="auto"/>
          <w:sz w:val="21"/>
          <w:szCs w:val="21"/>
          <w:highlight w:val="none"/>
        </w:rPr>
        <w:t>）制水分公司</w:t>
      </w:r>
      <w:r>
        <w:rPr>
          <w:rFonts w:hint="eastAsia" w:ascii="宋体" w:hAnsi="宋体" w:eastAsia="宋体" w:cs="宋体"/>
          <w:b w:val="0"/>
          <w:bCs/>
          <w:color w:val="auto"/>
          <w:sz w:val="21"/>
          <w:szCs w:val="21"/>
          <w:highlight w:val="none"/>
          <w:lang w:val="en-US" w:eastAsia="zh-CN"/>
        </w:rPr>
        <w:t>桥头第三水厂</w:t>
      </w:r>
      <w:r>
        <w:rPr>
          <w:rFonts w:hint="eastAsia" w:ascii="宋体" w:hAnsi="宋体" w:eastAsia="宋体" w:cs="宋体"/>
          <w:b w:val="0"/>
          <w:bCs/>
          <w:color w:val="auto"/>
          <w:sz w:val="21"/>
          <w:szCs w:val="21"/>
          <w:highlight w:val="none"/>
        </w:rPr>
        <w:t>配置清洁保洁和绿化养护人员合计</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u w:val="single"/>
          <w:lang w:val="en-US" w:eastAsia="zh-CN"/>
        </w:rPr>
        <w:t>4</w:t>
      </w:r>
      <w:r>
        <w:rPr>
          <w:rFonts w:hint="eastAsia" w:hAnsi="宋体" w:cs="宋体"/>
          <w:b w:val="0"/>
          <w:bCs/>
          <w:color w:val="auto"/>
          <w:sz w:val="21"/>
          <w:szCs w:val="21"/>
          <w:highlight w:val="none"/>
          <w:u w:val="single"/>
          <w:lang w:val="en-US" w:eastAsia="zh-CN"/>
        </w:rPr>
        <w:t xml:space="preserve"> </w:t>
      </w:r>
      <w:r>
        <w:rPr>
          <w:rFonts w:hint="eastAsia" w:ascii="宋体" w:hAnsi="宋体" w:eastAsia="宋体" w:cs="宋体"/>
          <w:b w:val="0"/>
          <w:bCs/>
          <w:color w:val="auto"/>
          <w:sz w:val="21"/>
          <w:szCs w:val="21"/>
          <w:highlight w:val="none"/>
        </w:rPr>
        <w:t>名（指服务于本子项目的</w:t>
      </w:r>
      <w:r>
        <w:rPr>
          <w:rFonts w:hint="eastAsia" w:ascii="宋体" w:hAnsi="宋体" w:eastAsia="宋体" w:cs="宋体"/>
          <w:b w:val="0"/>
          <w:bCs/>
          <w:color w:val="auto"/>
          <w:sz w:val="21"/>
          <w:szCs w:val="21"/>
          <w:highlight w:val="none"/>
          <w:lang w:eastAsia="zh-CN"/>
        </w:rPr>
        <w:t>服务单位</w:t>
      </w:r>
      <w:r>
        <w:rPr>
          <w:rFonts w:hint="eastAsia" w:ascii="宋体" w:hAnsi="宋体" w:eastAsia="宋体" w:cs="宋体"/>
          <w:b w:val="0"/>
          <w:bCs/>
          <w:color w:val="auto"/>
          <w:sz w:val="21"/>
          <w:szCs w:val="21"/>
          <w:highlight w:val="none"/>
        </w:rPr>
        <w:t>工作人员数量）。其中，清洁保洁人员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人，绿化养护人员</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u w:val="single"/>
          <w:lang w:val="en-US" w:eastAsia="zh-CN"/>
        </w:rPr>
        <w:t>2</w:t>
      </w:r>
      <w:r>
        <w:rPr>
          <w:rFonts w:hint="eastAsia" w:ascii="宋体" w:hAnsi="宋体" w:eastAsia="宋体" w:cs="宋体"/>
          <w:b w:val="0"/>
          <w:bCs/>
          <w:color w:val="auto"/>
          <w:sz w:val="21"/>
          <w:szCs w:val="21"/>
          <w:highlight w:val="none"/>
          <w:u w:val="single"/>
        </w:rPr>
        <w:t xml:space="preserve"> </w:t>
      </w:r>
      <w:r>
        <w:rPr>
          <w:rFonts w:hint="eastAsia" w:ascii="宋体" w:hAnsi="宋体" w:eastAsia="宋体" w:cs="宋体"/>
          <w:b w:val="0"/>
          <w:bCs/>
          <w:color w:val="auto"/>
          <w:sz w:val="21"/>
          <w:szCs w:val="21"/>
          <w:highlight w:val="none"/>
        </w:rPr>
        <w:t>人。</w:t>
      </w:r>
    </w:p>
    <w:p w14:paraId="51D2CC49">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bCs/>
          <w:color w:val="auto"/>
          <w:sz w:val="21"/>
          <w:szCs w:val="21"/>
          <w:highlight w:val="none"/>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29</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bidi="ar"/>
        </w:rPr>
        <w:t>制水分公司松山湖水厂配置清洁保洁和绿化养护人员合计</w:t>
      </w:r>
      <w:r>
        <w:rPr>
          <w:rFonts w:hint="eastAsia" w:ascii="宋体" w:hAnsi="宋体" w:eastAsia="宋体" w:cs="宋体"/>
          <w:b w:val="0"/>
          <w:bCs/>
          <w:color w:val="auto"/>
          <w:sz w:val="21"/>
          <w:szCs w:val="21"/>
          <w:highlight w:val="none"/>
          <w:u w:val="single"/>
          <w:lang w:val="en-US" w:eastAsia="zh-CN" w:bidi="ar"/>
        </w:rPr>
        <w:t xml:space="preserve"> </w:t>
      </w:r>
      <w:r>
        <w:rPr>
          <w:rFonts w:hint="eastAsia" w:hAnsi="宋体" w:cs="宋体"/>
          <w:b w:val="0"/>
          <w:bCs/>
          <w:color w:val="auto"/>
          <w:sz w:val="21"/>
          <w:szCs w:val="21"/>
          <w:highlight w:val="none"/>
          <w:u w:val="single"/>
          <w:lang w:val="en-US" w:eastAsia="zh-CN" w:bidi="ar"/>
        </w:rPr>
        <w:t xml:space="preserve">25 </w:t>
      </w:r>
      <w:r>
        <w:rPr>
          <w:rFonts w:hint="eastAsia" w:ascii="宋体" w:hAnsi="宋体" w:eastAsia="宋体" w:cs="宋体"/>
          <w:b w:val="0"/>
          <w:bCs/>
          <w:color w:val="auto"/>
          <w:sz w:val="21"/>
          <w:szCs w:val="21"/>
          <w:highlight w:val="none"/>
          <w:lang w:bidi="ar"/>
        </w:rPr>
        <w:t>名（指服务于本子项目的</w:t>
      </w:r>
      <w:r>
        <w:rPr>
          <w:rFonts w:hint="eastAsia" w:ascii="宋体" w:hAnsi="宋体" w:eastAsia="宋体" w:cs="宋体"/>
          <w:b w:val="0"/>
          <w:bCs/>
          <w:color w:val="auto"/>
          <w:sz w:val="21"/>
          <w:szCs w:val="21"/>
          <w:highlight w:val="none"/>
          <w:lang w:eastAsia="zh-CN" w:bidi="ar"/>
        </w:rPr>
        <w:t>服务单位</w:t>
      </w:r>
      <w:r>
        <w:rPr>
          <w:rFonts w:hint="eastAsia" w:ascii="宋体" w:hAnsi="宋体" w:eastAsia="宋体" w:cs="宋体"/>
          <w:b w:val="0"/>
          <w:bCs/>
          <w:color w:val="auto"/>
          <w:sz w:val="21"/>
          <w:szCs w:val="21"/>
          <w:highlight w:val="none"/>
          <w:lang w:bidi="ar"/>
        </w:rPr>
        <w:t>工作人员数量）。其中，清洁保洁人员</w:t>
      </w:r>
      <w:r>
        <w:rPr>
          <w:rFonts w:hint="eastAsia" w:ascii="宋体" w:hAnsi="宋体" w:eastAsia="宋体" w:cs="宋体"/>
          <w:b w:val="0"/>
          <w:bCs/>
          <w:color w:val="auto"/>
          <w:sz w:val="21"/>
          <w:szCs w:val="21"/>
          <w:highlight w:val="none"/>
          <w:u w:val="single"/>
          <w:lang w:bidi="ar"/>
        </w:rPr>
        <w:t xml:space="preserve"> </w:t>
      </w:r>
      <w:r>
        <w:rPr>
          <w:rFonts w:hint="eastAsia" w:hAnsi="宋体" w:cs="宋体"/>
          <w:b w:val="0"/>
          <w:bCs/>
          <w:color w:val="auto"/>
          <w:sz w:val="21"/>
          <w:szCs w:val="21"/>
          <w:highlight w:val="none"/>
          <w:u w:val="single"/>
          <w:lang w:val="en-US" w:eastAsia="zh-CN" w:bidi="ar"/>
        </w:rPr>
        <w:t>20</w:t>
      </w:r>
      <w:r>
        <w:rPr>
          <w:rFonts w:hint="eastAsia" w:ascii="宋体" w:hAnsi="宋体" w:eastAsia="宋体" w:cs="宋体"/>
          <w:b w:val="0"/>
          <w:bCs/>
          <w:color w:val="auto"/>
          <w:sz w:val="21"/>
          <w:szCs w:val="21"/>
          <w:highlight w:val="none"/>
          <w:lang w:bidi="ar"/>
        </w:rPr>
        <w:t>人，绿化养护人员</w:t>
      </w:r>
      <w:r>
        <w:rPr>
          <w:rFonts w:hint="eastAsia" w:ascii="宋体" w:hAnsi="宋体" w:eastAsia="宋体" w:cs="宋体"/>
          <w:b w:val="0"/>
          <w:bCs/>
          <w:color w:val="auto"/>
          <w:sz w:val="21"/>
          <w:szCs w:val="21"/>
          <w:highlight w:val="none"/>
          <w:u w:val="single"/>
          <w:lang w:bidi="ar"/>
        </w:rPr>
        <w:t xml:space="preserve"> </w:t>
      </w:r>
      <w:r>
        <w:rPr>
          <w:rFonts w:hint="eastAsia" w:ascii="宋体" w:hAnsi="宋体" w:eastAsia="宋体" w:cs="宋体"/>
          <w:b w:val="0"/>
          <w:bCs/>
          <w:color w:val="auto"/>
          <w:sz w:val="21"/>
          <w:szCs w:val="21"/>
          <w:highlight w:val="none"/>
          <w:u w:val="single"/>
          <w:lang w:val="en-US" w:eastAsia="zh-CN" w:bidi="ar"/>
        </w:rPr>
        <w:t>5</w:t>
      </w:r>
      <w:r>
        <w:rPr>
          <w:rFonts w:hint="eastAsia" w:ascii="宋体" w:hAnsi="宋体" w:eastAsia="宋体" w:cs="宋体"/>
          <w:b w:val="0"/>
          <w:bCs/>
          <w:color w:val="auto"/>
          <w:sz w:val="21"/>
          <w:szCs w:val="21"/>
          <w:highlight w:val="none"/>
          <w:u w:val="single"/>
          <w:lang w:bidi="ar"/>
        </w:rPr>
        <w:t xml:space="preserve"> </w:t>
      </w:r>
      <w:r>
        <w:rPr>
          <w:rFonts w:hint="eastAsia" w:ascii="宋体" w:hAnsi="宋体" w:eastAsia="宋体" w:cs="宋体"/>
          <w:b w:val="0"/>
          <w:bCs/>
          <w:color w:val="auto"/>
          <w:sz w:val="21"/>
          <w:szCs w:val="21"/>
          <w:highlight w:val="none"/>
          <w:lang w:bidi="ar"/>
        </w:rPr>
        <w:t>人</w:t>
      </w:r>
      <w:r>
        <w:rPr>
          <w:rFonts w:hint="eastAsia" w:ascii="宋体" w:hAnsi="宋体" w:eastAsia="宋体" w:cs="宋体"/>
          <w:b w:val="0"/>
          <w:bCs/>
          <w:color w:val="auto"/>
          <w:sz w:val="21"/>
          <w:szCs w:val="21"/>
          <w:highlight w:val="none"/>
        </w:rPr>
        <w:t>。</w:t>
      </w:r>
    </w:p>
    <w:p w14:paraId="78AC8D31">
      <w:pPr>
        <w:pStyle w:val="33"/>
        <w:keepNext w:val="0"/>
        <w:keepLines w:val="0"/>
        <w:pageBreakBefore w:val="0"/>
        <w:kinsoku/>
        <w:wordWrap/>
        <w:overflowPunct/>
        <w:topLinePunct w:val="0"/>
        <w:bidi w:val="0"/>
        <w:snapToGrid/>
        <w:spacing w:before="0" w:beforeAutospacing="0" w:after="0" w:afterAutospacing="0" w:line="360" w:lineRule="auto"/>
        <w:ind w:firstLine="420" w:firstLineChars="200"/>
        <w:jc w:val="both"/>
        <w:textAlignment w:val="auto"/>
        <w:rPr>
          <w:rFonts w:eastAsia="宋体" w:cs="宋体"/>
          <w:bCs/>
          <w:sz w:val="21"/>
          <w:szCs w:val="21"/>
          <w:highlight w:val="none"/>
          <w:lang w:bidi="ar"/>
        </w:rPr>
      </w:pPr>
      <w:r>
        <w:rPr>
          <w:rFonts w:hint="eastAsia" w:ascii="宋体" w:hAnsi="宋体" w:eastAsia="宋体" w:cs="宋体"/>
          <w:b w:val="0"/>
          <w:bCs/>
          <w:color w:val="auto"/>
          <w:sz w:val="21"/>
          <w:szCs w:val="21"/>
          <w:highlight w:val="none"/>
        </w:rPr>
        <w:t>（</w:t>
      </w:r>
      <w:r>
        <w:rPr>
          <w:rFonts w:hint="eastAsia" w:hAnsi="宋体" w:cs="宋体"/>
          <w:b w:val="0"/>
          <w:bCs/>
          <w:color w:val="auto"/>
          <w:sz w:val="21"/>
          <w:szCs w:val="21"/>
          <w:highlight w:val="none"/>
          <w:lang w:val="en-US" w:eastAsia="zh-CN"/>
        </w:rPr>
        <w:t>30</w:t>
      </w:r>
      <w:r>
        <w:rPr>
          <w:rFonts w:hint="eastAsia" w:ascii="宋体" w:hAnsi="宋体" w:eastAsia="宋体" w:cs="宋体"/>
          <w:b w:val="0"/>
          <w:bCs/>
          <w:color w:val="auto"/>
          <w:sz w:val="21"/>
          <w:szCs w:val="21"/>
          <w:highlight w:val="none"/>
        </w:rPr>
        <w:t>）</w:t>
      </w:r>
      <w:r>
        <w:rPr>
          <w:rFonts w:hint="eastAsia" w:ascii="宋体" w:hAnsi="宋体" w:eastAsia="宋体" w:cs="宋体"/>
          <w:b w:val="0"/>
          <w:bCs/>
          <w:color w:val="auto"/>
          <w:sz w:val="21"/>
          <w:szCs w:val="21"/>
          <w:highlight w:val="none"/>
          <w:lang w:bidi="ar"/>
        </w:rPr>
        <w:t>制水分公司</w:t>
      </w:r>
      <w:r>
        <w:rPr>
          <w:rFonts w:hint="eastAsia" w:ascii="宋体" w:hAnsi="宋体" w:eastAsia="宋体" w:cs="宋体"/>
          <w:b w:val="0"/>
          <w:bCs/>
          <w:color w:val="auto"/>
          <w:sz w:val="21"/>
          <w:szCs w:val="21"/>
          <w:highlight w:val="none"/>
          <w:lang w:val="en-US" w:eastAsia="zh-CN" w:bidi="ar"/>
        </w:rPr>
        <w:t>芦花坑</w:t>
      </w:r>
      <w:r>
        <w:rPr>
          <w:rFonts w:hint="eastAsia" w:ascii="宋体" w:hAnsi="宋体" w:eastAsia="宋体" w:cs="宋体"/>
          <w:b w:val="0"/>
          <w:bCs/>
          <w:color w:val="auto"/>
          <w:sz w:val="21"/>
          <w:szCs w:val="21"/>
          <w:highlight w:val="none"/>
          <w:lang w:bidi="ar"/>
        </w:rPr>
        <w:t>水厂配置清洁保洁和绿化养护人员合计</w:t>
      </w:r>
      <w:r>
        <w:rPr>
          <w:rFonts w:hint="eastAsia" w:eastAsia="宋体" w:cs="宋体"/>
          <w:b w:val="0"/>
          <w:bCs/>
          <w:color w:val="auto"/>
          <w:sz w:val="21"/>
          <w:szCs w:val="21"/>
          <w:highlight w:val="none"/>
          <w:u w:val="single"/>
          <w:lang w:val="en-US" w:eastAsia="zh-CN" w:bidi="ar"/>
        </w:rPr>
        <w:t>16</w:t>
      </w:r>
      <w:r>
        <w:rPr>
          <w:rFonts w:hint="eastAsia" w:hAnsi="宋体" w:cs="宋体"/>
          <w:b w:val="0"/>
          <w:bCs/>
          <w:color w:val="auto"/>
          <w:sz w:val="21"/>
          <w:szCs w:val="21"/>
          <w:highlight w:val="none"/>
          <w:u w:val="single"/>
          <w:lang w:val="en-US" w:eastAsia="zh-CN" w:bidi="ar"/>
        </w:rPr>
        <w:t xml:space="preserve"> </w:t>
      </w:r>
      <w:r>
        <w:rPr>
          <w:rFonts w:hint="eastAsia" w:ascii="宋体" w:hAnsi="宋体" w:eastAsia="宋体" w:cs="宋体"/>
          <w:b w:val="0"/>
          <w:bCs/>
          <w:color w:val="auto"/>
          <w:sz w:val="21"/>
          <w:szCs w:val="21"/>
          <w:highlight w:val="none"/>
          <w:lang w:bidi="ar"/>
        </w:rPr>
        <w:t>名（指服务于本子项目的</w:t>
      </w:r>
      <w:r>
        <w:rPr>
          <w:rFonts w:hint="eastAsia" w:ascii="宋体" w:hAnsi="宋体" w:eastAsia="宋体" w:cs="宋体"/>
          <w:b w:val="0"/>
          <w:bCs/>
          <w:color w:val="auto"/>
          <w:sz w:val="21"/>
          <w:szCs w:val="21"/>
          <w:highlight w:val="none"/>
          <w:lang w:eastAsia="zh-CN" w:bidi="ar"/>
        </w:rPr>
        <w:t>服务单位</w:t>
      </w:r>
      <w:r>
        <w:rPr>
          <w:rFonts w:hint="eastAsia" w:ascii="宋体" w:hAnsi="宋体" w:eastAsia="宋体" w:cs="宋体"/>
          <w:b w:val="0"/>
          <w:bCs/>
          <w:color w:val="auto"/>
          <w:sz w:val="21"/>
          <w:szCs w:val="21"/>
          <w:highlight w:val="none"/>
          <w:lang w:bidi="ar"/>
        </w:rPr>
        <w:t>工作人员数量）。其中，清洁保洁人员</w:t>
      </w:r>
      <w:r>
        <w:rPr>
          <w:rFonts w:hint="eastAsia" w:ascii="宋体" w:hAnsi="宋体" w:eastAsia="宋体" w:cs="宋体"/>
          <w:b w:val="0"/>
          <w:bCs/>
          <w:color w:val="auto"/>
          <w:sz w:val="21"/>
          <w:szCs w:val="21"/>
          <w:highlight w:val="none"/>
          <w:u w:val="single"/>
          <w:lang w:bidi="ar"/>
        </w:rPr>
        <w:t xml:space="preserve"> </w:t>
      </w:r>
      <w:r>
        <w:rPr>
          <w:rFonts w:hint="eastAsia" w:eastAsia="宋体" w:cs="宋体"/>
          <w:b w:val="0"/>
          <w:bCs/>
          <w:color w:val="auto"/>
          <w:sz w:val="21"/>
          <w:szCs w:val="21"/>
          <w:highlight w:val="none"/>
          <w:u w:val="single"/>
          <w:lang w:val="en-US" w:eastAsia="zh-CN" w:bidi="ar"/>
        </w:rPr>
        <w:t>16</w:t>
      </w:r>
      <w:r>
        <w:rPr>
          <w:rFonts w:hint="eastAsia" w:ascii="宋体" w:hAnsi="宋体" w:eastAsia="宋体" w:cs="宋体"/>
          <w:b w:val="0"/>
          <w:bCs/>
          <w:color w:val="auto"/>
          <w:sz w:val="21"/>
          <w:szCs w:val="21"/>
          <w:highlight w:val="none"/>
          <w:lang w:bidi="ar"/>
        </w:rPr>
        <w:t>人，绿化养护人员</w:t>
      </w:r>
      <w:r>
        <w:rPr>
          <w:rFonts w:hint="eastAsia" w:ascii="宋体" w:hAnsi="宋体" w:eastAsia="宋体" w:cs="宋体"/>
          <w:b w:val="0"/>
          <w:bCs/>
          <w:color w:val="auto"/>
          <w:sz w:val="21"/>
          <w:szCs w:val="21"/>
          <w:highlight w:val="none"/>
          <w:u w:val="single"/>
          <w:lang w:bidi="ar"/>
        </w:rPr>
        <w:t xml:space="preserve"> </w:t>
      </w:r>
      <w:r>
        <w:rPr>
          <w:rFonts w:hint="eastAsia" w:ascii="宋体" w:hAnsi="宋体" w:eastAsia="宋体" w:cs="宋体"/>
          <w:b w:val="0"/>
          <w:bCs/>
          <w:color w:val="auto"/>
          <w:sz w:val="21"/>
          <w:szCs w:val="21"/>
          <w:highlight w:val="none"/>
          <w:u w:val="single"/>
          <w:lang w:val="en-US" w:eastAsia="zh-CN" w:bidi="ar"/>
        </w:rPr>
        <w:t>0</w:t>
      </w:r>
      <w:r>
        <w:rPr>
          <w:rFonts w:hint="eastAsia" w:ascii="宋体" w:hAnsi="宋体" w:eastAsia="宋体" w:cs="宋体"/>
          <w:b w:val="0"/>
          <w:bCs/>
          <w:color w:val="auto"/>
          <w:sz w:val="21"/>
          <w:szCs w:val="21"/>
          <w:highlight w:val="none"/>
          <w:u w:val="single"/>
          <w:lang w:bidi="ar"/>
        </w:rPr>
        <w:t xml:space="preserve"> </w:t>
      </w:r>
      <w:r>
        <w:rPr>
          <w:rFonts w:hint="eastAsia" w:ascii="宋体" w:hAnsi="宋体" w:eastAsia="宋体" w:cs="宋体"/>
          <w:b w:val="0"/>
          <w:bCs/>
          <w:color w:val="auto"/>
          <w:sz w:val="21"/>
          <w:szCs w:val="21"/>
          <w:highlight w:val="none"/>
          <w:lang w:bidi="ar"/>
        </w:rPr>
        <w:t>人</w:t>
      </w:r>
      <w:r>
        <w:rPr>
          <w:rFonts w:hint="eastAsia" w:ascii="宋体" w:hAnsi="宋体" w:eastAsia="宋体" w:cs="宋体"/>
          <w:b w:val="0"/>
          <w:bCs/>
          <w:color w:val="auto"/>
          <w:sz w:val="21"/>
          <w:szCs w:val="21"/>
          <w:highlight w:val="none"/>
        </w:rPr>
        <w:t>。</w:t>
      </w:r>
    </w:p>
    <w:p w14:paraId="49189D43">
      <w:pPr>
        <w:keepNext w:val="0"/>
        <w:keepLines w:val="0"/>
        <w:pageBreakBefore w:val="0"/>
        <w:kinsoku/>
        <w:wordWrap/>
        <w:overflowPunct/>
        <w:topLinePunct w:val="0"/>
        <w:bidi w:val="0"/>
        <w:adjustRightInd/>
        <w:snapToGrid/>
        <w:spacing w:line="360" w:lineRule="auto"/>
        <w:ind w:firstLine="420" w:firstLineChars="200"/>
        <w:textAlignment w:val="auto"/>
        <w:outlineLvl w:val="9"/>
        <w:rPr>
          <w:rFonts w:hint="eastAsia" w:ascii="宋体" w:hAnsi="宋体" w:eastAsia="宋体" w:cs="宋体"/>
          <w:b w:val="0"/>
          <w:bCs w:val="0"/>
          <w:color w:val="auto"/>
          <w:sz w:val="21"/>
          <w:szCs w:val="21"/>
          <w:highlight w:val="none"/>
          <w:lang w:val="en-US" w:eastAsia="zh-CN"/>
        </w:rPr>
      </w:pPr>
      <w:r>
        <w:rPr>
          <w:rFonts w:hint="eastAsia" w:ascii="宋体" w:hAnsi="宋体" w:eastAsia="宋体" w:cs="宋体"/>
          <w:b w:val="0"/>
          <w:bCs w:val="0"/>
          <w:color w:val="auto"/>
          <w:sz w:val="21"/>
          <w:szCs w:val="21"/>
          <w:highlight w:val="none"/>
          <w:lang w:val="en-US" w:eastAsia="zh-CN"/>
        </w:rPr>
        <w:t>属地分公司：43人。其中：41名保洁，2名绿化</w:t>
      </w:r>
    </w:p>
    <w:p w14:paraId="42581CC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1</w:t>
      </w:r>
      <w:r>
        <w:rPr>
          <w:rFonts w:hint="eastAsia" w:ascii="宋体" w:hAnsi="宋体" w:eastAsia="宋体" w:cs="宋体"/>
          <w:b w:val="0"/>
          <w:color w:val="auto"/>
          <w:kern w:val="0"/>
          <w:sz w:val="21"/>
          <w:szCs w:val="21"/>
          <w:highlight w:val="none"/>
          <w:lang w:bidi="ar"/>
        </w:rPr>
        <w:t>）莞城（南城）分公司配置清洁保洁</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single"/>
          <w:lang w:val="en-US" w:eastAsia="zh-CN" w:bidi="ar"/>
        </w:rPr>
        <w:t>4</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lang w:bidi="ar"/>
        </w:rPr>
        <w:t>名（指服务于本子项目的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208FA558">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2</w:t>
      </w:r>
      <w:r>
        <w:rPr>
          <w:rFonts w:hint="eastAsia" w:ascii="宋体" w:hAnsi="宋体" w:eastAsia="宋体" w:cs="宋体"/>
          <w:b w:val="0"/>
          <w:color w:val="auto"/>
          <w:kern w:val="0"/>
          <w:sz w:val="21"/>
          <w:szCs w:val="21"/>
          <w:highlight w:val="none"/>
          <w:lang w:bidi="ar"/>
        </w:rPr>
        <w:t>）东城分公司办公楼配置清洁保洁</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single"/>
          <w:lang w:val="en-US" w:eastAsia="zh-CN" w:bidi="ar"/>
        </w:rPr>
        <w:t>3</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lang w:bidi="ar"/>
        </w:rPr>
        <w:t>名（指服务于本子项目的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52E23029">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3</w:t>
      </w:r>
      <w:r>
        <w:rPr>
          <w:rFonts w:hint="eastAsia" w:ascii="宋体" w:hAnsi="宋体" w:eastAsia="宋体" w:cs="宋体"/>
          <w:b w:val="0"/>
          <w:color w:val="auto"/>
          <w:kern w:val="0"/>
          <w:sz w:val="21"/>
          <w:szCs w:val="21"/>
          <w:highlight w:val="none"/>
          <w:lang w:bidi="ar"/>
        </w:rPr>
        <w:t>）万江分公司办公楼配置清洁保洁</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single"/>
          <w:lang w:val="en-US" w:eastAsia="zh-CN" w:bidi="ar"/>
        </w:rPr>
        <w:t>2</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lang w:bidi="ar"/>
        </w:rPr>
        <w:t>名（指服务于本子项目的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21A4B47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4</w:t>
      </w:r>
      <w:r>
        <w:rPr>
          <w:rFonts w:hint="eastAsia" w:ascii="宋体" w:hAnsi="宋体" w:eastAsia="宋体" w:cs="宋体"/>
          <w:b w:val="0"/>
          <w:color w:val="auto"/>
          <w:kern w:val="0"/>
          <w:sz w:val="21"/>
          <w:szCs w:val="21"/>
          <w:highlight w:val="none"/>
          <w:lang w:bidi="ar"/>
        </w:rPr>
        <w:t>）松山湖分公司办公楼配置清洁保洁</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single"/>
          <w:lang w:val="en-US" w:eastAsia="zh-CN" w:bidi="ar"/>
        </w:rPr>
        <w:t>1</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lang w:bidi="ar"/>
        </w:rPr>
        <w:t>名（指服务于本子项目的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2082EB71">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val="0"/>
          <w:color w:val="auto"/>
          <w:kern w:val="0"/>
          <w:sz w:val="21"/>
          <w:szCs w:val="21"/>
          <w:highlight w:val="none"/>
          <w:lang w:bidi="ar"/>
        </w:rPr>
      </w:pP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5</w:t>
      </w:r>
      <w:r>
        <w:rPr>
          <w:rFonts w:hint="eastAsia" w:ascii="宋体" w:hAnsi="宋体" w:eastAsia="宋体" w:cs="宋体"/>
          <w:b w:val="0"/>
          <w:color w:val="auto"/>
          <w:kern w:val="0"/>
          <w:sz w:val="21"/>
          <w:szCs w:val="21"/>
          <w:highlight w:val="none"/>
          <w:lang w:bidi="ar"/>
        </w:rPr>
        <w:t>）高埗分公司新厂区办公楼配置清洁保洁</w:t>
      </w:r>
      <w:r>
        <w:rPr>
          <w:rFonts w:hint="eastAsia" w:ascii="宋体" w:hAnsi="宋体" w:eastAsia="宋体" w:cs="宋体"/>
          <w:b w:val="0"/>
          <w:color w:val="auto"/>
          <w:kern w:val="0"/>
          <w:sz w:val="21"/>
          <w:szCs w:val="21"/>
          <w:highlight w:val="none"/>
          <w:u w:val="single"/>
          <w:lang w:val="en-US" w:eastAsia="zh-CN" w:bidi="ar"/>
        </w:rPr>
        <w:t xml:space="preserve"> 1</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lang w:bidi="ar"/>
        </w:rPr>
        <w:t>名（指服务于本子项目的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5B9D7174">
      <w:pPr>
        <w:keepNext w:val="0"/>
        <w:keepLines w:val="0"/>
        <w:pageBreakBefore w:val="0"/>
        <w:kinsoku/>
        <w:wordWrap/>
        <w:overflowPunct/>
        <w:topLinePunct w:val="0"/>
        <w:bidi w:val="0"/>
        <w:adjustRightInd/>
        <w:snapToGrid/>
        <w:spacing w:line="360" w:lineRule="auto"/>
        <w:ind w:firstLine="420" w:firstLineChars="200"/>
        <w:textAlignment w:val="auto"/>
        <w:rPr>
          <w:rFonts w:hint="eastAsia" w:ascii="宋体" w:hAnsi="宋体" w:eastAsia="宋体" w:cs="宋体"/>
          <w:color w:val="auto"/>
          <w:sz w:val="21"/>
          <w:szCs w:val="21"/>
          <w:highlight w:val="none"/>
        </w:rPr>
      </w:pP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6</w:t>
      </w: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石碣</w:t>
      </w:r>
      <w:r>
        <w:rPr>
          <w:rFonts w:hint="eastAsia" w:ascii="宋体" w:hAnsi="宋体" w:eastAsia="宋体" w:cs="宋体"/>
          <w:b w:val="0"/>
          <w:color w:val="auto"/>
          <w:kern w:val="0"/>
          <w:sz w:val="21"/>
          <w:szCs w:val="21"/>
          <w:highlight w:val="none"/>
          <w:lang w:bidi="ar"/>
        </w:rPr>
        <w:t>分公司</w:t>
      </w:r>
      <w:r>
        <w:rPr>
          <w:rFonts w:hint="eastAsia" w:ascii="宋体" w:hAnsi="宋体" w:eastAsia="宋体" w:cs="宋体"/>
          <w:b w:val="0"/>
          <w:color w:val="auto"/>
          <w:kern w:val="0"/>
          <w:sz w:val="21"/>
          <w:szCs w:val="21"/>
          <w:highlight w:val="none"/>
          <w:lang w:val="en-US" w:eastAsia="zh-CN" w:bidi="ar"/>
        </w:rPr>
        <w:t>办公楼</w:t>
      </w:r>
      <w:r>
        <w:rPr>
          <w:rFonts w:hint="eastAsia" w:ascii="宋体" w:hAnsi="宋体" w:eastAsia="宋体" w:cs="宋体"/>
          <w:b w:val="0"/>
          <w:color w:val="auto"/>
          <w:kern w:val="0"/>
          <w:sz w:val="21"/>
          <w:szCs w:val="21"/>
          <w:highlight w:val="none"/>
          <w:lang w:bidi="ar"/>
        </w:rPr>
        <w:t>配置清洁保洁</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single"/>
          <w:lang w:val="en-US" w:eastAsia="zh-CN" w:bidi="ar"/>
        </w:rPr>
        <w:t>1</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lang w:bidi="ar"/>
        </w:rPr>
        <w:t>名（指服务于本子项目的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7D3035FF">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val="0"/>
          <w:color w:val="auto"/>
          <w:kern w:val="0"/>
          <w:sz w:val="21"/>
          <w:szCs w:val="21"/>
          <w:highlight w:val="none"/>
          <w:lang w:bidi="ar"/>
        </w:rPr>
      </w:pP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7</w:t>
      </w:r>
      <w:r>
        <w:rPr>
          <w:rFonts w:hint="eastAsia" w:ascii="宋体" w:hAnsi="宋体" w:eastAsia="宋体" w:cs="宋体"/>
          <w:b w:val="0"/>
          <w:color w:val="auto"/>
          <w:kern w:val="0"/>
          <w:sz w:val="21"/>
          <w:szCs w:val="21"/>
          <w:highlight w:val="none"/>
          <w:lang w:bidi="ar"/>
        </w:rPr>
        <w:t>）石龙分公司</w:t>
      </w:r>
      <w:r>
        <w:rPr>
          <w:rFonts w:hint="eastAsia" w:ascii="宋体" w:hAnsi="宋体" w:eastAsia="宋体" w:cs="宋体"/>
          <w:b w:val="0"/>
          <w:color w:val="auto"/>
          <w:kern w:val="0"/>
          <w:sz w:val="21"/>
          <w:szCs w:val="21"/>
          <w:highlight w:val="none"/>
          <w:lang w:val="en-US" w:eastAsia="zh-CN" w:bidi="ar"/>
        </w:rPr>
        <w:t>办公楼及仓库</w:t>
      </w:r>
      <w:r>
        <w:rPr>
          <w:rFonts w:hint="eastAsia" w:ascii="宋体" w:hAnsi="宋体" w:eastAsia="宋体" w:cs="宋体"/>
          <w:b w:val="0"/>
          <w:color w:val="auto"/>
          <w:kern w:val="0"/>
          <w:sz w:val="21"/>
          <w:szCs w:val="21"/>
          <w:highlight w:val="none"/>
          <w:lang w:bidi="ar"/>
        </w:rPr>
        <w:t>配置清洁保洁</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single"/>
          <w:lang w:val="en-US" w:eastAsia="zh-CN" w:bidi="ar"/>
        </w:rPr>
        <w:t>1</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lang w:bidi="ar"/>
        </w:rPr>
        <w:t>名（指服务于本子项目的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33EE1E1F">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8</w:t>
      </w:r>
      <w:r>
        <w:rPr>
          <w:rFonts w:hint="eastAsia" w:ascii="宋体" w:hAnsi="宋体" w:eastAsia="宋体" w:cs="宋体"/>
          <w:b w:val="0"/>
          <w:color w:val="auto"/>
          <w:kern w:val="0"/>
          <w:sz w:val="21"/>
          <w:szCs w:val="21"/>
          <w:highlight w:val="none"/>
          <w:lang w:bidi="ar"/>
        </w:rPr>
        <w:t>）石排分公司办公楼配置清洁保洁</w:t>
      </w:r>
      <w:r>
        <w:rPr>
          <w:rFonts w:hint="eastAsia" w:ascii="宋体" w:hAnsi="宋体" w:eastAsia="宋体" w:cs="宋体"/>
          <w:b w:val="0"/>
          <w:color w:val="auto"/>
          <w:kern w:val="0"/>
          <w:sz w:val="21"/>
          <w:szCs w:val="21"/>
          <w:highlight w:val="none"/>
          <w:u w:val="single"/>
          <w:lang w:val="en-US" w:eastAsia="zh-CN" w:bidi="ar"/>
        </w:rPr>
        <w:t xml:space="preserve"> 1 </w:t>
      </w:r>
      <w:r>
        <w:rPr>
          <w:rFonts w:hint="eastAsia" w:ascii="宋体" w:hAnsi="宋体" w:eastAsia="宋体" w:cs="宋体"/>
          <w:b w:val="0"/>
          <w:color w:val="auto"/>
          <w:kern w:val="0"/>
          <w:sz w:val="21"/>
          <w:szCs w:val="21"/>
          <w:highlight w:val="none"/>
          <w:lang w:bidi="ar"/>
        </w:rPr>
        <w:t>名（指服务于本子项目的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706379B0">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9</w:t>
      </w:r>
      <w:r>
        <w:rPr>
          <w:rFonts w:hint="eastAsia" w:ascii="宋体" w:hAnsi="宋体" w:eastAsia="宋体" w:cs="宋体"/>
          <w:b w:val="0"/>
          <w:color w:val="auto"/>
          <w:kern w:val="0"/>
          <w:sz w:val="21"/>
          <w:szCs w:val="21"/>
          <w:highlight w:val="none"/>
          <w:lang w:bidi="ar"/>
        </w:rPr>
        <w:t>）茶山分公司办公区配置清洁保洁</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single"/>
          <w:lang w:val="en-US" w:eastAsia="zh-CN" w:bidi="ar"/>
        </w:rPr>
        <w:t>2</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lang w:bidi="ar"/>
        </w:rPr>
        <w:t>名（指服务于本子项目的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053F06AC">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val="0"/>
          <w:color w:val="auto"/>
          <w:kern w:val="0"/>
          <w:sz w:val="21"/>
          <w:szCs w:val="21"/>
          <w:highlight w:val="none"/>
          <w:lang w:bidi="ar"/>
        </w:rPr>
      </w:pP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10</w:t>
      </w:r>
      <w:r>
        <w:rPr>
          <w:rFonts w:hint="eastAsia" w:ascii="宋体" w:hAnsi="宋体" w:eastAsia="宋体" w:cs="宋体"/>
          <w:b w:val="0"/>
          <w:color w:val="auto"/>
          <w:kern w:val="0"/>
          <w:sz w:val="21"/>
          <w:szCs w:val="21"/>
          <w:highlight w:val="none"/>
          <w:lang w:bidi="ar"/>
        </w:rPr>
        <w:t>）寮步分公司办公楼配置清洁保洁</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single"/>
          <w:lang w:val="en-US" w:eastAsia="zh-CN" w:bidi="ar"/>
        </w:rPr>
        <w:t xml:space="preserve">3 </w:t>
      </w:r>
      <w:r>
        <w:rPr>
          <w:rFonts w:hint="eastAsia" w:ascii="宋体" w:hAnsi="宋体" w:eastAsia="宋体" w:cs="宋体"/>
          <w:b w:val="0"/>
          <w:color w:val="auto"/>
          <w:kern w:val="0"/>
          <w:sz w:val="21"/>
          <w:szCs w:val="21"/>
          <w:highlight w:val="none"/>
          <w:lang w:bidi="ar"/>
        </w:rPr>
        <w:t>名（指服务于本子项目的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1FBBE54B">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11</w:t>
      </w:r>
      <w:r>
        <w:rPr>
          <w:rFonts w:hint="eastAsia" w:ascii="宋体" w:hAnsi="宋体" w:eastAsia="宋体" w:cs="宋体"/>
          <w:b w:val="0"/>
          <w:color w:val="auto"/>
          <w:kern w:val="0"/>
          <w:sz w:val="21"/>
          <w:szCs w:val="21"/>
          <w:highlight w:val="none"/>
          <w:lang w:bidi="ar"/>
        </w:rPr>
        <w:t>）望牛墩分公司办公楼</w:t>
      </w:r>
      <w:r>
        <w:rPr>
          <w:rFonts w:hint="eastAsia" w:ascii="宋体" w:hAnsi="宋体" w:eastAsia="宋体" w:cs="宋体"/>
          <w:b w:val="0"/>
          <w:color w:val="auto"/>
          <w:kern w:val="0"/>
          <w:sz w:val="21"/>
          <w:szCs w:val="21"/>
          <w:highlight w:val="none"/>
          <w:lang w:val="en-US" w:eastAsia="zh-CN" w:bidi="ar"/>
        </w:rPr>
        <w:t>及营业厅</w:t>
      </w:r>
      <w:r>
        <w:rPr>
          <w:rFonts w:hint="eastAsia" w:ascii="宋体" w:hAnsi="宋体" w:eastAsia="宋体" w:cs="宋体"/>
          <w:b w:val="0"/>
          <w:color w:val="auto"/>
          <w:kern w:val="0"/>
          <w:sz w:val="21"/>
          <w:szCs w:val="21"/>
          <w:highlight w:val="none"/>
          <w:lang w:bidi="ar"/>
        </w:rPr>
        <w:t>配置清洁保洁</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single"/>
          <w:lang w:val="en-US" w:eastAsia="zh-CN" w:bidi="ar"/>
        </w:rPr>
        <w:t>1</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lang w:bidi="ar"/>
        </w:rPr>
        <w:t>名</w:t>
      </w:r>
      <w:r>
        <w:rPr>
          <w:rFonts w:hint="eastAsia" w:ascii="宋体" w:hAnsi="宋体" w:eastAsia="宋体" w:cs="宋体"/>
          <w:b w:val="0"/>
          <w:color w:val="auto"/>
          <w:kern w:val="0"/>
          <w:sz w:val="21"/>
          <w:szCs w:val="21"/>
          <w:highlight w:val="none"/>
          <w:lang w:eastAsia="zh-CN" w:bidi="ar"/>
        </w:rPr>
        <w:t>，</w:t>
      </w:r>
      <w:r>
        <w:rPr>
          <w:rFonts w:hint="eastAsia" w:ascii="宋体" w:hAnsi="宋体" w:eastAsia="宋体" w:cs="宋体"/>
          <w:b w:val="0"/>
          <w:color w:val="auto"/>
          <w:kern w:val="0"/>
          <w:sz w:val="21"/>
          <w:szCs w:val="21"/>
          <w:highlight w:val="none"/>
          <w:lang w:bidi="ar"/>
        </w:rPr>
        <w:t>办公楼绿化养护人员</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single"/>
          <w:lang w:val="en-US" w:eastAsia="zh-CN" w:bidi="ar"/>
        </w:rPr>
        <w:t>1</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none"/>
          <w:lang w:val="en-US" w:eastAsia="zh-CN" w:bidi="ar"/>
        </w:rPr>
        <w:t>名</w:t>
      </w:r>
      <w:r>
        <w:rPr>
          <w:rFonts w:hint="eastAsia" w:ascii="宋体" w:hAnsi="宋体" w:eastAsia="宋体" w:cs="宋体"/>
          <w:b w:val="0"/>
          <w:color w:val="auto"/>
          <w:kern w:val="0"/>
          <w:sz w:val="21"/>
          <w:szCs w:val="21"/>
          <w:highlight w:val="none"/>
          <w:lang w:bidi="ar"/>
        </w:rPr>
        <w:t>。（指服务于本子项目的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29D215D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bidi="ar"/>
        </w:rPr>
        <w:t>（1</w:t>
      </w:r>
      <w:r>
        <w:rPr>
          <w:rFonts w:hint="eastAsia" w:ascii="宋体" w:hAnsi="宋体" w:eastAsia="宋体" w:cs="宋体"/>
          <w:b w:val="0"/>
          <w:color w:val="auto"/>
          <w:kern w:val="0"/>
          <w:sz w:val="21"/>
          <w:szCs w:val="21"/>
          <w:highlight w:val="none"/>
          <w:lang w:val="en-US" w:eastAsia="zh-CN" w:bidi="ar"/>
        </w:rPr>
        <w:t>2</w:t>
      </w:r>
      <w:r>
        <w:rPr>
          <w:rFonts w:hint="eastAsia" w:ascii="宋体" w:hAnsi="宋体" w:eastAsia="宋体" w:cs="宋体"/>
          <w:b w:val="0"/>
          <w:color w:val="auto"/>
          <w:kern w:val="0"/>
          <w:sz w:val="21"/>
          <w:szCs w:val="21"/>
          <w:highlight w:val="none"/>
          <w:lang w:bidi="ar"/>
        </w:rPr>
        <w:t>）洪梅分公司办公楼配置清洁保洁</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single"/>
          <w:lang w:val="en-US" w:eastAsia="zh-CN" w:bidi="ar"/>
        </w:rPr>
        <w:t>1</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lang w:bidi="ar"/>
        </w:rPr>
        <w:t>名（指服务于本子项目的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0B5679B2">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13</w:t>
      </w:r>
      <w:r>
        <w:rPr>
          <w:rFonts w:hint="eastAsia" w:ascii="宋体" w:hAnsi="宋体" w:eastAsia="宋体" w:cs="宋体"/>
          <w:b w:val="0"/>
          <w:color w:val="auto"/>
          <w:kern w:val="0"/>
          <w:sz w:val="21"/>
          <w:szCs w:val="21"/>
          <w:highlight w:val="none"/>
          <w:lang w:bidi="ar"/>
        </w:rPr>
        <w:t>）麻涌分公司办公楼配置清洁保洁</w:t>
      </w:r>
      <w:r>
        <w:rPr>
          <w:rFonts w:hint="eastAsia" w:ascii="宋体" w:hAnsi="宋体" w:eastAsia="宋体" w:cs="宋体"/>
          <w:b w:val="0"/>
          <w:color w:val="auto"/>
          <w:kern w:val="0"/>
          <w:sz w:val="21"/>
          <w:szCs w:val="21"/>
          <w:highlight w:val="none"/>
          <w:u w:val="single"/>
          <w:lang w:val="en-US" w:eastAsia="zh-CN" w:bidi="ar"/>
        </w:rPr>
        <w:t xml:space="preserve"> 1 </w:t>
      </w:r>
      <w:r>
        <w:rPr>
          <w:rFonts w:hint="eastAsia" w:ascii="宋体" w:hAnsi="宋体" w:eastAsia="宋体" w:cs="宋体"/>
          <w:b w:val="0"/>
          <w:color w:val="auto"/>
          <w:kern w:val="0"/>
          <w:sz w:val="21"/>
          <w:szCs w:val="21"/>
          <w:highlight w:val="none"/>
          <w:lang w:bidi="ar"/>
        </w:rPr>
        <w:t>名（指服务于本子项目的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1D67CF65">
      <w:pPr>
        <w:keepNext w:val="0"/>
        <w:keepLines w:val="0"/>
        <w:pageBreakBefore w:val="0"/>
        <w:kinsoku/>
        <w:wordWrap/>
        <w:overflowPunct/>
        <w:topLinePunct w:val="0"/>
        <w:autoSpaceDE w:val="0"/>
        <w:autoSpaceDN w:val="0"/>
        <w:bidi w:val="0"/>
        <w:adjustRightInd/>
        <w:snapToGrid/>
        <w:spacing w:line="360" w:lineRule="auto"/>
        <w:ind w:firstLine="420" w:firstLineChars="200"/>
        <w:jc w:val="left"/>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kern w:val="0"/>
          <w:sz w:val="21"/>
          <w:szCs w:val="21"/>
          <w:highlight w:val="none"/>
          <w:lang w:val="en-US" w:eastAsia="zh-CN" w:bidi="ar"/>
        </w:rPr>
        <w:t>14</w:t>
      </w:r>
      <w:r>
        <w:rPr>
          <w:rFonts w:hint="eastAsia" w:ascii="宋体" w:hAnsi="宋体" w:eastAsia="宋体" w:cs="宋体"/>
          <w:b w:val="0"/>
          <w:color w:val="auto"/>
          <w:kern w:val="0"/>
          <w:sz w:val="21"/>
          <w:szCs w:val="21"/>
          <w:highlight w:val="none"/>
          <w:lang w:bidi="ar"/>
        </w:rPr>
        <w:t>）道滘分公司办公楼配置清洁保洁</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single"/>
          <w:lang w:val="en-US" w:eastAsia="zh-CN" w:bidi="ar"/>
        </w:rPr>
        <w:t>1</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lang w:bidi="ar"/>
        </w:rPr>
        <w:t>名（指服务于本子项目的</w:t>
      </w:r>
      <w:r>
        <w:rPr>
          <w:rFonts w:hint="eastAsia" w:ascii="宋体" w:hAnsi="宋体" w:eastAsia="宋体" w:cs="宋体"/>
          <w:b w:val="0"/>
          <w:color w:val="auto"/>
          <w:kern w:val="0"/>
          <w:sz w:val="21"/>
          <w:szCs w:val="21"/>
          <w:highlight w:val="none"/>
          <w:lang w:eastAsia="zh-CN" w:bidi="ar"/>
        </w:rPr>
        <w:t>服务单位</w:t>
      </w:r>
      <w:r>
        <w:rPr>
          <w:rFonts w:hint="eastAsia" w:ascii="宋体" w:hAnsi="宋体" w:eastAsia="宋体" w:cs="宋体"/>
          <w:b w:val="0"/>
          <w:color w:val="auto"/>
          <w:kern w:val="0"/>
          <w:sz w:val="21"/>
          <w:szCs w:val="21"/>
          <w:highlight w:val="none"/>
          <w:lang w:bidi="ar"/>
        </w:rPr>
        <w:t>工作人员数量）。</w:t>
      </w:r>
    </w:p>
    <w:p w14:paraId="72DBB183">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15</w:t>
      </w:r>
      <w:r>
        <w:rPr>
          <w:rFonts w:hint="eastAsia" w:ascii="宋体" w:hAnsi="宋体" w:eastAsia="宋体" w:cs="宋体"/>
          <w:b w:val="0"/>
          <w:color w:val="auto"/>
          <w:sz w:val="21"/>
          <w:szCs w:val="21"/>
          <w:highlight w:val="none"/>
        </w:rPr>
        <w:t>）中堂分公司办公楼配置清洁保洁</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lang w:val="en-US" w:eastAsia="zh-CN"/>
        </w:rPr>
        <w:t>1</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名（指服务于本子项目的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工作人员数量）。</w:t>
      </w:r>
    </w:p>
    <w:p w14:paraId="498FFAA8">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16</w:t>
      </w:r>
      <w:r>
        <w:rPr>
          <w:rFonts w:hint="eastAsia" w:ascii="宋体" w:hAnsi="宋体" w:eastAsia="宋体" w:cs="宋体"/>
          <w:b w:val="0"/>
          <w:color w:val="auto"/>
          <w:sz w:val="21"/>
          <w:szCs w:val="21"/>
          <w:highlight w:val="none"/>
        </w:rPr>
        <w:t>）沙田分公司本部办公楼配置清洁保洁</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lang w:val="en-US" w:eastAsia="zh-CN"/>
        </w:rPr>
        <w:t>1</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名（指服务于本子项目的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工作人员数量）。</w:t>
      </w:r>
    </w:p>
    <w:p w14:paraId="21104843">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17</w:t>
      </w:r>
      <w:r>
        <w:rPr>
          <w:rFonts w:hint="eastAsia" w:ascii="宋体" w:hAnsi="宋体" w:eastAsia="宋体" w:cs="宋体"/>
          <w:b w:val="0"/>
          <w:color w:val="auto"/>
          <w:sz w:val="21"/>
          <w:szCs w:val="21"/>
          <w:highlight w:val="none"/>
        </w:rPr>
        <w:t>）厚街分公司本部办公楼配置清洁保洁</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lang w:val="en-US" w:eastAsia="zh-CN"/>
        </w:rPr>
        <w:t>1</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名（指服务于本子项目的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工作人员数量）。</w:t>
      </w:r>
    </w:p>
    <w:p w14:paraId="79B1D9EA">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18</w:t>
      </w:r>
      <w:r>
        <w:rPr>
          <w:rFonts w:hint="eastAsia" w:ascii="宋体" w:hAnsi="宋体" w:eastAsia="宋体" w:cs="宋体"/>
          <w:b w:val="0"/>
          <w:color w:val="auto"/>
          <w:sz w:val="21"/>
          <w:szCs w:val="21"/>
          <w:highlight w:val="none"/>
        </w:rPr>
        <w:t>）厚街分公司东部加压站配置清洁保洁</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lang w:val="en-US" w:eastAsia="zh-CN"/>
        </w:rPr>
        <w:t>1</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名</w:t>
      </w:r>
      <w:r>
        <w:rPr>
          <w:rFonts w:hint="eastAsia" w:ascii="宋体" w:hAnsi="宋体" w:eastAsia="宋体" w:cs="宋体"/>
          <w:b w:val="0"/>
          <w:color w:val="auto"/>
          <w:sz w:val="21"/>
          <w:szCs w:val="21"/>
          <w:highlight w:val="none"/>
          <w:lang w:eastAsia="zh-CN"/>
        </w:rPr>
        <w:t>，</w:t>
      </w:r>
      <w:r>
        <w:rPr>
          <w:rFonts w:hint="eastAsia" w:ascii="宋体" w:hAnsi="宋体" w:eastAsia="宋体" w:cs="宋体"/>
          <w:b w:val="0"/>
          <w:color w:val="auto"/>
          <w:kern w:val="0"/>
          <w:sz w:val="21"/>
          <w:szCs w:val="21"/>
          <w:highlight w:val="none"/>
          <w:lang w:bidi="ar"/>
        </w:rPr>
        <w:t>绿化养护人员</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single"/>
          <w:lang w:val="en-US" w:eastAsia="zh-CN" w:bidi="ar"/>
        </w:rPr>
        <w:t>1</w:t>
      </w:r>
      <w:r>
        <w:rPr>
          <w:rFonts w:hint="eastAsia" w:ascii="宋体" w:hAnsi="宋体" w:eastAsia="宋体" w:cs="宋体"/>
          <w:b w:val="0"/>
          <w:color w:val="auto"/>
          <w:kern w:val="0"/>
          <w:sz w:val="21"/>
          <w:szCs w:val="21"/>
          <w:highlight w:val="none"/>
          <w:u w:val="single"/>
          <w:lang w:bidi="ar"/>
        </w:rPr>
        <w:t xml:space="preserve"> </w:t>
      </w:r>
      <w:r>
        <w:rPr>
          <w:rFonts w:hint="eastAsia" w:ascii="宋体" w:hAnsi="宋体" w:eastAsia="宋体" w:cs="宋体"/>
          <w:b w:val="0"/>
          <w:color w:val="auto"/>
          <w:kern w:val="0"/>
          <w:sz w:val="21"/>
          <w:szCs w:val="21"/>
          <w:highlight w:val="none"/>
          <w:u w:val="none"/>
          <w:lang w:val="en-US" w:eastAsia="zh-CN" w:bidi="ar"/>
        </w:rPr>
        <w:t>名</w:t>
      </w:r>
      <w:r>
        <w:rPr>
          <w:rFonts w:hint="eastAsia" w:ascii="宋体" w:hAnsi="宋体" w:eastAsia="宋体" w:cs="宋体"/>
          <w:b w:val="0"/>
          <w:color w:val="auto"/>
          <w:kern w:val="0"/>
          <w:sz w:val="21"/>
          <w:szCs w:val="21"/>
          <w:highlight w:val="none"/>
          <w:lang w:bidi="ar"/>
        </w:rPr>
        <w:t>。</w:t>
      </w:r>
      <w:r>
        <w:rPr>
          <w:rFonts w:hint="eastAsia" w:ascii="宋体" w:hAnsi="宋体" w:eastAsia="宋体" w:cs="宋体"/>
          <w:b w:val="0"/>
          <w:color w:val="auto"/>
          <w:sz w:val="21"/>
          <w:szCs w:val="21"/>
          <w:highlight w:val="none"/>
        </w:rPr>
        <w:t>（指服务于本子项目的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工作人员数量）。</w:t>
      </w:r>
    </w:p>
    <w:p w14:paraId="486EB853">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19</w:t>
      </w:r>
      <w:r>
        <w:rPr>
          <w:rFonts w:hint="eastAsia" w:ascii="宋体" w:hAnsi="宋体" w:eastAsia="宋体" w:cs="宋体"/>
          <w:b w:val="0"/>
          <w:color w:val="auto"/>
          <w:sz w:val="21"/>
          <w:szCs w:val="21"/>
          <w:highlight w:val="none"/>
        </w:rPr>
        <w:t>）凤岗分公司办公楼配置清洁保洁</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lang w:val="en-US" w:eastAsia="zh-CN"/>
        </w:rPr>
        <w:t>1</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名（指服务于本子项目的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工作人员数量）。</w:t>
      </w:r>
    </w:p>
    <w:p w14:paraId="0DFDCB24">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20</w:t>
      </w:r>
      <w:r>
        <w:rPr>
          <w:rFonts w:hint="eastAsia" w:ascii="宋体" w:hAnsi="宋体" w:eastAsia="宋体" w:cs="宋体"/>
          <w:b w:val="0"/>
          <w:color w:val="auto"/>
          <w:sz w:val="21"/>
          <w:szCs w:val="21"/>
          <w:highlight w:val="none"/>
        </w:rPr>
        <w:t>）凤岗分公司供水服务中心配置清洁保洁</w:t>
      </w:r>
      <w:r>
        <w:rPr>
          <w:rFonts w:hint="eastAsia" w:ascii="宋体" w:hAnsi="宋体" w:eastAsia="宋体" w:cs="宋体"/>
          <w:b w:val="0"/>
          <w:color w:val="auto"/>
          <w:sz w:val="21"/>
          <w:szCs w:val="21"/>
          <w:highlight w:val="none"/>
          <w:u w:val="single"/>
        </w:rPr>
        <w:t xml:space="preserve"> 1</w:t>
      </w:r>
      <w:r>
        <w:rPr>
          <w:rFonts w:hint="eastAsia" w:hAnsi="宋体" w:cs="宋体"/>
          <w:b w:val="0"/>
          <w:color w:val="auto"/>
          <w:sz w:val="21"/>
          <w:szCs w:val="21"/>
          <w:highlight w:val="none"/>
          <w:u w:val="single"/>
          <w:lang w:val="en-US" w:eastAsia="zh-CN"/>
        </w:rPr>
        <w:t xml:space="preserve"> </w:t>
      </w:r>
      <w:r>
        <w:rPr>
          <w:rFonts w:hint="eastAsia" w:ascii="宋体" w:hAnsi="宋体" w:eastAsia="宋体" w:cs="宋体"/>
          <w:b w:val="0"/>
          <w:color w:val="auto"/>
          <w:sz w:val="21"/>
          <w:szCs w:val="21"/>
          <w:highlight w:val="none"/>
        </w:rPr>
        <w:t>名（指服务于本子项目的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工作人员数量）。</w:t>
      </w:r>
    </w:p>
    <w:p w14:paraId="6D01F7E2">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21</w:t>
      </w:r>
      <w:r>
        <w:rPr>
          <w:rFonts w:hint="eastAsia" w:ascii="宋体" w:hAnsi="宋体" w:eastAsia="宋体" w:cs="宋体"/>
          <w:b w:val="0"/>
          <w:color w:val="auto"/>
          <w:sz w:val="21"/>
          <w:szCs w:val="21"/>
          <w:highlight w:val="none"/>
        </w:rPr>
        <w:t>）樟木头分公司办公楼</w:t>
      </w:r>
      <w:r>
        <w:rPr>
          <w:rFonts w:hint="eastAsia" w:ascii="宋体" w:hAnsi="宋体" w:eastAsia="宋体" w:cs="宋体"/>
          <w:b w:val="0"/>
          <w:color w:val="auto"/>
          <w:sz w:val="21"/>
          <w:szCs w:val="21"/>
          <w:highlight w:val="none"/>
          <w:lang w:val="en-US" w:eastAsia="zh-CN"/>
        </w:rPr>
        <w:t>及子项目</w:t>
      </w:r>
      <w:r>
        <w:rPr>
          <w:rFonts w:hint="eastAsia" w:ascii="宋体" w:hAnsi="宋体" w:eastAsia="宋体" w:cs="宋体"/>
          <w:b w:val="0"/>
          <w:color w:val="auto"/>
          <w:sz w:val="21"/>
          <w:szCs w:val="21"/>
          <w:highlight w:val="none"/>
        </w:rPr>
        <w:t>配置清洁保洁</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lang w:val="en-US" w:eastAsia="zh-CN"/>
        </w:rPr>
        <w:t>1</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名（指服务于本子项目的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工作人员数量）。</w:t>
      </w:r>
    </w:p>
    <w:p w14:paraId="03161E3F">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22</w:t>
      </w:r>
      <w:r>
        <w:rPr>
          <w:rFonts w:hint="eastAsia" w:ascii="宋体" w:hAnsi="宋体" w:eastAsia="宋体" w:cs="宋体"/>
          <w:b w:val="0"/>
          <w:color w:val="auto"/>
          <w:sz w:val="21"/>
          <w:szCs w:val="21"/>
          <w:highlight w:val="none"/>
        </w:rPr>
        <w:t>）黄江分公司办公楼配置清洁保洁</w:t>
      </w:r>
      <w:r>
        <w:rPr>
          <w:rFonts w:hint="eastAsia" w:hAnsi="宋体" w:cs="宋体"/>
          <w:b w:val="0"/>
          <w:color w:val="auto"/>
          <w:sz w:val="21"/>
          <w:szCs w:val="21"/>
          <w:highlight w:val="none"/>
          <w:u w:val="single"/>
          <w:lang w:val="en-US" w:eastAsia="zh-CN"/>
        </w:rPr>
        <w:t xml:space="preserve"> </w:t>
      </w:r>
      <w:r>
        <w:rPr>
          <w:rFonts w:hint="eastAsia" w:ascii="宋体" w:hAnsi="宋体" w:eastAsia="宋体" w:cs="宋体"/>
          <w:b w:val="0"/>
          <w:color w:val="auto"/>
          <w:sz w:val="21"/>
          <w:szCs w:val="21"/>
          <w:highlight w:val="none"/>
          <w:u w:val="single"/>
          <w:lang w:val="en-US" w:eastAsia="zh-CN"/>
        </w:rPr>
        <w:t>2</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名（指服务于本子项目的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工作人员数量）。</w:t>
      </w:r>
    </w:p>
    <w:p w14:paraId="1B3D3DE5">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23</w:t>
      </w:r>
      <w:r>
        <w:rPr>
          <w:rFonts w:hint="eastAsia" w:ascii="宋体" w:hAnsi="宋体" w:eastAsia="宋体" w:cs="宋体"/>
          <w:b w:val="0"/>
          <w:color w:val="auto"/>
          <w:sz w:val="21"/>
          <w:szCs w:val="21"/>
          <w:highlight w:val="none"/>
        </w:rPr>
        <w:t>）谢岗分公司办公楼配置清洁保洁</w:t>
      </w:r>
      <w:r>
        <w:rPr>
          <w:rFonts w:hint="eastAsia" w:hAnsi="宋体" w:cs="宋体"/>
          <w:b w:val="0"/>
          <w:color w:val="auto"/>
          <w:sz w:val="21"/>
          <w:szCs w:val="21"/>
          <w:highlight w:val="none"/>
          <w:u w:val="single"/>
          <w:lang w:val="en-US" w:eastAsia="zh-CN"/>
        </w:rPr>
        <w:t xml:space="preserve"> </w:t>
      </w:r>
      <w:r>
        <w:rPr>
          <w:rFonts w:hint="eastAsia" w:ascii="宋体" w:hAnsi="宋体" w:eastAsia="宋体" w:cs="宋体"/>
          <w:b w:val="0"/>
          <w:color w:val="auto"/>
          <w:sz w:val="21"/>
          <w:szCs w:val="21"/>
          <w:highlight w:val="none"/>
          <w:u w:val="single"/>
          <w:lang w:val="en-US" w:eastAsia="zh-CN"/>
        </w:rPr>
        <w:t>1</w:t>
      </w:r>
      <w:r>
        <w:rPr>
          <w:rFonts w:hint="eastAsia" w:hAnsi="宋体" w:cs="宋体"/>
          <w:b w:val="0"/>
          <w:color w:val="auto"/>
          <w:sz w:val="21"/>
          <w:szCs w:val="21"/>
          <w:highlight w:val="none"/>
          <w:u w:val="single"/>
          <w:lang w:val="en-US" w:eastAsia="zh-CN"/>
        </w:rPr>
        <w:t xml:space="preserve"> </w:t>
      </w:r>
      <w:r>
        <w:rPr>
          <w:rFonts w:hint="eastAsia" w:ascii="宋体" w:hAnsi="宋体" w:eastAsia="宋体" w:cs="宋体"/>
          <w:b w:val="0"/>
          <w:color w:val="auto"/>
          <w:sz w:val="21"/>
          <w:szCs w:val="21"/>
          <w:highlight w:val="none"/>
        </w:rPr>
        <w:t>名（指服务于本子项目的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工作人员数量）。</w:t>
      </w:r>
    </w:p>
    <w:p w14:paraId="38CBACE5">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24</w:t>
      </w:r>
      <w:r>
        <w:rPr>
          <w:rFonts w:hint="eastAsia" w:ascii="宋体" w:hAnsi="宋体" w:eastAsia="宋体" w:cs="宋体"/>
          <w:b w:val="0"/>
          <w:color w:val="auto"/>
          <w:sz w:val="21"/>
          <w:szCs w:val="21"/>
          <w:highlight w:val="none"/>
        </w:rPr>
        <w:t>）东坑分公司办公楼配置清洁保洁</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lang w:val="en-US" w:eastAsia="zh-CN"/>
        </w:rPr>
        <w:t>1</w:t>
      </w:r>
      <w:r>
        <w:rPr>
          <w:rFonts w:hint="eastAsia" w:hAnsi="宋体" w:cs="宋体"/>
          <w:b w:val="0"/>
          <w:color w:val="auto"/>
          <w:sz w:val="21"/>
          <w:szCs w:val="21"/>
          <w:highlight w:val="none"/>
          <w:u w:val="single"/>
          <w:lang w:val="en-US" w:eastAsia="zh-CN"/>
        </w:rPr>
        <w:t xml:space="preserve"> </w:t>
      </w:r>
      <w:r>
        <w:rPr>
          <w:rFonts w:hint="eastAsia" w:ascii="宋体" w:hAnsi="宋体" w:eastAsia="宋体" w:cs="宋体"/>
          <w:b w:val="0"/>
          <w:color w:val="auto"/>
          <w:sz w:val="21"/>
          <w:szCs w:val="21"/>
          <w:highlight w:val="none"/>
        </w:rPr>
        <w:t>名（指服务于本子项目的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w:t>
      </w:r>
    </w:p>
    <w:p w14:paraId="7253059A">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25</w:t>
      </w:r>
      <w:r>
        <w:rPr>
          <w:rFonts w:hint="eastAsia" w:ascii="宋体" w:hAnsi="宋体" w:eastAsia="宋体" w:cs="宋体"/>
          <w:b w:val="0"/>
          <w:color w:val="auto"/>
          <w:sz w:val="21"/>
          <w:szCs w:val="21"/>
          <w:highlight w:val="none"/>
        </w:rPr>
        <w:t>）横沥分公司办公楼配置清洁保洁</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lang w:val="en-US" w:eastAsia="zh-CN"/>
        </w:rPr>
        <w:t>2</w:t>
      </w:r>
      <w:r>
        <w:rPr>
          <w:rFonts w:hint="eastAsia" w:hAnsi="宋体" w:cs="宋体"/>
          <w:b w:val="0"/>
          <w:color w:val="auto"/>
          <w:sz w:val="21"/>
          <w:szCs w:val="21"/>
          <w:highlight w:val="none"/>
          <w:u w:val="single"/>
          <w:lang w:val="en-US" w:eastAsia="zh-CN"/>
        </w:rPr>
        <w:t xml:space="preserve"> </w:t>
      </w:r>
      <w:r>
        <w:rPr>
          <w:rFonts w:hint="eastAsia" w:ascii="宋体" w:hAnsi="宋体" w:eastAsia="宋体" w:cs="宋体"/>
          <w:b w:val="0"/>
          <w:color w:val="auto"/>
          <w:sz w:val="21"/>
          <w:szCs w:val="21"/>
          <w:highlight w:val="none"/>
        </w:rPr>
        <w:t>名（指服务于本子项目的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工作人员数量）。</w:t>
      </w:r>
    </w:p>
    <w:p w14:paraId="51051B9A">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26</w:t>
      </w:r>
      <w:r>
        <w:rPr>
          <w:rFonts w:hint="eastAsia" w:ascii="宋体" w:hAnsi="宋体" w:eastAsia="宋体" w:cs="宋体"/>
          <w:b w:val="0"/>
          <w:color w:val="auto"/>
          <w:sz w:val="21"/>
          <w:szCs w:val="21"/>
          <w:highlight w:val="none"/>
        </w:rPr>
        <w:t>）企石分公司办公楼配置清洁保洁</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lang w:val="en-US" w:eastAsia="zh-CN"/>
        </w:rPr>
        <w:t>2</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名（指服务于本子项目的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工作人员数量）。</w:t>
      </w:r>
    </w:p>
    <w:p w14:paraId="7BE1AFCB">
      <w:pPr>
        <w:pStyle w:val="204"/>
        <w:keepNext w:val="0"/>
        <w:keepLines w:val="0"/>
        <w:pageBreakBefore w:val="0"/>
        <w:widowControl/>
        <w:kinsoku/>
        <w:wordWrap/>
        <w:overflowPunct/>
        <w:topLinePunct w:val="0"/>
        <w:bidi w:val="0"/>
        <w:adjustRightInd/>
        <w:snapToGrid/>
        <w:spacing w:line="360" w:lineRule="auto"/>
        <w:ind w:firstLine="420" w:firstLineChars="200"/>
        <w:textAlignment w:val="auto"/>
        <w:rPr>
          <w:rFonts w:hint="eastAsia" w:ascii="宋体" w:hAnsi="宋体" w:eastAsia="宋体" w:cs="宋体"/>
          <w:b w:val="0"/>
          <w:color w:val="auto"/>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27</w:t>
      </w: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桥头</w:t>
      </w:r>
      <w:r>
        <w:rPr>
          <w:rFonts w:hint="eastAsia" w:ascii="宋体" w:hAnsi="宋体" w:eastAsia="宋体" w:cs="宋体"/>
          <w:b w:val="0"/>
          <w:color w:val="auto"/>
          <w:sz w:val="21"/>
          <w:szCs w:val="21"/>
          <w:highlight w:val="none"/>
        </w:rPr>
        <w:t>分公司办公楼配置清洁保洁</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lang w:val="en-US" w:eastAsia="zh-CN"/>
        </w:rPr>
        <w:t>1</w:t>
      </w:r>
      <w:r>
        <w:rPr>
          <w:rFonts w:hint="eastAsia" w:hAnsi="宋体" w:cs="宋体"/>
          <w:b w:val="0"/>
          <w:color w:val="auto"/>
          <w:sz w:val="21"/>
          <w:szCs w:val="21"/>
          <w:highlight w:val="none"/>
          <w:u w:val="single"/>
          <w:lang w:val="en-US" w:eastAsia="zh-CN"/>
        </w:rPr>
        <w:t xml:space="preserve"> </w:t>
      </w:r>
      <w:r>
        <w:rPr>
          <w:rFonts w:hint="eastAsia" w:ascii="宋体" w:hAnsi="宋体" w:eastAsia="宋体" w:cs="宋体"/>
          <w:b w:val="0"/>
          <w:color w:val="auto"/>
          <w:sz w:val="21"/>
          <w:szCs w:val="21"/>
          <w:highlight w:val="none"/>
        </w:rPr>
        <w:t>名（指服务于本子项目的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工作人员数量）。</w:t>
      </w:r>
    </w:p>
    <w:p w14:paraId="7A96303C">
      <w:pPr>
        <w:pStyle w:val="33"/>
        <w:keepNext w:val="0"/>
        <w:keepLines w:val="0"/>
        <w:pageBreakBefore w:val="0"/>
        <w:kinsoku/>
        <w:wordWrap/>
        <w:overflowPunct/>
        <w:topLinePunct w:val="0"/>
        <w:bidi w:val="0"/>
        <w:snapToGrid/>
        <w:spacing w:before="0" w:beforeAutospacing="0" w:after="0" w:afterAutospacing="0" w:line="360" w:lineRule="auto"/>
        <w:ind w:firstLine="420" w:firstLineChars="200"/>
        <w:jc w:val="both"/>
        <w:textAlignment w:val="auto"/>
        <w:rPr>
          <w:rFonts w:hint="eastAsia" w:eastAsia="宋体" w:cs="宋体"/>
          <w:sz w:val="21"/>
          <w:szCs w:val="21"/>
          <w:highlight w:val="none"/>
        </w:rPr>
      </w:pP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28</w:t>
      </w:r>
      <w:r>
        <w:rPr>
          <w:rFonts w:hint="eastAsia" w:ascii="宋体" w:hAnsi="宋体" w:eastAsia="宋体" w:cs="宋体"/>
          <w:b w:val="0"/>
          <w:color w:val="auto"/>
          <w:sz w:val="21"/>
          <w:szCs w:val="21"/>
          <w:highlight w:val="none"/>
        </w:rPr>
        <w:t>）</w:t>
      </w:r>
      <w:r>
        <w:rPr>
          <w:rFonts w:hint="eastAsia" w:ascii="宋体" w:hAnsi="宋体" w:eastAsia="宋体" w:cs="宋体"/>
          <w:b w:val="0"/>
          <w:color w:val="auto"/>
          <w:sz w:val="21"/>
          <w:szCs w:val="21"/>
          <w:highlight w:val="none"/>
          <w:lang w:val="en-US" w:eastAsia="zh-CN"/>
        </w:rPr>
        <w:t>虎门分公司芦花坑水厂</w:t>
      </w:r>
      <w:r>
        <w:rPr>
          <w:rFonts w:hint="eastAsia" w:ascii="宋体" w:hAnsi="宋体" w:eastAsia="宋体" w:cs="宋体"/>
          <w:b w:val="0"/>
          <w:color w:val="auto"/>
          <w:sz w:val="21"/>
          <w:szCs w:val="21"/>
          <w:highlight w:val="none"/>
        </w:rPr>
        <w:t>配置清洁保洁</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u w:val="single"/>
          <w:lang w:val="en-US" w:eastAsia="zh-CN"/>
        </w:rPr>
        <w:t>2</w:t>
      </w:r>
      <w:r>
        <w:rPr>
          <w:rFonts w:hint="eastAsia" w:ascii="宋体" w:hAnsi="宋体" w:eastAsia="宋体" w:cs="宋体"/>
          <w:b w:val="0"/>
          <w:color w:val="auto"/>
          <w:sz w:val="21"/>
          <w:szCs w:val="21"/>
          <w:highlight w:val="none"/>
          <w:u w:val="single"/>
        </w:rPr>
        <w:t xml:space="preserve"> </w:t>
      </w:r>
      <w:r>
        <w:rPr>
          <w:rFonts w:hint="eastAsia" w:ascii="宋体" w:hAnsi="宋体" w:eastAsia="宋体" w:cs="宋体"/>
          <w:b w:val="0"/>
          <w:color w:val="auto"/>
          <w:sz w:val="21"/>
          <w:szCs w:val="21"/>
          <w:highlight w:val="none"/>
        </w:rPr>
        <w:t>名（指服务于本子项目的</w:t>
      </w:r>
      <w:r>
        <w:rPr>
          <w:rFonts w:hint="eastAsia" w:ascii="宋体" w:hAnsi="宋体" w:eastAsia="宋体" w:cs="宋体"/>
          <w:b w:val="0"/>
          <w:color w:val="auto"/>
          <w:sz w:val="21"/>
          <w:szCs w:val="21"/>
          <w:highlight w:val="none"/>
          <w:lang w:eastAsia="zh-CN"/>
        </w:rPr>
        <w:t>服务单位</w:t>
      </w:r>
      <w:r>
        <w:rPr>
          <w:rFonts w:hint="eastAsia" w:ascii="宋体" w:hAnsi="宋体" w:eastAsia="宋体" w:cs="宋体"/>
          <w:b w:val="0"/>
          <w:color w:val="auto"/>
          <w:sz w:val="21"/>
          <w:szCs w:val="21"/>
          <w:highlight w:val="none"/>
        </w:rPr>
        <w:t>工作人员数量）。</w:t>
      </w:r>
    </w:p>
    <w:p w14:paraId="705F13D2">
      <w:pPr>
        <w:pStyle w:val="33"/>
        <w:keepNext w:val="0"/>
        <w:keepLines w:val="0"/>
        <w:pageBreakBefore w:val="0"/>
        <w:kinsoku/>
        <w:wordWrap/>
        <w:overflowPunct/>
        <w:topLinePunct w:val="0"/>
        <w:bidi w:val="0"/>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2.本</w:t>
      </w:r>
      <w:r>
        <w:rPr>
          <w:rFonts w:hint="eastAsia" w:eastAsia="宋体" w:cs="宋体"/>
          <w:sz w:val="21"/>
          <w:szCs w:val="21"/>
          <w:highlight w:val="none"/>
          <w:lang w:val="en-US" w:eastAsia="zh-CN"/>
        </w:rPr>
        <w:t>合同</w:t>
      </w:r>
      <w:r>
        <w:rPr>
          <w:rFonts w:hint="eastAsia" w:eastAsia="宋体" w:cs="宋体"/>
          <w:sz w:val="21"/>
          <w:szCs w:val="21"/>
          <w:highlight w:val="none"/>
        </w:rPr>
        <w:t>实行项目经理制度，项目经理要求园林专业本科或以上、具有园林专业中级或以上职称。项目经理全面负责对应的</w:t>
      </w:r>
      <w:r>
        <w:rPr>
          <w:rFonts w:hint="eastAsia" w:eastAsia="宋体" w:cs="宋体"/>
          <w:sz w:val="21"/>
          <w:szCs w:val="21"/>
          <w:highlight w:val="none"/>
          <w:lang w:val="en-US" w:eastAsia="zh-CN"/>
        </w:rPr>
        <w:t>合同</w:t>
      </w:r>
      <w:r>
        <w:rPr>
          <w:rFonts w:hint="eastAsia" w:eastAsia="宋体" w:cs="宋体"/>
          <w:sz w:val="21"/>
          <w:szCs w:val="21"/>
          <w:highlight w:val="none"/>
        </w:rPr>
        <w:t>承包区域。乙方在合同签订之日起10日内，将本项目的项目经理和技术负责人的相关</w:t>
      </w:r>
      <w:r>
        <w:rPr>
          <w:rFonts w:hint="eastAsia" w:eastAsia="宋体" w:cs="宋体"/>
          <w:sz w:val="21"/>
          <w:szCs w:val="21"/>
          <w:highlight w:val="none"/>
          <w:lang w:val="en-US" w:eastAsia="zh-CN"/>
        </w:rPr>
        <w:t>职称证书、</w:t>
      </w:r>
      <w:r>
        <w:rPr>
          <w:rFonts w:hint="eastAsia" w:eastAsia="宋体" w:cs="宋体"/>
          <w:sz w:val="21"/>
          <w:szCs w:val="21"/>
          <w:highlight w:val="none"/>
        </w:rPr>
        <w:t>资格证书原件提交甲方核查，复印件提交甲方备案，服务期间，</w:t>
      </w:r>
      <w:r>
        <w:rPr>
          <w:rFonts w:hint="eastAsia" w:eastAsia="宋体" w:cs="宋体"/>
          <w:sz w:val="21"/>
          <w:szCs w:val="21"/>
          <w:highlight w:val="none"/>
          <w:lang w:val="en-US" w:eastAsia="zh-CN"/>
        </w:rPr>
        <w:t>上述</w:t>
      </w:r>
      <w:r>
        <w:rPr>
          <w:rFonts w:hint="eastAsia" w:eastAsia="宋体" w:cs="宋体"/>
          <w:sz w:val="21"/>
          <w:szCs w:val="21"/>
          <w:highlight w:val="none"/>
        </w:rPr>
        <w:t>项目经理和技术负责人不得随意更换，如确需更换，须经甲方书面同意。</w:t>
      </w:r>
    </w:p>
    <w:p w14:paraId="40A3653E">
      <w:pPr>
        <w:pStyle w:val="33"/>
        <w:keepNext w:val="0"/>
        <w:keepLines w:val="0"/>
        <w:pageBreakBefore w:val="0"/>
        <w:kinsoku/>
        <w:wordWrap/>
        <w:overflowPunct/>
        <w:topLinePunct w:val="0"/>
        <w:bidi w:val="0"/>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lang w:val="en-US" w:eastAsia="zh-CN"/>
        </w:rPr>
        <w:t>3</w:t>
      </w:r>
      <w:r>
        <w:rPr>
          <w:rFonts w:hint="eastAsia" w:eastAsia="宋体" w:cs="宋体"/>
          <w:sz w:val="21"/>
          <w:szCs w:val="21"/>
          <w:highlight w:val="none"/>
        </w:rPr>
        <w:t>.考虑到安全因素，要求与池水接触的清洁人员必须会游泳，在开展具有危险性的服务项目</w:t>
      </w:r>
      <w:r>
        <w:rPr>
          <w:rFonts w:hint="eastAsia" w:eastAsia="宋体" w:cs="宋体"/>
          <w:sz w:val="21"/>
          <w:szCs w:val="21"/>
          <w:highlight w:val="none"/>
          <w:lang w:eastAsia="zh-CN"/>
        </w:rPr>
        <w:t>【</w:t>
      </w:r>
      <w:r>
        <w:rPr>
          <w:rFonts w:hint="eastAsia" w:eastAsia="宋体" w:cs="宋体"/>
          <w:sz w:val="21"/>
          <w:szCs w:val="21"/>
          <w:highlight w:val="none"/>
        </w:rPr>
        <w:t>危险作业范围：①水面垃圾的打捞（含取水口、絮凝池、沉淀池、滤池等构筑物）。②吸水井、消毒接触池、清水池等构筑物池内清洗。③清理杂草丛。</w:t>
      </w:r>
      <w:r>
        <w:rPr>
          <w:rFonts w:hint="eastAsia" w:eastAsia="宋体" w:cs="宋体"/>
          <w:sz w:val="21"/>
          <w:szCs w:val="21"/>
          <w:highlight w:val="none"/>
          <w:lang w:eastAsia="zh-CN"/>
        </w:rPr>
        <w:t>】</w:t>
      </w:r>
      <w:r>
        <w:rPr>
          <w:rFonts w:hint="eastAsia" w:eastAsia="宋体" w:cs="宋体"/>
          <w:sz w:val="21"/>
          <w:szCs w:val="21"/>
          <w:highlight w:val="none"/>
        </w:rPr>
        <w:t>要求</w:t>
      </w:r>
      <w:r>
        <w:rPr>
          <w:rFonts w:hint="eastAsia" w:eastAsia="宋体" w:cs="宋体"/>
          <w:sz w:val="21"/>
          <w:szCs w:val="21"/>
          <w:highlight w:val="none"/>
          <w:lang w:val="en-US" w:eastAsia="zh-CN"/>
        </w:rPr>
        <w:t>乙方</w:t>
      </w:r>
      <w:r>
        <w:rPr>
          <w:rFonts w:hint="eastAsia" w:eastAsia="宋体" w:cs="宋体"/>
          <w:sz w:val="21"/>
          <w:szCs w:val="21"/>
          <w:highlight w:val="none"/>
        </w:rPr>
        <w:t>必须落实检查作业工具是否完好有效、做好各项安全防护措施</w:t>
      </w:r>
      <w:r>
        <w:rPr>
          <w:rFonts w:hint="eastAsia" w:eastAsia="宋体" w:cs="宋体"/>
          <w:sz w:val="21"/>
          <w:szCs w:val="21"/>
          <w:highlight w:val="none"/>
          <w:lang w:eastAsia="zh-CN"/>
        </w:rPr>
        <w:t>【</w:t>
      </w:r>
      <w:r>
        <w:rPr>
          <w:rFonts w:hint="eastAsia" w:eastAsia="宋体" w:cs="宋体"/>
          <w:sz w:val="21"/>
          <w:szCs w:val="21"/>
          <w:highlight w:val="none"/>
        </w:rPr>
        <w:t>穿戴救生衣、安全带（绳）、水鞋、手套、不得穿拖鞋或凉鞋等，安全防护物资由乙方自行准备</w:t>
      </w:r>
      <w:r>
        <w:rPr>
          <w:rFonts w:hint="eastAsia" w:eastAsia="宋体" w:cs="宋体"/>
          <w:sz w:val="21"/>
          <w:szCs w:val="21"/>
          <w:highlight w:val="none"/>
          <w:lang w:eastAsia="zh-CN"/>
        </w:rPr>
        <w:t>】</w:t>
      </w:r>
      <w:r>
        <w:rPr>
          <w:rFonts w:hint="eastAsia" w:eastAsia="宋体" w:cs="宋体"/>
          <w:sz w:val="21"/>
          <w:szCs w:val="21"/>
          <w:highlight w:val="none"/>
        </w:rPr>
        <w:t>，严格落实2人或2人以上为一组进行协同作业，不能单独作业，并填报《危险作业交底表》等工作。服务期间由于作业人员未做好安全防护措施（例如不佩戴安全带或不穿救生衣等）而造成意外事故，全部责任由乙方承担。甲方有权要求乙方对不称职人员进行更换，更换完成时间不超过</w:t>
      </w:r>
      <w:r>
        <w:rPr>
          <w:rFonts w:hint="eastAsia" w:eastAsia="宋体" w:cs="宋体"/>
          <w:sz w:val="21"/>
          <w:szCs w:val="21"/>
          <w:highlight w:val="none"/>
          <w:lang w:val="en-US" w:eastAsia="zh-CN"/>
        </w:rPr>
        <w:t>5</w:t>
      </w:r>
      <w:r>
        <w:rPr>
          <w:rFonts w:hint="eastAsia" w:eastAsia="宋体" w:cs="宋体"/>
          <w:sz w:val="21"/>
          <w:szCs w:val="21"/>
          <w:highlight w:val="none"/>
        </w:rPr>
        <w:t>个工作日，如有人员离职，乙方必须于5</w:t>
      </w:r>
      <w:r>
        <w:rPr>
          <w:rFonts w:hint="eastAsia" w:eastAsia="宋体" w:cs="宋体"/>
          <w:sz w:val="21"/>
          <w:szCs w:val="21"/>
          <w:highlight w:val="none"/>
          <w:lang w:eastAsia="zh-CN"/>
        </w:rPr>
        <w:t>个</w:t>
      </w:r>
      <w:r>
        <w:rPr>
          <w:rFonts w:hint="eastAsia" w:eastAsia="宋体" w:cs="宋体"/>
          <w:sz w:val="21"/>
          <w:szCs w:val="21"/>
          <w:highlight w:val="none"/>
          <w:lang w:val="en-US" w:eastAsia="zh-CN"/>
        </w:rPr>
        <w:t>工作</w:t>
      </w:r>
      <w:r>
        <w:rPr>
          <w:rFonts w:hint="eastAsia" w:eastAsia="宋体" w:cs="宋体"/>
          <w:sz w:val="21"/>
          <w:szCs w:val="21"/>
          <w:highlight w:val="none"/>
        </w:rPr>
        <w:t>日内将新员工补充到岗。</w:t>
      </w:r>
    </w:p>
    <w:p w14:paraId="74954364">
      <w:pPr>
        <w:pStyle w:val="33"/>
        <w:keepNext w:val="0"/>
        <w:keepLines w:val="0"/>
        <w:pageBreakBefore w:val="0"/>
        <w:kinsoku/>
        <w:wordWrap/>
        <w:overflowPunct/>
        <w:topLinePunct w:val="0"/>
        <w:bidi w:val="0"/>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lang w:val="en-US" w:eastAsia="zh-CN"/>
        </w:rPr>
        <w:t>4</w:t>
      </w:r>
      <w:r>
        <w:rPr>
          <w:rFonts w:hint="eastAsia" w:eastAsia="宋体" w:cs="宋体"/>
          <w:sz w:val="21"/>
          <w:szCs w:val="21"/>
          <w:highlight w:val="none"/>
        </w:rPr>
        <w:t>.保洁绿化维护用品存放要求，厂区提供场地（场地具体位置由厂区根据实际情况提供）由乙方进行围闭，围闭空间内只存放日常保洁、绿化维护工具器械（包括但不限于：工作服、化肥、清扫工具、刷池工具、打捞工具、绿化维护使用的打草机、修边机、高压清洗机等），乙方自行提供防爆柜存放易燃易爆、剧毒类物品（包括但不限于：汽油、柴油、农药、老鼠药等），若乙方存放工具器械、危险化学品或易爆易燃物品等，并因此在甲方或其权属分公司的区域内发生包括但不限于安全事故、治安事件等任何事故，造成人员、第三人人身或财产损失的，由乙方承担事故的全部责任和善后事宜。</w:t>
      </w:r>
    </w:p>
    <w:p w14:paraId="2EAD3446">
      <w:pPr>
        <w:pStyle w:val="33"/>
        <w:keepNext w:val="0"/>
        <w:keepLines w:val="0"/>
        <w:pageBreakBefore w:val="0"/>
        <w:kinsoku/>
        <w:wordWrap/>
        <w:overflowPunct/>
        <w:topLinePunct w:val="0"/>
        <w:bidi w:val="0"/>
        <w:snapToGrid/>
        <w:spacing w:before="0" w:beforeAutospacing="0" w:after="0" w:afterAutospacing="0" w:line="360" w:lineRule="auto"/>
        <w:ind w:firstLine="422" w:firstLineChars="200"/>
        <w:textAlignment w:val="auto"/>
        <w:rPr>
          <w:rFonts w:eastAsia="宋体" w:cs="宋体"/>
          <w:b/>
          <w:sz w:val="21"/>
          <w:szCs w:val="21"/>
          <w:highlight w:val="none"/>
        </w:rPr>
      </w:pPr>
    </w:p>
    <w:p w14:paraId="0C4DEC6E">
      <w:pPr>
        <w:pStyle w:val="33"/>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422" w:firstLineChars="200"/>
        <w:textAlignment w:val="auto"/>
        <w:outlineLvl w:val="1"/>
        <w:rPr>
          <w:rFonts w:eastAsia="宋体" w:cs="宋体"/>
          <w:b/>
          <w:sz w:val="21"/>
          <w:szCs w:val="21"/>
          <w:highlight w:val="none"/>
        </w:rPr>
      </w:pPr>
      <w:r>
        <w:rPr>
          <w:rFonts w:hint="eastAsia" w:eastAsia="宋体" w:cs="宋体"/>
          <w:b/>
          <w:sz w:val="21"/>
          <w:szCs w:val="21"/>
          <w:highlight w:val="none"/>
        </w:rPr>
        <w:t>六、其他要求</w:t>
      </w:r>
    </w:p>
    <w:p w14:paraId="177D7E0B">
      <w:pPr>
        <w:pStyle w:val="33"/>
        <w:keepNext w:val="0"/>
        <w:keepLines w:val="0"/>
        <w:pageBreakBefore w:val="0"/>
        <w:widowControl/>
        <w:kinsoku/>
        <w:wordWrap/>
        <w:overflowPunct/>
        <w:topLinePunct w:val="0"/>
        <w:autoSpaceDE w:val="0"/>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1.乙方必须保证投入本项目的机械设备数量能满足甲方服务要求（含</w:t>
      </w:r>
      <w:r>
        <w:rPr>
          <w:rFonts w:hint="eastAsia" w:eastAsia="宋体" w:cs="宋体"/>
          <w:sz w:val="21"/>
          <w:szCs w:val="21"/>
          <w:highlight w:val="none"/>
          <w:lang w:eastAsia="zh-CN"/>
        </w:rPr>
        <w:t>花、草、树木修剪设备</w:t>
      </w:r>
      <w:r>
        <w:rPr>
          <w:rFonts w:hint="eastAsia" w:eastAsia="宋体" w:cs="宋体"/>
          <w:sz w:val="21"/>
          <w:szCs w:val="21"/>
          <w:highlight w:val="none"/>
        </w:rPr>
        <w:t>（如剪草机、</w:t>
      </w:r>
      <w:r>
        <w:rPr>
          <w:rFonts w:hint="eastAsia" w:eastAsia="宋体" w:cs="宋体"/>
          <w:sz w:val="21"/>
          <w:szCs w:val="21"/>
          <w:highlight w:val="none"/>
          <w:lang w:val="en-US" w:eastAsia="zh-CN"/>
        </w:rPr>
        <w:t>高空作业车、</w:t>
      </w:r>
      <w:r>
        <w:rPr>
          <w:rFonts w:hint="eastAsia" w:eastAsia="宋体" w:cs="宋体"/>
          <w:sz w:val="21"/>
          <w:szCs w:val="21"/>
          <w:highlight w:val="none"/>
        </w:rPr>
        <w:t>剪灌机等）、洗地设备（如高压清洗机、清洗车等）、密封式垃圾清运车等），甲方有权要求乙方根据</w:t>
      </w:r>
      <w:r>
        <w:rPr>
          <w:rFonts w:hint="eastAsia" w:eastAsia="宋体" w:cs="宋体"/>
          <w:sz w:val="21"/>
          <w:szCs w:val="21"/>
          <w:highlight w:val="none"/>
          <w:lang w:val="en-US" w:eastAsia="zh-CN"/>
        </w:rPr>
        <w:t>合同</w:t>
      </w:r>
      <w:r>
        <w:rPr>
          <w:rFonts w:hint="eastAsia" w:eastAsia="宋体" w:cs="宋体"/>
          <w:sz w:val="21"/>
          <w:szCs w:val="21"/>
          <w:highlight w:val="none"/>
        </w:rPr>
        <w:t>要求增加机械设备数量。</w:t>
      </w:r>
    </w:p>
    <w:p w14:paraId="29790D93">
      <w:pPr>
        <w:pStyle w:val="33"/>
        <w:keepNext w:val="0"/>
        <w:keepLines w:val="0"/>
        <w:pageBreakBefore w:val="0"/>
        <w:widowControl/>
        <w:kinsoku/>
        <w:wordWrap/>
        <w:overflowPunct/>
        <w:topLinePunct w:val="0"/>
        <w:autoSpaceDE w:val="0"/>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2.乙方在合同签署之日起</w:t>
      </w:r>
      <w:r>
        <w:rPr>
          <w:rFonts w:hint="eastAsia" w:eastAsia="宋体" w:cs="宋体"/>
          <w:sz w:val="21"/>
          <w:szCs w:val="21"/>
          <w:highlight w:val="none"/>
          <w:lang w:val="en-US" w:eastAsia="zh-CN"/>
        </w:rPr>
        <w:t>1</w:t>
      </w:r>
      <w:r>
        <w:rPr>
          <w:rFonts w:hint="eastAsia" w:eastAsia="宋体" w:cs="宋体"/>
          <w:sz w:val="21"/>
          <w:szCs w:val="21"/>
          <w:highlight w:val="none"/>
        </w:rPr>
        <w:t>5日内向甲方提供</w:t>
      </w:r>
      <w:r>
        <w:rPr>
          <w:rFonts w:hint="eastAsia" w:eastAsia="宋体" w:cs="宋体"/>
          <w:sz w:val="21"/>
          <w:szCs w:val="21"/>
          <w:highlight w:val="none"/>
          <w:lang w:val="en-US" w:eastAsia="zh-CN"/>
        </w:rPr>
        <w:t>各服务点的</w:t>
      </w:r>
      <w:r>
        <w:rPr>
          <w:rFonts w:hint="eastAsia" w:eastAsia="宋体" w:cs="宋体"/>
          <w:sz w:val="21"/>
          <w:szCs w:val="21"/>
          <w:highlight w:val="none"/>
        </w:rPr>
        <w:t>服务方案（内容包括实施计划、设备、</w:t>
      </w:r>
      <w:r>
        <w:rPr>
          <w:rFonts w:hint="eastAsia" w:eastAsia="宋体" w:cs="宋体"/>
          <w:sz w:val="21"/>
          <w:szCs w:val="21"/>
          <w:highlight w:val="none"/>
          <w:lang w:val="en-US" w:eastAsia="zh-CN"/>
        </w:rPr>
        <w:t>拟投入本项目的全部</w:t>
      </w:r>
      <w:r>
        <w:rPr>
          <w:rFonts w:hint="eastAsia" w:eastAsia="宋体" w:cs="宋体"/>
          <w:sz w:val="21"/>
          <w:szCs w:val="21"/>
          <w:highlight w:val="none"/>
        </w:rPr>
        <w:t>人员</w:t>
      </w:r>
      <w:r>
        <w:rPr>
          <w:rFonts w:hint="eastAsia" w:eastAsia="宋体" w:cs="宋体"/>
          <w:sz w:val="21"/>
          <w:szCs w:val="21"/>
          <w:highlight w:val="none"/>
          <w:lang w:val="en-US" w:eastAsia="zh-CN"/>
        </w:rPr>
        <w:t>清单</w:t>
      </w:r>
      <w:r>
        <w:rPr>
          <w:rFonts w:hint="eastAsia" w:eastAsia="宋体" w:cs="宋体"/>
          <w:sz w:val="21"/>
          <w:szCs w:val="21"/>
          <w:highlight w:val="none"/>
        </w:rPr>
        <w:t>、安全等，如服务方案标准低于合同约定要求的，以合同为准；高于合同约定的，按高标准执行），</w:t>
      </w:r>
      <w:r>
        <w:rPr>
          <w:rFonts w:hint="eastAsia" w:eastAsia="宋体" w:cs="宋体"/>
          <w:sz w:val="21"/>
          <w:szCs w:val="21"/>
          <w:highlight w:val="none"/>
          <w:lang w:val="en-US" w:eastAsia="zh-CN"/>
        </w:rPr>
        <w:t>方案经甲方同意后实施</w:t>
      </w:r>
      <w:r>
        <w:rPr>
          <w:rFonts w:hint="eastAsia" w:eastAsia="宋体" w:cs="宋体"/>
          <w:sz w:val="21"/>
          <w:szCs w:val="21"/>
          <w:highlight w:val="none"/>
        </w:rPr>
        <w:t>。在服务期间如服务方案需进行调整的，按甲方要求，调整服务方案（包括实施计划、设备、人员</w:t>
      </w:r>
      <w:r>
        <w:rPr>
          <w:rFonts w:hint="eastAsia" w:eastAsia="宋体" w:cs="宋体"/>
          <w:sz w:val="21"/>
          <w:szCs w:val="21"/>
          <w:highlight w:val="none"/>
          <w:lang w:val="en-US" w:eastAsia="zh-CN"/>
        </w:rPr>
        <w:t>数量</w:t>
      </w:r>
      <w:r>
        <w:rPr>
          <w:rFonts w:hint="eastAsia" w:eastAsia="宋体" w:cs="宋体"/>
          <w:sz w:val="21"/>
          <w:szCs w:val="21"/>
          <w:highlight w:val="none"/>
        </w:rPr>
        <w:t>、安全等）。</w:t>
      </w:r>
    </w:p>
    <w:p w14:paraId="56BBD8E1">
      <w:pPr>
        <w:pStyle w:val="33"/>
        <w:keepNext w:val="0"/>
        <w:keepLines w:val="0"/>
        <w:pageBreakBefore w:val="0"/>
        <w:widowControl/>
        <w:kinsoku/>
        <w:wordWrap/>
        <w:overflowPunct/>
        <w:topLinePunct w:val="0"/>
        <w:autoSpaceDE w:val="0"/>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3.生产、生活、绿化养护和清洁保洁产生的垃圾应每天清扫干净，并及时清除，外运处理费用全部由乙方负责。</w:t>
      </w:r>
    </w:p>
    <w:p w14:paraId="57622DD3">
      <w:pPr>
        <w:pStyle w:val="33"/>
        <w:keepNext w:val="0"/>
        <w:keepLines w:val="0"/>
        <w:pageBreakBefore w:val="0"/>
        <w:widowControl/>
        <w:kinsoku/>
        <w:wordWrap/>
        <w:overflowPunct/>
        <w:topLinePunct w:val="0"/>
        <w:autoSpaceDE w:val="0"/>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4.乙方派驻的工作人员必须证件齐全。乙方必须加强对相关人员的法制、安全、岗位作业和礼仪等知识的系统培训，合格后方能上岗。乙方须为每位员工购买保险（包括社会保险、人身意外保险等）。</w:t>
      </w:r>
    </w:p>
    <w:p w14:paraId="1532E6CD">
      <w:pPr>
        <w:pStyle w:val="33"/>
        <w:keepNext w:val="0"/>
        <w:keepLines w:val="0"/>
        <w:pageBreakBefore w:val="0"/>
        <w:widowControl/>
        <w:kinsoku/>
        <w:wordWrap/>
        <w:overflowPunct/>
        <w:topLinePunct w:val="0"/>
        <w:autoSpaceDE w:val="0"/>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5.乙方派驻的工作人员的食宿、交通等费用均由乙方负责。</w:t>
      </w:r>
    </w:p>
    <w:p w14:paraId="7947ED63">
      <w:pPr>
        <w:pStyle w:val="33"/>
        <w:keepNext w:val="0"/>
        <w:keepLines w:val="0"/>
        <w:pageBreakBefore w:val="0"/>
        <w:widowControl/>
        <w:kinsoku/>
        <w:wordWrap/>
        <w:overflowPunct/>
        <w:topLinePunct w:val="0"/>
        <w:autoSpaceDE w:val="0"/>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6.以各服务点为单位，各分公司实行考核评分制度，服务费用按月支付。乙方完成上月的服务后，次月</w:t>
      </w:r>
      <w:r>
        <w:rPr>
          <w:rFonts w:hint="eastAsia" w:eastAsia="宋体" w:cs="宋体"/>
          <w:sz w:val="21"/>
          <w:szCs w:val="21"/>
          <w:highlight w:val="none"/>
          <w:lang w:val="en-US" w:eastAsia="zh-CN"/>
        </w:rPr>
        <w:t>10</w:t>
      </w:r>
      <w:r>
        <w:rPr>
          <w:rFonts w:hint="eastAsia" w:eastAsia="宋体" w:cs="宋体"/>
          <w:sz w:val="21"/>
          <w:szCs w:val="21"/>
          <w:highlight w:val="none"/>
        </w:rPr>
        <w:t>个工作日内甲方</w:t>
      </w:r>
      <w:r>
        <w:rPr>
          <w:rFonts w:hint="eastAsia" w:eastAsia="宋体" w:cs="宋体"/>
          <w:sz w:val="21"/>
          <w:szCs w:val="21"/>
          <w:highlight w:val="none"/>
          <w:lang w:eastAsia="zh-CN"/>
        </w:rPr>
        <w:t>及各分公司</w:t>
      </w:r>
      <w:r>
        <w:rPr>
          <w:rFonts w:hint="eastAsia" w:eastAsia="宋体" w:cs="宋体"/>
          <w:sz w:val="21"/>
          <w:szCs w:val="21"/>
          <w:highlight w:val="none"/>
        </w:rPr>
        <w:t>按对应服务点对乙方上月的服务进行考评。根据考核评分标准的规定计算实际服务费后方能支付。</w:t>
      </w:r>
    </w:p>
    <w:p w14:paraId="5B0627A0">
      <w:pPr>
        <w:pStyle w:val="33"/>
        <w:keepNext w:val="0"/>
        <w:keepLines w:val="0"/>
        <w:pageBreakBefore w:val="0"/>
        <w:widowControl/>
        <w:kinsoku/>
        <w:wordWrap/>
        <w:overflowPunct/>
        <w:topLinePunct w:val="0"/>
        <w:autoSpaceDN/>
        <w:bidi w:val="0"/>
        <w:adjustRightInd/>
        <w:snapToGrid/>
        <w:spacing w:before="0" w:beforeAutospacing="0" w:after="0" w:afterAutospacing="0" w:line="360" w:lineRule="auto"/>
        <w:ind w:firstLine="422" w:firstLineChars="200"/>
        <w:textAlignment w:val="auto"/>
        <w:rPr>
          <w:rFonts w:eastAsia="宋体" w:cs="宋体"/>
          <w:b/>
          <w:sz w:val="21"/>
          <w:szCs w:val="21"/>
          <w:highlight w:val="none"/>
        </w:rPr>
      </w:pPr>
      <w:r>
        <w:rPr>
          <w:rFonts w:hint="eastAsia" w:eastAsia="宋体" w:cs="宋体"/>
          <w:b/>
          <w:sz w:val="21"/>
          <w:szCs w:val="21"/>
          <w:highlight w:val="none"/>
        </w:rPr>
        <w:t xml:space="preserve"> </w:t>
      </w:r>
    </w:p>
    <w:p w14:paraId="29FCBE05">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2" w:firstLineChars="200"/>
        <w:textAlignment w:val="auto"/>
        <w:outlineLvl w:val="1"/>
        <w:rPr>
          <w:rFonts w:eastAsia="宋体" w:cs="宋体"/>
          <w:b/>
          <w:sz w:val="21"/>
          <w:szCs w:val="21"/>
          <w:highlight w:val="none"/>
        </w:rPr>
      </w:pPr>
      <w:r>
        <w:rPr>
          <w:rFonts w:hint="eastAsia" w:eastAsia="宋体" w:cs="宋体"/>
          <w:b/>
          <w:sz w:val="21"/>
          <w:szCs w:val="21"/>
          <w:highlight w:val="none"/>
        </w:rPr>
        <w:t>七、服务金额及付款方式</w:t>
      </w:r>
    </w:p>
    <w:p w14:paraId="744E5EEB">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default" w:eastAsia="宋体" w:cs="宋体"/>
          <w:sz w:val="21"/>
          <w:szCs w:val="21"/>
          <w:highlight w:val="none"/>
          <w:lang w:val="en-US" w:eastAsia="zh-CN"/>
        </w:rPr>
      </w:pPr>
      <w:r>
        <w:rPr>
          <w:rFonts w:hint="eastAsia" w:eastAsia="宋体" w:cs="宋体"/>
          <w:sz w:val="21"/>
          <w:szCs w:val="21"/>
          <w:highlight w:val="none"/>
          <w:lang w:val="en-US" w:eastAsia="zh-CN"/>
        </w:rPr>
        <w:t>1、本合同采用统一中标折扣系数（</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）进行计算各项服务的中标综合单价及服务期内合同暂定合同价，其中：</w:t>
      </w:r>
    </w:p>
    <w:p w14:paraId="215F2952">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default" w:eastAsia="宋体" w:cs="宋体"/>
          <w:sz w:val="21"/>
          <w:szCs w:val="21"/>
          <w:highlight w:val="none"/>
          <w:lang w:val="en-US" w:eastAsia="zh-CN"/>
        </w:rPr>
      </w:pPr>
      <w:r>
        <w:rPr>
          <w:rFonts w:hint="eastAsia" w:eastAsia="宋体" w:cs="宋体"/>
          <w:sz w:val="21"/>
          <w:szCs w:val="21"/>
          <w:highlight w:val="none"/>
          <w:lang w:eastAsia="zh-CN"/>
        </w:rPr>
        <w:t>（</w:t>
      </w:r>
      <w:r>
        <w:rPr>
          <w:rFonts w:hint="eastAsia" w:eastAsia="宋体" w:cs="宋体"/>
          <w:sz w:val="21"/>
          <w:szCs w:val="21"/>
          <w:highlight w:val="none"/>
          <w:lang w:val="en-US" w:eastAsia="zh-CN"/>
        </w:rPr>
        <w:t>1</w:t>
      </w:r>
      <w:r>
        <w:rPr>
          <w:rFonts w:hint="eastAsia" w:eastAsia="宋体" w:cs="宋体"/>
          <w:sz w:val="21"/>
          <w:szCs w:val="21"/>
          <w:highlight w:val="none"/>
          <w:lang w:eastAsia="zh-CN"/>
        </w:rPr>
        <w:t>）室内行政办公区</w:t>
      </w:r>
      <w:r>
        <w:rPr>
          <w:rFonts w:hint="eastAsia" w:eastAsia="宋体" w:cs="宋体"/>
          <w:sz w:val="21"/>
          <w:szCs w:val="21"/>
          <w:highlight w:val="none"/>
          <w:lang w:val="en-US" w:eastAsia="zh-CN"/>
        </w:rPr>
        <w:t>清洁不含税中标综合单价（元/㎡/月）=</w:t>
      </w:r>
      <w:r>
        <w:rPr>
          <w:rFonts w:hint="eastAsia" w:eastAsia="宋体" w:cs="宋体"/>
          <w:sz w:val="21"/>
          <w:szCs w:val="21"/>
          <w:highlight w:val="none"/>
          <w:lang w:eastAsia="zh-CN"/>
        </w:rPr>
        <w:t>室内行政办公区</w:t>
      </w:r>
      <w:r>
        <w:rPr>
          <w:rFonts w:hint="eastAsia" w:eastAsia="宋体" w:cs="宋体"/>
          <w:sz w:val="21"/>
          <w:szCs w:val="21"/>
          <w:highlight w:val="none"/>
          <w:lang w:val="en-US" w:eastAsia="zh-CN"/>
        </w:rPr>
        <w:t>清洁不含税预算综合单价（</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元/㎡/月）×中标折扣系数（</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w:t>
      </w:r>
    </w:p>
    <w:p w14:paraId="4EE0D636">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sz w:val="21"/>
          <w:szCs w:val="21"/>
          <w:highlight w:val="none"/>
        </w:rPr>
      </w:pPr>
      <w:r>
        <w:rPr>
          <w:rFonts w:hint="eastAsia" w:eastAsia="宋体" w:cs="宋体"/>
          <w:sz w:val="21"/>
          <w:szCs w:val="21"/>
          <w:highlight w:val="none"/>
          <w:lang w:eastAsia="zh-CN"/>
        </w:rPr>
        <w:t>（</w:t>
      </w:r>
      <w:r>
        <w:rPr>
          <w:rFonts w:hint="eastAsia" w:eastAsia="宋体" w:cs="宋体"/>
          <w:sz w:val="21"/>
          <w:szCs w:val="21"/>
          <w:highlight w:val="none"/>
          <w:lang w:val="en-US" w:eastAsia="zh-CN"/>
        </w:rPr>
        <w:t>2</w:t>
      </w:r>
      <w:r>
        <w:rPr>
          <w:rFonts w:hint="eastAsia" w:eastAsia="宋体" w:cs="宋体"/>
          <w:sz w:val="21"/>
          <w:szCs w:val="21"/>
          <w:highlight w:val="none"/>
          <w:lang w:eastAsia="zh-CN"/>
        </w:rPr>
        <w:t>）室外清洁</w:t>
      </w:r>
      <w:r>
        <w:rPr>
          <w:rFonts w:hint="eastAsia" w:eastAsia="宋体" w:cs="宋体"/>
          <w:sz w:val="21"/>
          <w:szCs w:val="21"/>
          <w:highlight w:val="none"/>
          <w:lang w:val="en-US" w:eastAsia="zh-CN"/>
        </w:rPr>
        <w:t>不含税中标综合单价（元/㎡/月）=</w:t>
      </w:r>
      <w:r>
        <w:rPr>
          <w:rFonts w:hint="eastAsia" w:eastAsia="宋体" w:cs="宋体"/>
          <w:sz w:val="21"/>
          <w:szCs w:val="21"/>
          <w:highlight w:val="none"/>
          <w:lang w:eastAsia="zh-CN"/>
        </w:rPr>
        <w:t>室外清洁</w:t>
      </w:r>
      <w:r>
        <w:rPr>
          <w:rFonts w:hint="eastAsia" w:eastAsia="宋体" w:cs="宋体"/>
          <w:sz w:val="21"/>
          <w:szCs w:val="21"/>
          <w:highlight w:val="none"/>
          <w:lang w:val="en-US" w:eastAsia="zh-CN"/>
        </w:rPr>
        <w:t>不含税预算综合单价（</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元/㎡/月）×中标折扣系数（</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w:t>
      </w:r>
    </w:p>
    <w:p w14:paraId="2FBF0BB6">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sz w:val="21"/>
          <w:szCs w:val="21"/>
          <w:highlight w:val="none"/>
          <w:lang w:eastAsia="zh-CN"/>
        </w:rPr>
      </w:pPr>
      <w:r>
        <w:rPr>
          <w:rFonts w:hint="eastAsia" w:eastAsia="宋体" w:cs="宋体"/>
          <w:sz w:val="21"/>
          <w:szCs w:val="21"/>
          <w:highlight w:val="none"/>
          <w:lang w:eastAsia="zh-CN"/>
        </w:rPr>
        <w:t>（</w:t>
      </w:r>
      <w:r>
        <w:rPr>
          <w:rFonts w:hint="eastAsia" w:eastAsia="宋体" w:cs="宋体"/>
          <w:sz w:val="21"/>
          <w:szCs w:val="21"/>
          <w:highlight w:val="none"/>
          <w:lang w:val="en-US" w:eastAsia="zh-CN"/>
        </w:rPr>
        <w:t>3</w:t>
      </w:r>
      <w:r>
        <w:rPr>
          <w:rFonts w:hint="eastAsia" w:eastAsia="宋体" w:cs="宋体"/>
          <w:sz w:val="21"/>
          <w:szCs w:val="21"/>
          <w:highlight w:val="none"/>
          <w:lang w:eastAsia="zh-CN"/>
        </w:rPr>
        <w:t>）生产车间清洁</w:t>
      </w:r>
      <w:r>
        <w:rPr>
          <w:rFonts w:hint="eastAsia" w:eastAsia="宋体" w:cs="宋体"/>
          <w:sz w:val="21"/>
          <w:szCs w:val="21"/>
          <w:highlight w:val="none"/>
          <w:lang w:val="en-US" w:eastAsia="zh-CN"/>
        </w:rPr>
        <w:t>不含税中标综合单价（元/㎡/月）=生产车间清洁不含税预算综合单价（</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元/㎡/月）×中标折扣系数（</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w:t>
      </w:r>
    </w:p>
    <w:p w14:paraId="5BB45F3D">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sz w:val="21"/>
          <w:szCs w:val="21"/>
          <w:highlight w:val="none"/>
        </w:rPr>
      </w:pPr>
      <w:r>
        <w:rPr>
          <w:rFonts w:hint="eastAsia" w:eastAsia="宋体" w:cs="宋体"/>
          <w:sz w:val="21"/>
          <w:szCs w:val="21"/>
          <w:highlight w:val="none"/>
          <w:lang w:eastAsia="zh-CN"/>
        </w:rPr>
        <w:t>（</w:t>
      </w:r>
      <w:r>
        <w:rPr>
          <w:rFonts w:hint="eastAsia" w:eastAsia="宋体" w:cs="宋体"/>
          <w:sz w:val="21"/>
          <w:szCs w:val="21"/>
          <w:highlight w:val="none"/>
          <w:lang w:val="en-US" w:eastAsia="zh-CN"/>
        </w:rPr>
        <w:t>4</w:t>
      </w:r>
      <w:r>
        <w:rPr>
          <w:rFonts w:hint="eastAsia" w:eastAsia="宋体" w:cs="宋体"/>
          <w:sz w:val="21"/>
          <w:szCs w:val="21"/>
          <w:highlight w:val="none"/>
          <w:lang w:eastAsia="zh-CN"/>
        </w:rPr>
        <w:t>）水面清洁</w:t>
      </w:r>
      <w:r>
        <w:rPr>
          <w:rFonts w:hint="eastAsia" w:eastAsia="宋体" w:cs="宋体"/>
          <w:sz w:val="21"/>
          <w:szCs w:val="21"/>
          <w:highlight w:val="none"/>
          <w:lang w:val="en-US" w:eastAsia="zh-CN"/>
        </w:rPr>
        <w:t>不含税中标综合单价（元/㎡/月）=水面清洁不含税预算综合单价（</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元/㎡/月）×中标折扣系数（</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w:t>
      </w:r>
    </w:p>
    <w:p w14:paraId="24C2C597">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sz w:val="21"/>
          <w:szCs w:val="21"/>
          <w:highlight w:val="none"/>
          <w:lang w:eastAsia="zh-CN"/>
        </w:rPr>
      </w:pPr>
      <w:r>
        <w:rPr>
          <w:rFonts w:hint="eastAsia" w:eastAsia="宋体" w:cs="宋体"/>
          <w:sz w:val="21"/>
          <w:szCs w:val="21"/>
          <w:highlight w:val="none"/>
          <w:lang w:eastAsia="zh-CN"/>
        </w:rPr>
        <w:t>（</w:t>
      </w:r>
      <w:r>
        <w:rPr>
          <w:rFonts w:hint="eastAsia" w:eastAsia="宋体" w:cs="宋体"/>
          <w:sz w:val="21"/>
          <w:szCs w:val="21"/>
          <w:highlight w:val="none"/>
          <w:lang w:val="en-US" w:eastAsia="zh-CN"/>
        </w:rPr>
        <w:t>5</w:t>
      </w:r>
      <w:r>
        <w:rPr>
          <w:rFonts w:hint="eastAsia" w:eastAsia="宋体" w:cs="宋体"/>
          <w:sz w:val="21"/>
          <w:szCs w:val="21"/>
          <w:highlight w:val="none"/>
          <w:lang w:eastAsia="zh-CN"/>
        </w:rPr>
        <w:t>）池壁清洁</w:t>
      </w:r>
      <w:r>
        <w:rPr>
          <w:rFonts w:hint="eastAsia" w:eastAsia="宋体" w:cs="宋体"/>
          <w:sz w:val="21"/>
          <w:szCs w:val="21"/>
          <w:highlight w:val="none"/>
          <w:lang w:val="en-US" w:eastAsia="zh-CN"/>
        </w:rPr>
        <w:t>不含税中标综合单价（元/㎡/月）=池壁清洁不含税预算综合单价（</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元/㎡/月）×中标折扣系数（</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w:t>
      </w:r>
    </w:p>
    <w:p w14:paraId="7B6E80FA">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sz w:val="21"/>
          <w:szCs w:val="21"/>
          <w:highlight w:val="none"/>
        </w:rPr>
      </w:pPr>
      <w:r>
        <w:rPr>
          <w:rFonts w:hint="eastAsia" w:eastAsia="宋体" w:cs="宋体"/>
          <w:sz w:val="21"/>
          <w:szCs w:val="21"/>
          <w:highlight w:val="none"/>
          <w:lang w:eastAsia="zh-CN"/>
        </w:rPr>
        <w:t>（</w:t>
      </w:r>
      <w:r>
        <w:rPr>
          <w:rFonts w:hint="eastAsia" w:eastAsia="宋体" w:cs="宋体"/>
          <w:sz w:val="21"/>
          <w:szCs w:val="21"/>
          <w:highlight w:val="none"/>
          <w:lang w:val="en-US" w:eastAsia="zh-CN"/>
        </w:rPr>
        <w:t>6</w:t>
      </w:r>
      <w:r>
        <w:rPr>
          <w:rFonts w:hint="eastAsia" w:eastAsia="宋体" w:cs="宋体"/>
          <w:sz w:val="21"/>
          <w:szCs w:val="21"/>
          <w:highlight w:val="none"/>
          <w:lang w:eastAsia="zh-CN"/>
        </w:rPr>
        <w:t>）绿化养护</w:t>
      </w:r>
      <w:r>
        <w:rPr>
          <w:rFonts w:hint="eastAsia" w:eastAsia="宋体" w:cs="宋体"/>
          <w:sz w:val="21"/>
          <w:szCs w:val="21"/>
          <w:highlight w:val="none"/>
          <w:lang w:val="en-US" w:eastAsia="zh-CN"/>
        </w:rPr>
        <w:t>不含税中标综合单价（元/㎡/月）=绿化养护不含税预算综合单价（</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元/㎡/月）×中标折扣系数（</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w:t>
      </w:r>
    </w:p>
    <w:p w14:paraId="2FF42556">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sz w:val="21"/>
          <w:szCs w:val="21"/>
          <w:highlight w:val="none"/>
        </w:rPr>
      </w:pPr>
      <w:r>
        <w:rPr>
          <w:rFonts w:hint="eastAsia" w:eastAsia="宋体" w:cs="宋体"/>
          <w:sz w:val="21"/>
          <w:szCs w:val="21"/>
          <w:highlight w:val="none"/>
          <w:lang w:eastAsia="zh-CN"/>
        </w:rPr>
        <w:t>（</w:t>
      </w:r>
      <w:r>
        <w:rPr>
          <w:rFonts w:hint="eastAsia" w:eastAsia="宋体" w:cs="宋体"/>
          <w:sz w:val="21"/>
          <w:szCs w:val="21"/>
          <w:highlight w:val="none"/>
          <w:lang w:val="en-US" w:eastAsia="zh-CN"/>
        </w:rPr>
        <w:t>7</w:t>
      </w:r>
      <w:r>
        <w:rPr>
          <w:rFonts w:hint="eastAsia" w:eastAsia="宋体" w:cs="宋体"/>
          <w:sz w:val="21"/>
          <w:szCs w:val="21"/>
          <w:highlight w:val="none"/>
          <w:lang w:eastAsia="zh-CN"/>
        </w:rPr>
        <w:t>）除“四害”及白蚁防治</w:t>
      </w:r>
      <w:r>
        <w:rPr>
          <w:rFonts w:hint="eastAsia" w:eastAsia="宋体" w:cs="宋体"/>
          <w:sz w:val="21"/>
          <w:szCs w:val="21"/>
          <w:highlight w:val="none"/>
          <w:lang w:val="en-US" w:eastAsia="zh-CN"/>
        </w:rPr>
        <w:t>不含税中标综合单价（元/㎡/月）=除“四害”及白蚁防治不含税预算综合单价（</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元/㎡/月）×中标折扣系数（</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w:t>
      </w:r>
      <w:r>
        <w:rPr>
          <w:rFonts w:hint="eastAsia" w:eastAsia="宋体" w:cs="宋体"/>
          <w:sz w:val="21"/>
          <w:szCs w:val="21"/>
          <w:highlight w:val="none"/>
          <w:u w:val="single"/>
          <w:lang w:val="en-US" w:eastAsia="zh-CN"/>
        </w:rPr>
        <w:t xml:space="preserve">      </w:t>
      </w:r>
      <w:r>
        <w:rPr>
          <w:rFonts w:hint="eastAsia" w:eastAsia="宋体" w:cs="宋体"/>
          <w:sz w:val="21"/>
          <w:szCs w:val="21"/>
          <w:highlight w:val="none"/>
          <w:lang w:val="en-US" w:eastAsia="zh-CN"/>
        </w:rPr>
        <w:t>元/㎡/月。</w:t>
      </w:r>
    </w:p>
    <w:p w14:paraId="0ADC4B4B">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sz w:val="21"/>
          <w:szCs w:val="21"/>
          <w:highlight w:val="none"/>
        </w:rPr>
      </w:pPr>
      <w:r>
        <w:rPr>
          <w:rFonts w:hint="eastAsia" w:eastAsia="宋体" w:cs="宋体"/>
          <w:sz w:val="21"/>
          <w:szCs w:val="21"/>
          <w:highlight w:val="none"/>
          <w:lang w:val="en-US" w:eastAsia="zh-CN"/>
        </w:rPr>
        <w:t>2</w:t>
      </w:r>
      <w:r>
        <w:rPr>
          <w:rFonts w:hint="eastAsia" w:eastAsia="宋体" w:cs="宋体"/>
          <w:sz w:val="21"/>
          <w:szCs w:val="21"/>
          <w:highlight w:val="none"/>
        </w:rPr>
        <w:t>、按</w:t>
      </w:r>
      <w:r>
        <w:rPr>
          <w:rFonts w:hint="eastAsia" w:eastAsia="宋体" w:cs="宋体"/>
          <w:sz w:val="21"/>
          <w:szCs w:val="21"/>
          <w:highlight w:val="none"/>
          <w:lang w:val="en-US" w:eastAsia="zh-CN"/>
        </w:rPr>
        <w:t>各项服务内容</w:t>
      </w:r>
      <w:r>
        <w:rPr>
          <w:rFonts w:hint="eastAsia" w:eastAsia="宋体" w:cs="宋体"/>
          <w:sz w:val="21"/>
          <w:szCs w:val="21"/>
          <w:highlight w:val="none"/>
        </w:rPr>
        <w:t>的不含税中标综合单价、暂定</w:t>
      </w:r>
      <w:r>
        <w:rPr>
          <w:rFonts w:hint="eastAsia" w:eastAsia="宋体" w:cs="宋体"/>
          <w:sz w:val="21"/>
          <w:szCs w:val="21"/>
          <w:highlight w:val="none"/>
          <w:lang w:val="en-US" w:eastAsia="zh-CN"/>
        </w:rPr>
        <w:t>服务面积</w:t>
      </w:r>
      <w:r>
        <w:rPr>
          <w:rFonts w:hint="eastAsia" w:eastAsia="宋体" w:cs="宋体"/>
          <w:sz w:val="21"/>
          <w:szCs w:val="21"/>
          <w:highlight w:val="none"/>
        </w:rPr>
        <w:t>、暂定采购月份对应的本项目服务期内</w:t>
      </w:r>
      <w:r>
        <w:rPr>
          <w:rFonts w:hint="eastAsia" w:eastAsia="宋体" w:cs="宋体"/>
          <w:sz w:val="21"/>
          <w:szCs w:val="21"/>
          <w:highlight w:val="none"/>
          <w:lang w:val="en-US" w:eastAsia="zh-CN"/>
        </w:rPr>
        <w:t>暂定合同价</w:t>
      </w:r>
      <w:r>
        <w:rPr>
          <w:rFonts w:hint="eastAsia" w:eastAsia="宋体" w:cs="宋体"/>
          <w:sz w:val="21"/>
          <w:szCs w:val="21"/>
          <w:highlight w:val="none"/>
        </w:rPr>
        <w:t>（即销售额，不含销项税额）</w:t>
      </w:r>
      <w:r>
        <w:rPr>
          <w:rFonts w:hint="eastAsia" w:eastAsia="宋体" w:cs="宋体"/>
          <w:bCs/>
          <w:sz w:val="21"/>
          <w:szCs w:val="21"/>
          <w:highlight w:val="none"/>
        </w:rPr>
        <w:t>为</w:t>
      </w:r>
      <w:r>
        <w:rPr>
          <w:rFonts w:hint="eastAsia" w:eastAsia="宋体" w:cs="宋体"/>
          <w:bCs/>
          <w:sz w:val="21"/>
          <w:szCs w:val="21"/>
          <w:highlight w:val="none"/>
          <w:u w:val="single"/>
        </w:rPr>
        <w:t xml:space="preserve">¥       </w:t>
      </w:r>
      <w:r>
        <w:rPr>
          <w:rFonts w:hint="eastAsia" w:eastAsia="宋体" w:cs="宋体"/>
          <w:bCs/>
          <w:sz w:val="21"/>
          <w:szCs w:val="21"/>
          <w:highlight w:val="none"/>
        </w:rPr>
        <w:t>元（大写人民币</w:t>
      </w:r>
      <w:r>
        <w:rPr>
          <w:rFonts w:hint="eastAsia" w:eastAsia="宋体" w:cs="宋体"/>
          <w:bCs/>
          <w:sz w:val="21"/>
          <w:szCs w:val="21"/>
          <w:highlight w:val="none"/>
          <w:u w:val="single"/>
        </w:rPr>
        <w:t xml:space="preserve">          </w:t>
      </w:r>
      <w:r>
        <w:rPr>
          <w:rFonts w:hint="eastAsia" w:eastAsia="宋体" w:cs="宋体"/>
          <w:bCs/>
          <w:sz w:val="21"/>
          <w:szCs w:val="21"/>
          <w:highlight w:val="none"/>
        </w:rPr>
        <w:t>），</w:t>
      </w:r>
      <w:r>
        <w:rPr>
          <w:rFonts w:hint="eastAsia" w:eastAsia="宋体" w:cs="宋体"/>
          <w:bCs/>
          <w:sz w:val="21"/>
          <w:szCs w:val="21"/>
          <w:highlight w:val="none"/>
          <w:lang w:val="en-US" w:eastAsia="zh-CN"/>
        </w:rPr>
        <w:t>服务费计价表</w:t>
      </w:r>
      <w:r>
        <w:rPr>
          <w:rFonts w:hint="eastAsia" w:eastAsia="宋体" w:cs="宋体"/>
          <w:bCs/>
          <w:sz w:val="21"/>
          <w:szCs w:val="21"/>
          <w:highlight w:val="none"/>
        </w:rPr>
        <w:t>见附件</w:t>
      </w:r>
      <w:r>
        <w:rPr>
          <w:rFonts w:hint="eastAsia" w:eastAsia="宋体" w:cs="宋体"/>
          <w:bCs/>
          <w:sz w:val="21"/>
          <w:szCs w:val="21"/>
          <w:highlight w:val="none"/>
          <w:lang w:val="en-US" w:eastAsia="zh-CN"/>
        </w:rPr>
        <w:t>八</w:t>
      </w:r>
      <w:r>
        <w:rPr>
          <w:rFonts w:hint="eastAsia" w:eastAsia="宋体" w:cs="宋体"/>
          <w:bCs/>
          <w:sz w:val="21"/>
          <w:szCs w:val="21"/>
          <w:highlight w:val="none"/>
        </w:rPr>
        <w:t>。</w:t>
      </w:r>
      <w:r>
        <w:rPr>
          <w:rFonts w:hint="eastAsia" w:eastAsia="宋体" w:cs="宋体"/>
          <w:sz w:val="21"/>
          <w:szCs w:val="21"/>
          <w:highlight w:val="none"/>
        </w:rPr>
        <w:t>服务费包含了服务期内乙方完成本合同项下清洁保洁、绿化养护、除“四害”及灭蚁防治服务全过程的人工、加班费、住宿、餐饮、人员社会保险、人身意外保险、第三方责任险，清洁保洁、绿化养护及除</w:t>
      </w:r>
      <w:r>
        <w:rPr>
          <w:rFonts w:hint="eastAsia" w:eastAsia="宋体" w:cs="宋体"/>
          <w:sz w:val="21"/>
          <w:szCs w:val="21"/>
          <w:highlight w:val="none"/>
          <w:lang w:eastAsia="zh-CN"/>
        </w:rPr>
        <w:t>“</w:t>
      </w:r>
      <w:r>
        <w:rPr>
          <w:rFonts w:hint="eastAsia" w:eastAsia="宋体" w:cs="宋体"/>
          <w:sz w:val="21"/>
          <w:szCs w:val="21"/>
          <w:highlight w:val="none"/>
        </w:rPr>
        <w:t>四害</w:t>
      </w:r>
      <w:r>
        <w:rPr>
          <w:rFonts w:hint="eastAsia" w:eastAsia="宋体" w:cs="宋体"/>
          <w:sz w:val="21"/>
          <w:szCs w:val="21"/>
          <w:highlight w:val="none"/>
          <w:lang w:eastAsia="zh-CN"/>
        </w:rPr>
        <w:t>”</w:t>
      </w:r>
      <w:r>
        <w:rPr>
          <w:rFonts w:hint="eastAsia" w:eastAsia="宋体" w:cs="宋体"/>
          <w:sz w:val="21"/>
          <w:szCs w:val="21"/>
          <w:highlight w:val="none"/>
        </w:rPr>
        <w:t>作业所需的物料、设备及车辆折旧、台班、安全防护措施费用，垃圾（含服务范围内的泥沙、清淤的淤泥）清运、垃圾处理费，绿化的病虫害防治、清理死苗、植物老化的复壮，服务过程中导致的人身、财产安全损失、赔偿、罚款</w:t>
      </w:r>
      <w:r>
        <w:rPr>
          <w:rFonts w:hint="eastAsia" w:eastAsia="宋体" w:cs="宋体"/>
          <w:sz w:val="21"/>
          <w:szCs w:val="21"/>
          <w:highlight w:val="none"/>
          <w:lang w:eastAsia="zh-CN"/>
        </w:rPr>
        <w:t>；包工、包料（清洁工具，清洁剂，肥料，农药等）、包机械设备（工具）、包管理期、包质量、包安全文明措施、包设施维护、包垃圾处理等服务过程中所需的全部费用；</w:t>
      </w:r>
      <w:r>
        <w:rPr>
          <w:rFonts w:hint="eastAsia" w:eastAsia="宋体" w:cs="宋体"/>
          <w:sz w:val="21"/>
          <w:szCs w:val="21"/>
          <w:highlight w:val="none"/>
        </w:rPr>
        <w:t>合理利润、乙方销项税额以外的税费</w:t>
      </w:r>
      <w:r>
        <w:rPr>
          <w:rFonts w:hint="eastAsia" w:eastAsia="宋体" w:cs="宋体"/>
          <w:sz w:val="21"/>
          <w:szCs w:val="21"/>
          <w:highlight w:val="none"/>
          <w:lang w:eastAsia="zh-CN"/>
        </w:rPr>
        <w:t>；法律法规、商业公认、招标文件规定由</w:t>
      </w:r>
      <w:r>
        <w:rPr>
          <w:rFonts w:hint="eastAsia" w:eastAsia="宋体" w:cs="宋体"/>
          <w:sz w:val="21"/>
          <w:szCs w:val="21"/>
          <w:highlight w:val="none"/>
          <w:lang w:val="en-US" w:eastAsia="zh-CN"/>
        </w:rPr>
        <w:t>乙方</w:t>
      </w:r>
      <w:r>
        <w:rPr>
          <w:rFonts w:hint="eastAsia" w:eastAsia="宋体" w:cs="宋体"/>
          <w:sz w:val="21"/>
          <w:szCs w:val="21"/>
          <w:highlight w:val="none"/>
          <w:lang w:eastAsia="zh-CN"/>
        </w:rPr>
        <w:t>承担的其他直接及间接费用</w:t>
      </w:r>
      <w:r>
        <w:rPr>
          <w:rFonts w:hint="eastAsia" w:eastAsia="宋体" w:cs="宋体"/>
          <w:sz w:val="21"/>
          <w:szCs w:val="21"/>
          <w:highlight w:val="none"/>
        </w:rPr>
        <w:t>。未经甲方书面同意，乙方不得要求甲方支付其他费用。</w:t>
      </w:r>
    </w:p>
    <w:p w14:paraId="3DF72CA1">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bCs/>
          <w:sz w:val="21"/>
          <w:szCs w:val="21"/>
          <w:highlight w:val="none"/>
        </w:rPr>
      </w:pPr>
      <w:r>
        <w:rPr>
          <w:rFonts w:hint="eastAsia" w:eastAsia="宋体" w:cs="宋体"/>
          <w:bCs/>
          <w:sz w:val="21"/>
          <w:szCs w:val="21"/>
          <w:highlight w:val="none"/>
        </w:rPr>
        <w:t>合同履约过程中，各服务点每月结算费用=∑各项服务不含税预算综合单价×</w:t>
      </w:r>
      <w:r>
        <w:rPr>
          <w:rFonts w:hint="eastAsia" w:eastAsia="宋体" w:cs="宋体"/>
          <w:bCs/>
          <w:sz w:val="21"/>
          <w:szCs w:val="21"/>
          <w:highlight w:val="none"/>
          <w:lang w:val="en-US" w:eastAsia="zh-CN"/>
        </w:rPr>
        <w:t>当月</w:t>
      </w:r>
      <w:r>
        <w:rPr>
          <w:rFonts w:hint="eastAsia" w:eastAsia="宋体" w:cs="宋体"/>
          <w:bCs/>
          <w:sz w:val="21"/>
          <w:szCs w:val="21"/>
          <w:highlight w:val="none"/>
        </w:rPr>
        <w:t>该项服务面积×</w:t>
      </w:r>
      <w:r>
        <w:rPr>
          <w:rFonts w:hint="eastAsia" w:eastAsia="宋体" w:cs="宋体"/>
          <w:bCs/>
          <w:sz w:val="21"/>
          <w:szCs w:val="21"/>
          <w:highlight w:val="none"/>
          <w:lang w:val="en-US" w:eastAsia="zh-CN"/>
        </w:rPr>
        <w:t>中标</w:t>
      </w:r>
      <w:r>
        <w:rPr>
          <w:rFonts w:hint="eastAsia" w:eastAsia="宋体" w:cs="宋体"/>
          <w:bCs/>
          <w:sz w:val="21"/>
          <w:szCs w:val="21"/>
          <w:highlight w:val="none"/>
        </w:rPr>
        <w:t>折扣系数×</w:t>
      </w:r>
      <w:r>
        <w:rPr>
          <w:rFonts w:hint="eastAsia" w:eastAsia="宋体" w:cs="宋体"/>
          <w:bCs/>
          <w:sz w:val="21"/>
          <w:szCs w:val="21"/>
          <w:highlight w:val="none"/>
          <w:lang w:eastAsia="zh-CN"/>
        </w:rPr>
        <w:t>当月</w:t>
      </w:r>
      <w:r>
        <w:rPr>
          <w:rFonts w:hint="eastAsia" w:eastAsia="宋体" w:cs="宋体"/>
          <w:bCs/>
          <w:sz w:val="21"/>
          <w:szCs w:val="21"/>
          <w:highlight w:val="none"/>
        </w:rPr>
        <w:t>考核评分占比</w:t>
      </w:r>
      <w:r>
        <w:rPr>
          <w:rFonts w:hint="eastAsia" w:eastAsia="宋体" w:cs="宋体"/>
          <w:bCs/>
          <w:sz w:val="21"/>
          <w:szCs w:val="21"/>
          <w:highlight w:val="none"/>
          <w:lang w:eastAsia="zh-CN"/>
        </w:rPr>
        <w:t>（</w:t>
      </w:r>
      <w:r>
        <w:rPr>
          <w:rFonts w:hint="eastAsia" w:eastAsia="宋体" w:cs="宋体"/>
          <w:sz w:val="21"/>
          <w:szCs w:val="21"/>
          <w:highlight w:val="none"/>
          <w:lang w:val="en-US" w:eastAsia="zh-CN"/>
        </w:rPr>
        <w:t>服务考核评分</w:t>
      </w:r>
      <w:r>
        <w:rPr>
          <w:rFonts w:hint="eastAsia" w:ascii="宋体" w:hAnsi="宋体" w:eastAsia="宋体" w:cs="宋体"/>
          <w:kern w:val="0"/>
          <w:sz w:val="21"/>
          <w:szCs w:val="21"/>
          <w:highlight w:val="none"/>
          <w:lang w:val="en-US" w:eastAsia="zh-CN" w:bidi="ar"/>
        </w:rPr>
        <w:t>高于90%</w:t>
      </w:r>
      <w:r>
        <w:rPr>
          <w:rFonts w:hint="eastAsia" w:ascii="宋体" w:hAnsi="宋体" w:eastAsia="宋体" w:cs="宋体"/>
          <w:kern w:val="0"/>
          <w:sz w:val="21"/>
          <w:szCs w:val="21"/>
          <w:highlight w:val="none"/>
          <w:lang w:bidi="ar"/>
        </w:rPr>
        <w:t>或以上</w:t>
      </w:r>
      <w:r>
        <w:rPr>
          <w:rFonts w:hint="eastAsia" w:eastAsia="宋体" w:cs="宋体"/>
          <w:sz w:val="21"/>
          <w:szCs w:val="21"/>
          <w:highlight w:val="none"/>
          <w:lang w:val="en-US" w:eastAsia="zh-CN"/>
        </w:rPr>
        <w:t>的，则当月考核评分占比为1；如服务考核评分占地低于90%，则按照该月考核评分占比计算）</w:t>
      </w:r>
      <w:r>
        <w:rPr>
          <w:rFonts w:hint="eastAsia" w:eastAsia="宋体" w:cs="宋体"/>
          <w:bCs/>
          <w:sz w:val="21"/>
          <w:szCs w:val="21"/>
          <w:highlight w:val="none"/>
        </w:rPr>
        <w:t>。其中服务面积上下浮动10%以内（含10%），该月应付服务费不变；服务面积上下浮动超过10%，按实际服务面积计算该月应付服务费。各项服务不含税</w:t>
      </w:r>
      <w:r>
        <w:rPr>
          <w:rFonts w:hint="eastAsia" w:eastAsia="宋体" w:cs="宋体"/>
          <w:bCs/>
          <w:sz w:val="21"/>
          <w:szCs w:val="21"/>
          <w:highlight w:val="none"/>
          <w:lang w:val="en-US" w:eastAsia="zh-CN"/>
        </w:rPr>
        <w:t>中标</w:t>
      </w:r>
      <w:r>
        <w:rPr>
          <w:rFonts w:hint="eastAsia" w:eastAsia="宋体" w:cs="宋体"/>
          <w:bCs/>
          <w:sz w:val="21"/>
          <w:szCs w:val="21"/>
          <w:highlight w:val="none"/>
        </w:rPr>
        <w:t>综合单价（即：不含税中标综合单价=不含税预算综合单价×中标折扣系数）在合同执行期间固定不变，不得因材料、劳务成本、运输成本、服务的行业标准或国家标准的变动或其他任何理由予以变更，如甲方有需要或有新增的办公点或生产点需要清洁保洁、绿化养护和除“四害”及灭蚁防治服务，可按中标折扣系数与乙方补充协议</w:t>
      </w:r>
      <w:r>
        <w:rPr>
          <w:rFonts w:hint="eastAsia" w:eastAsia="宋体" w:cs="宋体"/>
          <w:bCs/>
          <w:sz w:val="21"/>
          <w:szCs w:val="21"/>
          <w:highlight w:val="none"/>
          <w:lang w:eastAsia="zh-CN"/>
        </w:rPr>
        <w:t>。</w:t>
      </w:r>
      <w:r>
        <w:rPr>
          <w:rFonts w:hint="eastAsia" w:eastAsia="宋体" w:cs="宋体"/>
          <w:bCs/>
          <w:sz w:val="21"/>
          <w:szCs w:val="21"/>
          <w:highlight w:val="none"/>
        </w:rPr>
        <w:t>补充协议中各</w:t>
      </w:r>
      <w:r>
        <w:rPr>
          <w:rFonts w:hint="eastAsia" w:eastAsia="宋体" w:cs="宋体"/>
          <w:bCs/>
          <w:sz w:val="21"/>
          <w:szCs w:val="21"/>
          <w:highlight w:val="none"/>
          <w:lang w:val="en-US" w:eastAsia="zh-CN"/>
        </w:rPr>
        <w:t>服务点</w:t>
      </w:r>
      <w:r>
        <w:rPr>
          <w:rFonts w:hint="eastAsia" w:eastAsia="宋体" w:cs="宋体"/>
          <w:bCs/>
          <w:sz w:val="21"/>
          <w:szCs w:val="21"/>
          <w:highlight w:val="none"/>
        </w:rPr>
        <w:t>每月结算费用= ∑各项服务不含税预算综合单价×当月该项实际服务面积×中标折扣系数×</w:t>
      </w:r>
      <w:r>
        <w:rPr>
          <w:rFonts w:hint="eastAsia" w:eastAsia="宋体" w:cs="宋体"/>
          <w:bCs/>
          <w:sz w:val="21"/>
          <w:szCs w:val="21"/>
          <w:highlight w:val="none"/>
          <w:lang w:eastAsia="zh-CN"/>
        </w:rPr>
        <w:t>当月</w:t>
      </w:r>
      <w:r>
        <w:rPr>
          <w:rFonts w:hint="eastAsia" w:eastAsia="宋体" w:cs="宋体"/>
          <w:bCs/>
          <w:sz w:val="21"/>
          <w:szCs w:val="21"/>
          <w:highlight w:val="none"/>
        </w:rPr>
        <w:t>考核评分占比</w:t>
      </w:r>
      <w:r>
        <w:rPr>
          <w:rFonts w:hint="eastAsia" w:eastAsia="宋体" w:cs="宋体"/>
          <w:bCs/>
          <w:sz w:val="21"/>
          <w:szCs w:val="21"/>
          <w:highlight w:val="none"/>
          <w:lang w:eastAsia="zh-CN"/>
        </w:rPr>
        <w:t>（</w:t>
      </w:r>
      <w:r>
        <w:rPr>
          <w:rFonts w:hint="eastAsia" w:eastAsia="宋体" w:cs="宋体"/>
          <w:sz w:val="21"/>
          <w:szCs w:val="21"/>
          <w:highlight w:val="none"/>
          <w:lang w:val="en-US" w:eastAsia="zh-CN"/>
        </w:rPr>
        <w:t>服务考核评分</w:t>
      </w:r>
      <w:r>
        <w:rPr>
          <w:rFonts w:hint="eastAsia" w:ascii="宋体" w:hAnsi="宋体" w:eastAsia="宋体" w:cs="宋体"/>
          <w:kern w:val="0"/>
          <w:sz w:val="21"/>
          <w:szCs w:val="21"/>
          <w:highlight w:val="none"/>
          <w:lang w:val="en-US" w:eastAsia="zh-CN" w:bidi="ar"/>
        </w:rPr>
        <w:t>高于90%</w:t>
      </w:r>
      <w:r>
        <w:rPr>
          <w:rFonts w:hint="eastAsia" w:ascii="宋体" w:hAnsi="宋体" w:eastAsia="宋体" w:cs="宋体"/>
          <w:kern w:val="0"/>
          <w:sz w:val="21"/>
          <w:szCs w:val="21"/>
          <w:highlight w:val="none"/>
          <w:lang w:bidi="ar"/>
        </w:rPr>
        <w:t>或以上</w:t>
      </w:r>
      <w:r>
        <w:rPr>
          <w:rFonts w:hint="eastAsia" w:eastAsia="宋体" w:cs="宋体"/>
          <w:sz w:val="21"/>
          <w:szCs w:val="21"/>
          <w:highlight w:val="none"/>
          <w:lang w:val="en-US" w:eastAsia="zh-CN"/>
        </w:rPr>
        <w:t>的，则当月考核评分占比为1；如服务考核评分占比低于90%，则按照该月考核评分占比计算）</w:t>
      </w:r>
      <w:r>
        <w:rPr>
          <w:rFonts w:hint="eastAsia" w:eastAsia="宋体" w:cs="宋体"/>
          <w:bCs/>
          <w:sz w:val="21"/>
          <w:szCs w:val="21"/>
          <w:highlight w:val="none"/>
        </w:rPr>
        <w:t>，实际服务面积以甲方确认为准。</w:t>
      </w:r>
    </w:p>
    <w:p w14:paraId="480DA4F8">
      <w:pPr>
        <w:pStyle w:val="3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right="0" w:firstLine="420" w:firstLineChars="200"/>
        <w:jc w:val="both"/>
        <w:textAlignment w:val="auto"/>
        <w:rPr>
          <w:rFonts w:eastAsia="宋体" w:cs="宋体"/>
          <w:sz w:val="21"/>
          <w:szCs w:val="21"/>
          <w:highlight w:val="none"/>
        </w:rPr>
      </w:pPr>
      <w:r>
        <w:rPr>
          <w:rFonts w:hint="eastAsia" w:eastAsia="宋体" w:cs="宋体"/>
          <w:kern w:val="0"/>
          <w:sz w:val="21"/>
          <w:szCs w:val="21"/>
          <w:highlight w:val="none"/>
          <w:lang w:val="en-US" w:eastAsia="zh-CN" w:bidi="ar"/>
        </w:rPr>
        <w:t>3</w:t>
      </w:r>
      <w:r>
        <w:rPr>
          <w:rFonts w:hint="eastAsia" w:eastAsia="宋体" w:cs="宋体"/>
          <w:kern w:val="0"/>
          <w:sz w:val="21"/>
          <w:szCs w:val="21"/>
          <w:highlight w:val="none"/>
          <w:lang w:bidi="ar"/>
        </w:rPr>
        <w:t>、依法计得并根据本合同约定确定的销项税额由甲方承担。根据《中华人民共和国增值税暂行条例》 （国务院令第691号修订版）及当前税务部门的相关规定，本合同项目的增值税税率为</w:t>
      </w:r>
      <w:r>
        <w:rPr>
          <w:rFonts w:hint="eastAsia" w:eastAsia="宋体" w:cs="宋体"/>
          <w:kern w:val="0"/>
          <w:sz w:val="21"/>
          <w:szCs w:val="21"/>
          <w:highlight w:val="none"/>
          <w:u w:val="single"/>
          <w:lang w:bidi="ar"/>
        </w:rPr>
        <w:t xml:space="preserve">        </w:t>
      </w:r>
      <w:r>
        <w:rPr>
          <w:rFonts w:hint="eastAsia" w:eastAsia="宋体" w:cs="宋体"/>
          <w:kern w:val="0"/>
          <w:sz w:val="21"/>
          <w:szCs w:val="21"/>
          <w:highlight w:val="none"/>
          <w:lang w:bidi="ar"/>
        </w:rPr>
        <w:t>，</w:t>
      </w:r>
      <w:r>
        <w:rPr>
          <w:rFonts w:hint="eastAsia" w:hAnsi="宋体" w:eastAsia="宋体" w:cs="宋体"/>
          <w:color w:val="auto"/>
          <w:sz w:val="21"/>
          <w:szCs w:val="21"/>
          <w:highlight w:val="none"/>
        </w:rPr>
        <w:t>对应的销项税额</w:t>
      </w:r>
      <w:r>
        <w:rPr>
          <w:rFonts w:hint="eastAsia" w:hAnsi="宋体" w:eastAsia="宋体" w:cs="宋体"/>
          <w:color w:val="auto"/>
          <w:sz w:val="21"/>
          <w:szCs w:val="21"/>
          <w:highlight w:val="none"/>
          <w:lang w:val="en-US" w:eastAsia="zh-CN"/>
        </w:rPr>
        <w:t>暂定</w:t>
      </w:r>
      <w:r>
        <w:rPr>
          <w:rFonts w:hint="eastAsia" w:hAnsi="宋体" w:eastAsia="宋体" w:cs="宋体"/>
          <w:color w:val="auto"/>
          <w:sz w:val="21"/>
          <w:szCs w:val="21"/>
          <w:highlight w:val="none"/>
        </w:rPr>
        <w:t>为</w:t>
      </w:r>
      <w:r>
        <w:rPr>
          <w:rFonts w:hint="eastAsia" w:ascii="宋体" w:hAnsi="宋体" w:eastAsia="宋体" w:cs="宋体"/>
          <w:color w:val="auto"/>
          <w:sz w:val="21"/>
          <w:szCs w:val="21"/>
          <w:highlight w:val="none"/>
        </w:rPr>
        <w:t>¥</w:t>
      </w:r>
      <w:r>
        <w:rPr>
          <w:rFonts w:hint="eastAsia" w:hAnsi="宋体" w:eastAsia="宋体" w:cs="宋体"/>
          <w:color w:val="auto"/>
          <w:sz w:val="21"/>
          <w:szCs w:val="21"/>
          <w:highlight w:val="none"/>
          <w:u w:val="single"/>
        </w:rPr>
        <w:t xml:space="preserve">      </w:t>
      </w:r>
      <w:r>
        <w:rPr>
          <w:rFonts w:hint="eastAsia" w:hAnsi="宋体" w:eastAsia="宋体" w:cs="宋体"/>
          <w:color w:val="auto"/>
          <w:sz w:val="21"/>
          <w:szCs w:val="21"/>
          <w:highlight w:val="none"/>
        </w:rPr>
        <w:t>元（大写人民币</w:t>
      </w:r>
      <w:r>
        <w:rPr>
          <w:rFonts w:hint="eastAsia" w:hAnsi="宋体" w:eastAsia="宋体" w:cs="宋体"/>
          <w:color w:val="auto"/>
          <w:sz w:val="21"/>
          <w:szCs w:val="21"/>
          <w:highlight w:val="none"/>
          <w:u w:val="single"/>
        </w:rPr>
        <w:t xml:space="preserve">            </w:t>
      </w:r>
      <w:r>
        <w:rPr>
          <w:rFonts w:hint="eastAsia" w:hAnsi="宋体" w:eastAsia="宋体" w:cs="宋体"/>
          <w:color w:val="auto"/>
          <w:sz w:val="21"/>
          <w:szCs w:val="21"/>
          <w:highlight w:val="none"/>
        </w:rPr>
        <w:t>）</w:t>
      </w:r>
      <w:r>
        <w:rPr>
          <w:rFonts w:hint="eastAsia" w:hAnsi="宋体" w:eastAsia="宋体" w:cs="宋体"/>
          <w:color w:val="auto"/>
          <w:sz w:val="21"/>
          <w:szCs w:val="21"/>
          <w:highlight w:val="none"/>
          <w:lang w:eastAsia="zh-CN"/>
        </w:rPr>
        <w:t>，</w:t>
      </w:r>
      <w:r>
        <w:rPr>
          <w:rFonts w:hint="eastAsia" w:hAnsi="宋体" w:eastAsia="宋体" w:cs="宋体"/>
          <w:color w:val="auto"/>
          <w:sz w:val="21"/>
          <w:szCs w:val="21"/>
          <w:highlight w:val="none"/>
        </w:rPr>
        <w:t>乙方的增值税销项税额根据本合同约定按实结算</w:t>
      </w:r>
      <w:r>
        <w:rPr>
          <w:rFonts w:hint="eastAsia" w:hAnsi="宋体" w:eastAsia="宋体" w:cs="宋体"/>
          <w:color w:val="auto"/>
          <w:sz w:val="21"/>
          <w:szCs w:val="21"/>
          <w:highlight w:val="none"/>
          <w:lang w:eastAsia="zh-CN"/>
        </w:rPr>
        <w:t>。</w:t>
      </w:r>
      <w:r>
        <w:rPr>
          <w:rFonts w:hint="eastAsia" w:eastAsia="宋体" w:cs="宋体"/>
          <w:kern w:val="0"/>
          <w:sz w:val="21"/>
          <w:szCs w:val="21"/>
          <w:highlight w:val="none"/>
          <w:lang w:bidi="ar"/>
        </w:rPr>
        <w:t>在本合同履行过程中，税收政策变动导致增值税税率调整，依法应调整销项税额的，依法调整；但因乙方未按甲方要求完成服务、未根据合同约定提供合法、完整的请款资料或其他原因导致销项税额增加的，相应损失由乙方承担。</w:t>
      </w:r>
    </w:p>
    <w:p w14:paraId="3D0314E8">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default" w:eastAsia="宋体" w:cs="宋体"/>
          <w:bCs/>
          <w:sz w:val="21"/>
          <w:szCs w:val="21"/>
          <w:highlight w:val="none"/>
          <w:lang w:val="en-US"/>
        </w:rPr>
      </w:pPr>
      <w:r>
        <w:rPr>
          <w:rFonts w:hint="eastAsia" w:eastAsia="宋体" w:cs="宋体"/>
          <w:sz w:val="21"/>
          <w:szCs w:val="21"/>
          <w:highlight w:val="none"/>
        </w:rPr>
        <w:t>因乙方未按法定税率计算税额或未根据本合同约定出具对应税额的增值税普通发票等乙方原因导致甲方多支付税额的，乙方必须退还甲方，给甲方造成损失的，乙方须向甲方赔偿相应损失。</w:t>
      </w:r>
    </w:p>
    <w:p w14:paraId="120299A4">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bCs/>
          <w:sz w:val="21"/>
          <w:szCs w:val="21"/>
          <w:highlight w:val="none"/>
          <w:lang w:val="en-US" w:eastAsia="zh-CN"/>
        </w:rPr>
      </w:pPr>
      <w:r>
        <w:rPr>
          <w:rFonts w:hint="eastAsia" w:eastAsia="宋体" w:cs="宋体"/>
          <w:bCs/>
          <w:sz w:val="21"/>
          <w:szCs w:val="21"/>
          <w:highlight w:val="none"/>
          <w:lang w:val="en-US" w:eastAsia="zh-CN"/>
        </w:rPr>
        <w:t>4、本项目暂定合同价税合计为¥</w:t>
      </w:r>
      <w:r>
        <w:rPr>
          <w:rFonts w:hint="eastAsia" w:eastAsia="宋体" w:cs="宋体"/>
          <w:bCs/>
          <w:sz w:val="21"/>
          <w:szCs w:val="21"/>
          <w:highlight w:val="none"/>
          <w:u w:val="single"/>
          <w:lang w:val="en-US" w:eastAsia="zh-CN"/>
        </w:rPr>
        <w:t xml:space="preserve">            </w:t>
      </w:r>
      <w:r>
        <w:rPr>
          <w:rFonts w:hint="eastAsia" w:eastAsia="宋体" w:cs="宋体"/>
          <w:bCs/>
          <w:sz w:val="21"/>
          <w:szCs w:val="21"/>
          <w:highlight w:val="none"/>
          <w:lang w:val="en-US" w:eastAsia="zh-CN"/>
        </w:rPr>
        <w:t>元（大写人民币</w:t>
      </w:r>
      <w:r>
        <w:rPr>
          <w:rFonts w:hint="eastAsia" w:eastAsia="宋体" w:cs="宋体"/>
          <w:bCs/>
          <w:sz w:val="21"/>
          <w:szCs w:val="21"/>
          <w:highlight w:val="none"/>
          <w:u w:val="single"/>
          <w:lang w:val="en-US" w:eastAsia="zh-CN"/>
        </w:rPr>
        <w:t xml:space="preserve">            </w:t>
      </w:r>
      <w:r>
        <w:rPr>
          <w:rFonts w:hint="eastAsia" w:eastAsia="宋体" w:cs="宋体"/>
          <w:bCs/>
          <w:sz w:val="21"/>
          <w:szCs w:val="21"/>
          <w:highlight w:val="none"/>
          <w:lang w:val="en-US" w:eastAsia="zh-CN"/>
        </w:rPr>
        <w:t>），合同履行期间根据本条第3项规定调整销项税额的，结算合同价税合计对应调整。</w:t>
      </w:r>
    </w:p>
    <w:p w14:paraId="524FE6BE">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bCs/>
          <w:sz w:val="21"/>
          <w:szCs w:val="21"/>
          <w:highlight w:val="none"/>
        </w:rPr>
      </w:pPr>
      <w:r>
        <w:rPr>
          <w:rFonts w:hint="eastAsia" w:eastAsia="宋体" w:cs="宋体"/>
          <w:bCs/>
          <w:sz w:val="21"/>
          <w:szCs w:val="21"/>
          <w:highlight w:val="none"/>
          <w:lang w:val="en-US" w:eastAsia="zh-CN"/>
        </w:rPr>
        <w:t>5</w:t>
      </w:r>
      <w:r>
        <w:rPr>
          <w:rFonts w:hint="eastAsia" w:eastAsia="宋体" w:cs="宋体"/>
          <w:bCs/>
          <w:sz w:val="21"/>
          <w:szCs w:val="21"/>
          <w:highlight w:val="none"/>
        </w:rPr>
        <w:t>、双方一致同意，甲方通过以下每月实际服务费的计算方式，对乙方的服务进行考核并作为甲方向乙方支付服务费的比例依据：</w:t>
      </w:r>
    </w:p>
    <w:p w14:paraId="650AAF01">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bCs/>
          <w:sz w:val="21"/>
          <w:szCs w:val="21"/>
          <w:highlight w:val="none"/>
        </w:rPr>
      </w:pPr>
      <w:r>
        <w:rPr>
          <w:rFonts w:hint="eastAsia" w:eastAsia="宋体" w:cs="宋体"/>
          <w:bCs/>
          <w:sz w:val="21"/>
          <w:szCs w:val="21"/>
          <w:highlight w:val="none"/>
        </w:rPr>
        <w:t>服务费用以服务点为单位按月支付，各服务点每月服务费用支付须经考核，</w:t>
      </w:r>
      <w:r>
        <w:rPr>
          <w:rFonts w:hint="eastAsia" w:eastAsia="宋体" w:cs="宋体"/>
          <w:sz w:val="21"/>
          <w:szCs w:val="21"/>
          <w:highlight w:val="none"/>
        </w:rPr>
        <w:t>按《东莞市水务环境投资控股集团供水有限公司清洁保洁、绿化养护、除“四害”及灭蚁防治考核评分标准</w:t>
      </w:r>
      <w:r>
        <w:rPr>
          <w:rFonts w:hint="eastAsia" w:eastAsia="宋体" w:cs="宋体"/>
          <w:sz w:val="21"/>
          <w:szCs w:val="21"/>
          <w:highlight w:val="none"/>
          <w:lang w:eastAsia="zh-CN"/>
        </w:rPr>
        <w:t>》及相关表格（详见附件二）</w:t>
      </w:r>
      <w:r>
        <w:rPr>
          <w:rFonts w:hint="eastAsia" w:eastAsia="宋体" w:cs="宋体"/>
          <w:sz w:val="21"/>
          <w:szCs w:val="21"/>
          <w:highlight w:val="none"/>
        </w:rPr>
        <w:t>的相关规定计算后支付</w:t>
      </w:r>
      <w:r>
        <w:rPr>
          <w:rFonts w:hint="eastAsia" w:eastAsia="宋体" w:cs="宋体"/>
          <w:bCs/>
          <w:sz w:val="21"/>
          <w:szCs w:val="21"/>
          <w:highlight w:val="none"/>
        </w:rPr>
        <w:t>。计算过程中</w:t>
      </w:r>
      <w:r>
        <w:rPr>
          <w:rFonts w:hint="eastAsia" w:eastAsia="宋体" w:cs="宋体"/>
          <w:sz w:val="21"/>
          <w:szCs w:val="21"/>
          <w:highlight w:val="none"/>
        </w:rPr>
        <w:t>按四舍五入的规则</w:t>
      </w:r>
      <w:r>
        <w:rPr>
          <w:rFonts w:hint="eastAsia" w:eastAsia="宋体" w:cs="宋体"/>
          <w:bCs/>
          <w:sz w:val="21"/>
          <w:szCs w:val="21"/>
          <w:highlight w:val="none"/>
        </w:rPr>
        <w:t>保留小数点后四位，确定支付金额后</w:t>
      </w:r>
      <w:r>
        <w:rPr>
          <w:rFonts w:hint="eastAsia" w:eastAsia="宋体" w:cs="宋体"/>
          <w:sz w:val="21"/>
          <w:szCs w:val="21"/>
          <w:highlight w:val="none"/>
        </w:rPr>
        <w:t>按四舍五入的规则</w:t>
      </w:r>
      <w:r>
        <w:rPr>
          <w:rFonts w:hint="eastAsia" w:eastAsia="宋体" w:cs="宋体"/>
          <w:bCs/>
          <w:sz w:val="21"/>
          <w:szCs w:val="21"/>
          <w:highlight w:val="none"/>
        </w:rPr>
        <w:t>保留小数点后两位。</w:t>
      </w:r>
    </w:p>
    <w:p w14:paraId="6C78B9CB">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kern w:val="0"/>
          <w:sz w:val="21"/>
          <w:szCs w:val="21"/>
          <w:highlight w:val="none"/>
          <w:lang w:eastAsia="zh-CN" w:bidi="ar"/>
        </w:rPr>
      </w:pPr>
      <w:r>
        <w:rPr>
          <w:rFonts w:hint="eastAsia" w:eastAsia="宋体" w:cs="宋体"/>
          <w:sz w:val="21"/>
          <w:szCs w:val="21"/>
          <w:highlight w:val="none"/>
        </w:rPr>
        <w:t>甲方（含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分公司）每月根据考评结果情况支付实际服务费给乙方</w:t>
      </w:r>
      <w:r>
        <w:rPr>
          <w:rFonts w:hint="eastAsia" w:eastAsia="宋体" w:cs="宋体"/>
          <w:kern w:val="0"/>
          <w:sz w:val="21"/>
          <w:szCs w:val="21"/>
          <w:highlight w:val="none"/>
          <w:lang w:eastAsia="zh-CN" w:bidi="ar"/>
        </w:rPr>
        <w:t>：</w:t>
      </w:r>
    </w:p>
    <w:p w14:paraId="7C60802D">
      <w:pPr>
        <w:pStyle w:val="33"/>
        <w:keepNext w:val="0"/>
        <w:keepLines w:val="0"/>
        <w:pageBreakBefore w:val="0"/>
        <w:numPr>
          <w:ilvl w:val="0"/>
          <w:numId w:val="0"/>
        </w:numPr>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sz w:val="21"/>
          <w:szCs w:val="21"/>
          <w:highlight w:val="none"/>
        </w:rPr>
      </w:pPr>
      <w:r>
        <w:rPr>
          <w:rFonts w:hint="eastAsia" w:ascii="宋体" w:hAnsi="宋体" w:eastAsia="宋体" w:cs="宋体"/>
          <w:kern w:val="2"/>
          <w:sz w:val="21"/>
          <w:szCs w:val="21"/>
          <w:highlight w:val="none"/>
          <w:lang w:val="en-US" w:eastAsia="zh-CN" w:bidi="ar-SA"/>
        </w:rPr>
        <w:t>（1）</w:t>
      </w:r>
      <w:r>
        <w:rPr>
          <w:rFonts w:hint="eastAsia" w:eastAsia="宋体" w:cs="宋体"/>
          <w:kern w:val="0"/>
          <w:sz w:val="21"/>
          <w:szCs w:val="21"/>
          <w:highlight w:val="none"/>
          <w:lang w:eastAsia="zh-CN" w:bidi="ar"/>
        </w:rPr>
        <w:t>当实际考核项目总分满分为100分，</w:t>
      </w:r>
      <w:r>
        <w:rPr>
          <w:rFonts w:hint="eastAsia" w:eastAsia="宋体" w:cs="宋体"/>
          <w:kern w:val="0"/>
          <w:sz w:val="21"/>
          <w:szCs w:val="21"/>
          <w:highlight w:val="none"/>
          <w:lang w:bidi="ar"/>
        </w:rPr>
        <w:t>如</w:t>
      </w:r>
      <w:r>
        <w:rPr>
          <w:rFonts w:hint="eastAsia" w:eastAsia="宋体" w:cs="宋体"/>
          <w:sz w:val="21"/>
          <w:szCs w:val="21"/>
          <w:highlight w:val="none"/>
        </w:rPr>
        <w:t>甲方（含其权属分公司）</w:t>
      </w:r>
      <w:r>
        <w:rPr>
          <w:rFonts w:hint="eastAsia" w:eastAsia="宋体" w:cs="宋体"/>
          <w:kern w:val="0"/>
          <w:sz w:val="21"/>
          <w:szCs w:val="21"/>
          <w:highlight w:val="none"/>
          <w:lang w:bidi="ar"/>
        </w:rPr>
        <w:t>对乙方的服务考核评分达到90分或以上的，该月服务费全额支付；如</w:t>
      </w:r>
      <w:r>
        <w:rPr>
          <w:rFonts w:hint="eastAsia" w:eastAsia="宋体" w:cs="宋体"/>
          <w:sz w:val="21"/>
          <w:szCs w:val="21"/>
          <w:highlight w:val="none"/>
        </w:rPr>
        <w:t>甲方（含其权属分公司）</w:t>
      </w:r>
      <w:r>
        <w:rPr>
          <w:rFonts w:hint="eastAsia" w:eastAsia="宋体" w:cs="宋体"/>
          <w:kern w:val="0"/>
          <w:sz w:val="21"/>
          <w:szCs w:val="21"/>
          <w:highlight w:val="none"/>
          <w:lang w:bidi="ar"/>
        </w:rPr>
        <w:t>对乙方的服务考核评分不足90分的，该月实际支付的服务费=该月应支付服务费×当月考核评分占比；如发现累计两个月未达到60分时，且乙方没有提供令甲方（含其权属分公司）认可的整改方案的，甲方有权单方解除合同</w:t>
      </w:r>
      <w:r>
        <w:rPr>
          <w:rFonts w:hint="eastAsia" w:eastAsia="宋体" w:cs="宋体"/>
          <w:sz w:val="21"/>
          <w:szCs w:val="21"/>
          <w:highlight w:val="none"/>
        </w:rPr>
        <w:t>。</w:t>
      </w:r>
    </w:p>
    <w:p w14:paraId="2AF83F4F">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bCs/>
          <w:sz w:val="21"/>
          <w:szCs w:val="21"/>
          <w:highlight w:val="none"/>
          <w:lang w:val="en-US" w:eastAsia="zh-CN"/>
        </w:rPr>
      </w:pP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当实际考核项目总分满分不足100分，将考核分数按百分制进行折算（折算分数=实际得分/满分</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100），折算后高于90%</w:t>
      </w:r>
      <w:r>
        <w:rPr>
          <w:rFonts w:hint="eastAsia" w:ascii="宋体" w:hAnsi="宋体" w:eastAsia="宋体" w:cs="宋体"/>
          <w:kern w:val="0"/>
          <w:sz w:val="21"/>
          <w:szCs w:val="21"/>
          <w:highlight w:val="none"/>
          <w:lang w:bidi="ar"/>
        </w:rPr>
        <w:t>或以上的，该月服务费全额支付；如甲方（含其权属分公司）对乙方的服务考核评分</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不足90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的，该月实际支付的服务费=该月应支付服务费×</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折算分数/100</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；如发现累计两个月</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未达到60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时，且</w:t>
      </w:r>
      <w:r>
        <w:rPr>
          <w:rFonts w:hint="eastAsia" w:ascii="宋体" w:hAnsi="宋体" w:eastAsia="宋体" w:cs="宋体"/>
          <w:kern w:val="0"/>
          <w:sz w:val="21"/>
          <w:szCs w:val="21"/>
          <w:highlight w:val="none"/>
          <w:lang w:val="en-US" w:eastAsia="zh-CN" w:bidi="ar"/>
        </w:rPr>
        <w:t>乙方</w:t>
      </w:r>
      <w:r>
        <w:rPr>
          <w:rFonts w:hint="eastAsia" w:ascii="宋体" w:hAnsi="宋体" w:eastAsia="宋体" w:cs="宋体"/>
          <w:kern w:val="0"/>
          <w:sz w:val="21"/>
          <w:szCs w:val="21"/>
          <w:highlight w:val="none"/>
          <w:lang w:bidi="ar"/>
        </w:rPr>
        <w:t>没有提供令</w:t>
      </w:r>
      <w:r>
        <w:rPr>
          <w:rFonts w:hint="eastAsia" w:ascii="宋体" w:hAnsi="宋体" w:eastAsia="宋体" w:cs="宋体"/>
          <w:kern w:val="0"/>
          <w:sz w:val="21"/>
          <w:szCs w:val="21"/>
          <w:highlight w:val="none"/>
          <w:lang w:val="en-US" w:eastAsia="zh-CN" w:bidi="ar"/>
        </w:rPr>
        <w:t>甲方（含其权属分公司）</w:t>
      </w:r>
      <w:r>
        <w:rPr>
          <w:rFonts w:hint="eastAsia" w:ascii="宋体" w:hAnsi="宋体" w:eastAsia="宋体" w:cs="宋体"/>
          <w:kern w:val="0"/>
          <w:sz w:val="21"/>
          <w:szCs w:val="21"/>
          <w:highlight w:val="none"/>
          <w:lang w:bidi="ar"/>
        </w:rPr>
        <w:t>认可的整改方案的</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甲方有权单方解除合同</w:t>
      </w:r>
      <w:r>
        <w:rPr>
          <w:rFonts w:hint="eastAsia" w:eastAsia="宋体" w:cs="宋体"/>
          <w:bCs/>
          <w:sz w:val="21"/>
          <w:szCs w:val="21"/>
          <w:highlight w:val="none"/>
          <w:lang w:val="en-US" w:eastAsia="zh-CN"/>
        </w:rPr>
        <w:t>。</w:t>
      </w:r>
    </w:p>
    <w:p w14:paraId="223E76FE">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sz w:val="21"/>
          <w:szCs w:val="21"/>
          <w:highlight w:val="none"/>
        </w:rPr>
      </w:pPr>
      <w:r>
        <w:rPr>
          <w:rFonts w:hint="eastAsia" w:eastAsia="宋体" w:cs="宋体"/>
          <w:bCs/>
          <w:sz w:val="21"/>
          <w:szCs w:val="21"/>
          <w:highlight w:val="none"/>
          <w:lang w:val="en-US" w:eastAsia="zh-CN"/>
        </w:rPr>
        <w:t>6</w:t>
      </w:r>
      <w:r>
        <w:rPr>
          <w:rFonts w:hint="eastAsia" w:eastAsia="宋体" w:cs="宋体"/>
          <w:bCs/>
          <w:sz w:val="21"/>
          <w:szCs w:val="21"/>
          <w:highlight w:val="none"/>
        </w:rPr>
        <w:t>、</w:t>
      </w:r>
      <w:r>
        <w:rPr>
          <w:rFonts w:hint="eastAsia" w:eastAsia="宋体" w:cs="宋体"/>
          <w:sz w:val="21"/>
          <w:szCs w:val="21"/>
          <w:highlight w:val="none"/>
        </w:rPr>
        <w:t>双方一致同意，甲方通过以下方式以人民币支付服务费给乙方：</w:t>
      </w:r>
    </w:p>
    <w:p w14:paraId="7303620A">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sz w:val="21"/>
          <w:szCs w:val="21"/>
          <w:highlight w:val="none"/>
        </w:rPr>
      </w:pPr>
      <w:r>
        <w:rPr>
          <w:rFonts w:hint="eastAsia" w:eastAsia="宋体" w:cs="宋体"/>
          <w:sz w:val="21"/>
          <w:szCs w:val="21"/>
          <w:highlight w:val="none"/>
          <w:lang w:val="en-US" w:eastAsia="zh-CN"/>
        </w:rPr>
        <w:t>服务费用</w:t>
      </w:r>
      <w:r>
        <w:rPr>
          <w:rFonts w:hint="eastAsia" w:eastAsia="宋体" w:cs="宋体"/>
          <w:sz w:val="21"/>
          <w:szCs w:val="21"/>
          <w:highlight w:val="none"/>
        </w:rPr>
        <w:t>以甲方</w:t>
      </w:r>
      <w:r>
        <w:rPr>
          <w:rFonts w:hint="eastAsia" w:eastAsia="宋体" w:cs="宋体"/>
          <w:sz w:val="21"/>
          <w:szCs w:val="21"/>
          <w:highlight w:val="none"/>
          <w:lang w:val="en-US" w:eastAsia="zh-CN"/>
        </w:rPr>
        <w:t>或其</w:t>
      </w:r>
      <w:r>
        <w:rPr>
          <w:rFonts w:hint="eastAsia" w:eastAsia="宋体" w:cs="宋体"/>
          <w:sz w:val="21"/>
          <w:szCs w:val="21"/>
          <w:highlight w:val="none"/>
        </w:rPr>
        <w:t>权属分公司为单位按月支付服务费给乙方，合同开始执行的第二个月支付上一个月的服务费，以后依此类推。在甲方或甲方权属分公司完成对乙方上月的服务考核评分后，确定上月实际应付的服务费，由乙方向甲方或甲方权属分公司提交请款报告并根据甲方或甲方权属分公司需求，开具合法等额的增值税普通发票，甲方或甲方权属分公司在收到请款报告及发票后三十个工作日内采用转账的方式向乙方支付上月实际应付的服务费用。乙方向甲方开具的增值税普通发票，保证真实合法有效，否则，甲方有权拒绝付款，付款期限相应顺延。由于乙方提供的发票不符合税法规定给甲方或甲方权属分公司造成的损失由乙方承担赔偿责任。</w:t>
      </w:r>
    </w:p>
    <w:p w14:paraId="588B6B76">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sz w:val="21"/>
          <w:szCs w:val="21"/>
          <w:highlight w:val="none"/>
        </w:rPr>
      </w:pPr>
      <w:r>
        <w:rPr>
          <w:rFonts w:hint="eastAsia" w:eastAsia="宋体" w:cs="宋体"/>
          <w:sz w:val="21"/>
          <w:szCs w:val="21"/>
          <w:highlight w:val="none"/>
          <w:lang w:val="en-US" w:eastAsia="zh-CN"/>
        </w:rPr>
        <w:t>7</w:t>
      </w:r>
      <w:r>
        <w:rPr>
          <w:rFonts w:hint="eastAsia" w:eastAsia="宋体" w:cs="宋体"/>
          <w:sz w:val="21"/>
          <w:szCs w:val="21"/>
          <w:highlight w:val="none"/>
        </w:rPr>
        <w:t>、如甲方有需要或有新增的自来水厂及分公司需要清洁保洁、绿化养护服务、除“四害”及灭蚁防治服务，可按中标折扣系数与乙方签订补充协议（该类补充协议累计金额不得超过本合同暂定总金额的10%）。</w:t>
      </w:r>
    </w:p>
    <w:p w14:paraId="69B62CCF">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sz w:val="21"/>
          <w:szCs w:val="21"/>
          <w:highlight w:val="none"/>
        </w:rPr>
      </w:pPr>
      <w:r>
        <w:rPr>
          <w:rFonts w:hint="eastAsia" w:eastAsia="宋体" w:cs="宋体"/>
          <w:sz w:val="21"/>
          <w:szCs w:val="21"/>
          <w:highlight w:val="none"/>
          <w:lang w:val="en-US" w:eastAsia="zh-CN"/>
        </w:rPr>
        <w:t>8</w:t>
      </w:r>
      <w:r>
        <w:rPr>
          <w:rFonts w:hint="eastAsia" w:eastAsia="宋体" w:cs="宋体"/>
          <w:sz w:val="21"/>
          <w:szCs w:val="21"/>
          <w:highlight w:val="none"/>
        </w:rPr>
        <w:t>、在合同的履行期间，乙方应按合同约定为甲方提供服务，如乙方被取消服务资格的，由此造成的一切损失（包括但不限于再行采购的费用、委托第三方继续履行时超出本合同费用部分的溢价等）由乙方承担。</w:t>
      </w:r>
    </w:p>
    <w:p w14:paraId="44124B18">
      <w:pPr>
        <w:pStyle w:val="3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contextualSpacing/>
        <w:jc w:val="center"/>
        <w:textAlignment w:val="auto"/>
        <w:rPr>
          <w:rFonts w:eastAsia="宋体" w:cs="宋体"/>
          <w:sz w:val="21"/>
          <w:szCs w:val="21"/>
          <w:highlight w:val="none"/>
        </w:rPr>
      </w:pPr>
      <w:r>
        <w:rPr>
          <w:rFonts w:hint="eastAsia" w:eastAsia="宋体" w:cs="宋体"/>
          <w:b/>
          <w:bCs/>
          <w:kern w:val="0"/>
          <w:sz w:val="21"/>
          <w:szCs w:val="21"/>
          <w:highlight w:val="none"/>
          <w:lang w:bidi="ar"/>
        </w:rPr>
        <w:t xml:space="preserve"> </w:t>
      </w:r>
    </w:p>
    <w:p w14:paraId="203A262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2" w:firstLineChars="200"/>
        <w:textAlignment w:val="auto"/>
        <w:outlineLvl w:val="1"/>
        <w:rPr>
          <w:rFonts w:eastAsia="宋体" w:cs="宋体"/>
          <w:b/>
          <w:sz w:val="21"/>
          <w:szCs w:val="21"/>
          <w:highlight w:val="none"/>
        </w:rPr>
      </w:pPr>
      <w:r>
        <w:rPr>
          <w:rFonts w:hint="eastAsia" w:eastAsia="宋体" w:cs="宋体"/>
          <w:b/>
          <w:sz w:val="21"/>
          <w:szCs w:val="21"/>
          <w:highlight w:val="none"/>
        </w:rPr>
        <w:t>八、甲方权利和义务</w:t>
      </w:r>
    </w:p>
    <w:p w14:paraId="5CB47C8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bCs/>
          <w:sz w:val="21"/>
          <w:szCs w:val="21"/>
          <w:highlight w:val="none"/>
        </w:rPr>
      </w:pPr>
      <w:r>
        <w:rPr>
          <w:rFonts w:hint="eastAsia" w:eastAsia="宋体" w:cs="宋体"/>
          <w:bCs/>
          <w:sz w:val="21"/>
          <w:szCs w:val="21"/>
          <w:highlight w:val="none"/>
        </w:rPr>
        <w:t>1、审批乙方提交的清洁保洁、绿化养护、除“四害”及灭蚁防治方案。</w:t>
      </w:r>
    </w:p>
    <w:p w14:paraId="39E57E0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bCs/>
          <w:sz w:val="21"/>
          <w:szCs w:val="21"/>
          <w:highlight w:val="none"/>
        </w:rPr>
      </w:pPr>
      <w:r>
        <w:rPr>
          <w:rFonts w:hint="eastAsia" w:eastAsia="宋体" w:cs="宋体"/>
          <w:bCs/>
          <w:sz w:val="21"/>
          <w:szCs w:val="21"/>
          <w:highlight w:val="none"/>
        </w:rPr>
        <w:t>2、审阅乙方提交每月的服务记录，提出整改意见。</w:t>
      </w:r>
    </w:p>
    <w:p w14:paraId="74E60E4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bCs/>
          <w:sz w:val="21"/>
          <w:szCs w:val="21"/>
          <w:highlight w:val="none"/>
        </w:rPr>
      </w:pPr>
      <w:r>
        <w:rPr>
          <w:rFonts w:hint="eastAsia" w:eastAsia="宋体" w:cs="宋体"/>
          <w:bCs/>
          <w:sz w:val="21"/>
          <w:szCs w:val="21"/>
          <w:highlight w:val="none"/>
        </w:rPr>
        <w:t>3、有权对乙方进行监督检查，对违反本合同约定的行为提出改正要求。</w:t>
      </w:r>
    </w:p>
    <w:p w14:paraId="6834511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bCs/>
          <w:sz w:val="21"/>
          <w:szCs w:val="21"/>
          <w:highlight w:val="none"/>
        </w:rPr>
      </w:pPr>
      <w:r>
        <w:rPr>
          <w:rFonts w:hint="eastAsia" w:eastAsia="宋体" w:cs="宋体"/>
          <w:bCs/>
          <w:sz w:val="21"/>
          <w:szCs w:val="21"/>
          <w:highlight w:val="none"/>
        </w:rPr>
        <w:t>4、在合同服务期内，甲方每月按《东莞市水务环境投资控股集团供水有限公司清洁保洁、绿化养护、除“四害”及灭蚁防治考核评分标准》</w:t>
      </w:r>
      <w:r>
        <w:rPr>
          <w:rFonts w:hint="eastAsia" w:eastAsia="宋体" w:cs="宋体"/>
          <w:bCs/>
          <w:sz w:val="21"/>
          <w:szCs w:val="21"/>
          <w:highlight w:val="none"/>
          <w:lang w:val="en-US" w:eastAsia="zh-CN"/>
        </w:rPr>
        <w:t>及相关表格（详见附件二）</w:t>
      </w:r>
      <w:r>
        <w:rPr>
          <w:rFonts w:hint="eastAsia" w:eastAsia="宋体" w:cs="宋体"/>
          <w:bCs/>
          <w:sz w:val="21"/>
          <w:szCs w:val="21"/>
          <w:highlight w:val="none"/>
        </w:rPr>
        <w:t>对乙方的服务工作进行考核评分，若达不到评分标准规定的服务质量要求，甲方按评分考核结果的相应条款扣减乙方的服务费用。</w:t>
      </w:r>
    </w:p>
    <w:p w14:paraId="5FD2866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0" w:firstLineChars="0"/>
        <w:textAlignment w:val="auto"/>
        <w:rPr>
          <w:rFonts w:eastAsia="宋体" w:cs="宋体"/>
          <w:bCs/>
          <w:sz w:val="21"/>
          <w:szCs w:val="21"/>
          <w:highlight w:val="none"/>
        </w:rPr>
      </w:pPr>
      <w:r>
        <w:rPr>
          <w:rFonts w:hint="eastAsia" w:eastAsia="宋体" w:cs="宋体"/>
          <w:bCs/>
          <w:sz w:val="21"/>
          <w:szCs w:val="21"/>
          <w:highlight w:val="none"/>
        </w:rPr>
        <w:t xml:space="preserve"> </w:t>
      </w:r>
    </w:p>
    <w:p w14:paraId="0C4F916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2" w:firstLineChars="200"/>
        <w:textAlignment w:val="auto"/>
        <w:outlineLvl w:val="1"/>
        <w:rPr>
          <w:rFonts w:eastAsia="宋体" w:cs="宋体"/>
          <w:b/>
          <w:sz w:val="21"/>
          <w:szCs w:val="21"/>
          <w:highlight w:val="none"/>
        </w:rPr>
      </w:pPr>
      <w:r>
        <w:rPr>
          <w:rFonts w:hint="eastAsia" w:eastAsia="宋体" w:cs="宋体"/>
          <w:b/>
          <w:sz w:val="21"/>
          <w:szCs w:val="21"/>
          <w:highlight w:val="none"/>
        </w:rPr>
        <w:t>九、乙方权利和义务</w:t>
      </w:r>
    </w:p>
    <w:p w14:paraId="7F7458F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1、乙方保证具有履行本合同所需要的资格条件，由于乙方不具备或丧失相关资格造成甲方损失的，乙方须承担全部责任。</w:t>
      </w:r>
    </w:p>
    <w:p w14:paraId="54F8E8B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2、在服务过程中，遵守有关安全生产管理规定，严格按相关安全标准组织人员提供服务，采取必要的安全防护措施，消除事故隐患。在服务期间，由于乙方安全措施不力造成事故的责任和因此发生的费用，由乙方全部承担。</w:t>
      </w:r>
    </w:p>
    <w:p w14:paraId="37EF2C25">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3、做好项目范围内的绿化及相应设施的保护，若乙方防护不力而造成一切责任及经济损失由乙方承担。</w:t>
      </w:r>
    </w:p>
    <w:p w14:paraId="4AA12F7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4、严格遵守国家法律、法规，协助甲方做好社会治安综合管理工作等工作。乙方人员有违法乱纪的行为，乙方应承担一切经济责任和法律责任。</w:t>
      </w:r>
    </w:p>
    <w:p w14:paraId="66F54D4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5、乙方派往本项目的人员应穿着乙方统一的公司制服、佩戴工牌；并负责做好上岗前培训后方能上岗</w:t>
      </w:r>
      <w:r>
        <w:rPr>
          <w:rFonts w:hint="eastAsia" w:eastAsia="宋体" w:cs="宋体"/>
          <w:sz w:val="21"/>
          <w:szCs w:val="21"/>
          <w:highlight w:val="none"/>
          <w:lang w:eastAsia="zh-CN"/>
        </w:rPr>
        <w:t>。</w:t>
      </w:r>
    </w:p>
    <w:p w14:paraId="4AD7350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6、乙方承诺遵守《劳动合同法》相关规定，对其人员办理合法的劳动用工手续，与其建立劳动关系并签订劳动合同，依法及时足额支付人员的工资（含加班工资等）。乙方依法承担其雇员的培训、服装（装备）、体检和社会保险（工伤、养老、医疗、失业保险）、人身意外保险等费用以及承担作为用人单位的其他义务，并向甲方提供相关证明资料。如乙方未履行用人单位义务，给其人员造成损失或引发劳动争议的，由乙方全部责任，并承担由此产生的一切费用及损失。</w:t>
      </w:r>
    </w:p>
    <w:p w14:paraId="5B3B1DED">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7、乙方应对其人员的安全及相关行为负完全责任，并对其人员提供必要的劳动保护条件等，对其人员的意外工伤、死亡承担责任，负责有关追讨、诉讼及赔偿等费用，上述责任及费用与甲方无关，甲方无需承担任何责任及费用。</w:t>
      </w:r>
    </w:p>
    <w:p w14:paraId="319D372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eastAsia="宋体" w:cs="宋体"/>
          <w:sz w:val="21"/>
          <w:szCs w:val="21"/>
          <w:highlight w:val="none"/>
          <w:lang w:eastAsia="zh-CN"/>
        </w:rPr>
      </w:pPr>
      <w:r>
        <w:rPr>
          <w:rFonts w:hint="eastAsia" w:eastAsia="宋体" w:cs="宋体"/>
          <w:sz w:val="21"/>
          <w:szCs w:val="21"/>
          <w:highlight w:val="none"/>
        </w:rPr>
        <w:t>8、在本合同期限内，若经甲方认定乙方人员存在不适合从事有关工作的，甲方有权要求调换，乙方在收到调换通知后应当在2个工作日内无条件配合完成人员调换，以保证甲方清洁保洁、绿化养护及除四害工作。</w:t>
      </w:r>
    </w:p>
    <w:p w14:paraId="30D5C73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9、乙方工作时必须不影响他人的工作、休息及人身安全，包括但不限于机械噪音、清洁物品使用的限制及在工作前或工作中或工作后的一段时期内应设置足够的安全指示，尽到法定的安全管理义务。如因乙方原因造成甲方（含其人员）或乙方（含其人员）或第三人人身伤亡或财产损失的，乙方须承担由此而造成的全部责任。</w:t>
      </w:r>
    </w:p>
    <w:p w14:paraId="4106149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10、未经甲方书面许可，乙方工作人员不得进入与清洁保洁、绿化养护、除“四害”及灭蚁防治工作无关的区域，且不得从事与清洁保洁、绿化养护、除“四害”及灭蚁防治无关的事宜；否则，因乙方违反本条款给甲方造成损失的，乙方应承担全部赔偿责任。</w:t>
      </w:r>
    </w:p>
    <w:p w14:paraId="09A44DE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11、乙方须做好安全防护措施，合同履行过程中出现的安全事故由乙方自行承担，同时若发生安全事故，乙方应按有关规定立即上报有关部门并通知甲方。乙方人员在甲方场所必须遵守甲方的一切规章制度和安全条例，服从甲方的监督。乙方在提供本合同项下所有服务的过程中，如因违反甲方相关规章制度、安全条例，或因不服从甲方监督而发生安全事故的，其结果与责任均由乙方负责，甲方无须承担任何结果与责任。</w:t>
      </w:r>
    </w:p>
    <w:p w14:paraId="3999886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12、乙方须建立完善的养护责任制度，制定养护岗位职责以及各岗位规范、操作规程、养护制度（包括节假日值班制度、防汛防台期间的值班制度和应急抢险工作制度），配备项目经理、技术管理人员、养护操作人员、安全管理员等。</w:t>
      </w:r>
    </w:p>
    <w:p w14:paraId="43F4A5F6">
      <w:pPr>
        <w:pStyle w:val="33"/>
        <w:spacing w:before="0" w:beforeAutospacing="0" w:after="0" w:afterAutospacing="0" w:line="360" w:lineRule="auto"/>
        <w:ind w:firstLine="420" w:firstLineChars="200"/>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13、服务期内，乙方如接到甲方通知的，相关管理人员需在</w:t>
      </w:r>
      <w:r>
        <w:rPr>
          <w:rFonts w:hint="eastAsia" w:eastAsia="宋体" w:cs="宋体"/>
          <w:sz w:val="21"/>
          <w:szCs w:val="21"/>
          <w:highlight w:val="none"/>
          <w:lang w:val="en-US" w:eastAsia="zh-CN"/>
        </w:rPr>
        <w:t>【 】</w:t>
      </w:r>
      <w:r>
        <w:rPr>
          <w:rFonts w:hint="eastAsia" w:ascii="宋体" w:hAnsi="宋体" w:eastAsia="宋体" w:cs="宋体"/>
          <w:sz w:val="21"/>
          <w:szCs w:val="21"/>
          <w:highlight w:val="none"/>
          <w:lang w:val="en-US" w:eastAsia="zh-CN"/>
        </w:rPr>
        <w:t>小时（含）内到达甲方指定地点。</w:t>
      </w:r>
    </w:p>
    <w:p w14:paraId="26A60FAD">
      <w:pPr>
        <w:pStyle w:val="33"/>
        <w:spacing w:before="0" w:beforeAutospacing="0" w:after="0" w:afterAutospacing="0" w:line="360" w:lineRule="auto"/>
        <w:ind w:firstLine="420" w:firstLineChars="200"/>
        <w:jc w:val="both"/>
        <w:rPr>
          <w:rFonts w:hint="eastAsia" w:ascii="宋体" w:hAnsi="宋体" w:eastAsia="宋体" w:cs="宋体"/>
          <w:sz w:val="21"/>
          <w:szCs w:val="21"/>
          <w:highlight w:val="none"/>
          <w:lang w:val="en-US" w:eastAsia="zh-CN"/>
        </w:rPr>
      </w:pPr>
    </w:p>
    <w:p w14:paraId="4BAE5D30">
      <w:pPr>
        <w:pStyle w:val="33"/>
        <w:spacing w:before="0" w:beforeAutospacing="0" w:after="0" w:afterAutospacing="0" w:line="360" w:lineRule="auto"/>
        <w:ind w:firstLine="422" w:firstLineChars="200"/>
        <w:outlineLvl w:val="1"/>
        <w:rPr>
          <w:rFonts w:eastAsia="宋体" w:cs="宋体"/>
          <w:b/>
          <w:sz w:val="21"/>
          <w:szCs w:val="21"/>
          <w:highlight w:val="none"/>
        </w:rPr>
      </w:pPr>
      <w:r>
        <w:rPr>
          <w:rFonts w:hint="eastAsia" w:eastAsia="宋体" w:cs="宋体"/>
          <w:b/>
          <w:sz w:val="21"/>
          <w:szCs w:val="21"/>
          <w:highlight w:val="none"/>
        </w:rPr>
        <w:t>十、履约担保</w:t>
      </w:r>
    </w:p>
    <w:p w14:paraId="65D1965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1、乙方应当根据招标文件的规定在签订本合同前向甲方提供履约担保，履约担保形式及金额由乙方从以下方式中任选一种：</w:t>
      </w:r>
    </w:p>
    <w:p w14:paraId="06178C8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u w:val="single"/>
        </w:rPr>
      </w:pPr>
      <w:r>
        <w:rPr>
          <w:rFonts w:hint="eastAsia" w:eastAsia="宋体" w:cs="宋体"/>
          <w:sz w:val="21"/>
          <w:szCs w:val="21"/>
          <w:highlight w:val="none"/>
        </w:rPr>
        <w:t>□</w:t>
      </w:r>
      <w:r>
        <w:rPr>
          <w:rFonts w:hint="eastAsia" w:eastAsia="宋体" w:cs="宋体"/>
          <w:sz w:val="21"/>
          <w:szCs w:val="21"/>
          <w:highlight w:val="none"/>
          <w:u w:val="single"/>
        </w:rPr>
        <w:t>履约保证金（银行转账形式）金额为人民币      ；</w:t>
      </w:r>
    </w:p>
    <w:p w14:paraId="7B96501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u w:val="single"/>
        </w:rPr>
      </w:pPr>
      <w:r>
        <w:rPr>
          <w:rFonts w:hint="eastAsia" w:eastAsia="宋体" w:cs="宋体"/>
          <w:sz w:val="21"/>
          <w:szCs w:val="21"/>
          <w:highlight w:val="none"/>
        </w:rPr>
        <w:t>□</w:t>
      </w:r>
      <w:r>
        <w:rPr>
          <w:rFonts w:hint="eastAsia" w:eastAsia="宋体" w:cs="宋体"/>
          <w:sz w:val="21"/>
          <w:szCs w:val="21"/>
          <w:highlight w:val="none"/>
          <w:u w:val="single"/>
        </w:rPr>
        <w:t>不可撤销银行履约保函金额为人民币      ；</w:t>
      </w:r>
    </w:p>
    <w:p w14:paraId="298C3B8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u w:val="single"/>
        </w:rPr>
      </w:pPr>
      <w:r>
        <w:rPr>
          <w:rFonts w:hint="eastAsia" w:eastAsia="宋体" w:cs="宋体"/>
          <w:sz w:val="21"/>
          <w:szCs w:val="21"/>
          <w:highlight w:val="none"/>
        </w:rPr>
        <w:t>□</w:t>
      </w:r>
      <w:r>
        <w:rPr>
          <w:rFonts w:hint="eastAsia" w:eastAsia="宋体" w:cs="宋体"/>
          <w:sz w:val="21"/>
          <w:szCs w:val="21"/>
          <w:highlight w:val="none"/>
          <w:u w:val="single"/>
        </w:rPr>
        <w:t>担保公司履约担保书金额为人民币      ；</w:t>
      </w:r>
    </w:p>
    <w:p w14:paraId="378F31EE">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u w:val="none"/>
        </w:rPr>
        <w:t>□</w:t>
      </w:r>
      <w:r>
        <w:rPr>
          <w:rFonts w:hint="eastAsia" w:eastAsia="宋体" w:cs="宋体"/>
          <w:sz w:val="21"/>
          <w:szCs w:val="21"/>
          <w:highlight w:val="none"/>
          <w:u w:val="single"/>
        </w:rPr>
        <w:t>履约保证保险形式金额为人民币      。</w:t>
      </w:r>
    </w:p>
    <w:p w14:paraId="287C7F0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2、履约担保用于补偿甲方</w:t>
      </w:r>
      <w:r>
        <w:rPr>
          <w:rFonts w:hint="eastAsia" w:eastAsia="宋体" w:cs="宋体"/>
          <w:sz w:val="21"/>
          <w:szCs w:val="21"/>
          <w:highlight w:val="none"/>
          <w:lang w:val="en-US" w:eastAsia="zh-CN"/>
        </w:rPr>
        <w:t>或甲方</w:t>
      </w:r>
      <w:r>
        <w:rPr>
          <w:rFonts w:hint="eastAsia" w:eastAsia="宋体" w:cs="宋体"/>
          <w:sz w:val="21"/>
          <w:szCs w:val="21"/>
          <w:highlight w:val="none"/>
        </w:rPr>
        <w:t>权属分公司因乙方</w:t>
      </w:r>
      <w:r>
        <w:rPr>
          <w:rFonts w:hint="default" w:eastAsia="宋体" w:cs="宋体"/>
          <w:sz w:val="21"/>
          <w:szCs w:val="21"/>
          <w:highlight w:val="none"/>
          <w:lang w:val="en-US"/>
        </w:rPr>
        <w:t>不能</w:t>
      </w:r>
      <w:r>
        <w:rPr>
          <w:rFonts w:hint="default" w:eastAsia="宋体" w:cs="宋体"/>
          <w:sz w:val="21"/>
          <w:szCs w:val="21"/>
          <w:highlight w:val="none"/>
          <w:lang w:val="en-US" w:eastAsia="zh-CN"/>
        </w:rPr>
        <w:t>完全履行</w:t>
      </w:r>
      <w:r>
        <w:rPr>
          <w:rFonts w:hint="default" w:eastAsia="宋体" w:cs="宋体"/>
          <w:sz w:val="21"/>
          <w:szCs w:val="21"/>
          <w:highlight w:val="none"/>
          <w:lang w:val="en-US"/>
        </w:rPr>
        <w:t>其合同义务而蒙受</w:t>
      </w:r>
      <w:r>
        <w:rPr>
          <w:rFonts w:hint="eastAsia" w:eastAsia="宋体" w:cs="宋体"/>
          <w:sz w:val="21"/>
          <w:szCs w:val="21"/>
          <w:highlight w:val="none"/>
        </w:rPr>
        <w:t>的损失。如发生下列任一情况时，甲方有权</w:t>
      </w:r>
      <w:r>
        <w:rPr>
          <w:rFonts w:hint="eastAsia" w:eastAsia="宋体" w:cs="宋体"/>
          <w:sz w:val="21"/>
          <w:szCs w:val="21"/>
          <w:highlight w:val="none"/>
          <w:lang w:val="en-US" w:eastAsia="zh-CN"/>
        </w:rPr>
        <w:t>按对应方式</w:t>
      </w:r>
      <w:r>
        <w:rPr>
          <w:rFonts w:hint="default" w:eastAsia="宋体" w:cs="宋体"/>
          <w:sz w:val="21"/>
          <w:szCs w:val="21"/>
          <w:highlight w:val="none"/>
          <w:lang w:val="en-US"/>
        </w:rPr>
        <w:t>处理</w:t>
      </w:r>
      <w:r>
        <w:rPr>
          <w:rFonts w:hint="eastAsia" w:eastAsia="宋体" w:cs="宋体"/>
          <w:sz w:val="21"/>
          <w:szCs w:val="21"/>
          <w:highlight w:val="none"/>
        </w:rPr>
        <w:t>：</w:t>
      </w:r>
    </w:p>
    <w:p w14:paraId="5B20F12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（1）乙方将合同项下乙方的权利义务全部转让给第三方，或未经甲方书面同意将部分权利义务转让给第三方的，甲方有权没收其履约担保</w:t>
      </w:r>
      <w:r>
        <w:rPr>
          <w:rFonts w:hint="eastAsia" w:eastAsia="宋体" w:cs="宋体"/>
          <w:sz w:val="21"/>
          <w:szCs w:val="21"/>
          <w:highlight w:val="none"/>
          <w:lang w:eastAsia="zh-CN"/>
        </w:rPr>
        <w:t>，同时按本合同“十一、违约责任”追究其他责任</w:t>
      </w:r>
      <w:r>
        <w:rPr>
          <w:rFonts w:hint="eastAsia" w:eastAsia="宋体" w:cs="宋体"/>
          <w:sz w:val="21"/>
          <w:szCs w:val="21"/>
          <w:highlight w:val="none"/>
        </w:rPr>
        <w:t>。</w:t>
      </w:r>
    </w:p>
    <w:p w14:paraId="6825725B">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eastAsia="宋体" w:cs="宋体"/>
          <w:sz w:val="21"/>
          <w:szCs w:val="21"/>
          <w:highlight w:val="none"/>
          <w:lang w:eastAsia="zh-CN"/>
        </w:rPr>
      </w:pPr>
      <w:r>
        <w:rPr>
          <w:rFonts w:hint="eastAsia" w:eastAsia="宋体" w:cs="宋体"/>
          <w:sz w:val="21"/>
          <w:szCs w:val="21"/>
          <w:highlight w:val="none"/>
        </w:rPr>
        <w:t>（</w:t>
      </w:r>
      <w:r>
        <w:rPr>
          <w:rFonts w:hint="eastAsia" w:eastAsia="宋体" w:cs="宋体"/>
          <w:sz w:val="21"/>
          <w:szCs w:val="21"/>
          <w:highlight w:val="none"/>
          <w:lang w:val="en-US" w:eastAsia="zh-CN"/>
        </w:rPr>
        <w:t>2</w:t>
      </w:r>
      <w:r>
        <w:rPr>
          <w:rFonts w:hint="eastAsia" w:eastAsia="宋体" w:cs="宋体"/>
          <w:sz w:val="21"/>
          <w:szCs w:val="21"/>
          <w:highlight w:val="none"/>
        </w:rPr>
        <w:t>）在合同履行期间，因乙方服务质量问题造成损害、侵权损失（包括但不限于甲方</w:t>
      </w:r>
      <w:r>
        <w:rPr>
          <w:rFonts w:hint="eastAsia" w:eastAsia="宋体" w:cs="宋体"/>
          <w:sz w:val="21"/>
          <w:szCs w:val="21"/>
          <w:highlight w:val="none"/>
          <w:lang w:val="en-US" w:eastAsia="zh-CN"/>
        </w:rPr>
        <w:t>或甲方</w:t>
      </w:r>
      <w:r>
        <w:rPr>
          <w:rFonts w:hint="eastAsia" w:eastAsia="宋体" w:cs="宋体"/>
          <w:sz w:val="21"/>
          <w:szCs w:val="21"/>
          <w:highlight w:val="none"/>
        </w:rPr>
        <w:t>权属分公司经济损失、</w:t>
      </w:r>
      <w:r>
        <w:rPr>
          <w:rFonts w:hint="eastAsia" w:eastAsia="宋体" w:cs="宋体"/>
          <w:sz w:val="21"/>
          <w:szCs w:val="21"/>
          <w:highlight w:val="none"/>
          <w:lang w:val="en-US" w:eastAsia="zh-CN"/>
        </w:rPr>
        <w:t>乙</w:t>
      </w:r>
      <w:r>
        <w:rPr>
          <w:rFonts w:hint="eastAsia" w:eastAsia="宋体" w:cs="宋体"/>
          <w:sz w:val="21"/>
          <w:szCs w:val="21"/>
          <w:highlight w:val="none"/>
        </w:rPr>
        <w:t>方所雇人员及第三人人身财产损失等）、</w:t>
      </w:r>
      <w:r>
        <w:rPr>
          <w:rFonts w:hint="eastAsia" w:eastAsia="宋体" w:cs="宋体"/>
          <w:sz w:val="21"/>
          <w:szCs w:val="21"/>
          <w:highlight w:val="none"/>
          <w:lang w:val="en-US" w:eastAsia="zh-CN"/>
        </w:rPr>
        <w:t>乙方</w:t>
      </w:r>
      <w:r>
        <w:rPr>
          <w:rFonts w:hint="eastAsia" w:eastAsia="宋体" w:cs="宋体"/>
          <w:sz w:val="21"/>
          <w:szCs w:val="21"/>
          <w:highlight w:val="none"/>
        </w:rPr>
        <w:t>拖欠供应商货款或与其所雇用员工发生劳资纠纷</w:t>
      </w:r>
      <w:r>
        <w:rPr>
          <w:rFonts w:hint="eastAsia" w:eastAsia="宋体" w:cs="宋体"/>
          <w:sz w:val="21"/>
          <w:szCs w:val="21"/>
          <w:highlight w:val="none"/>
          <w:lang w:val="en-US" w:eastAsia="zh-CN"/>
        </w:rPr>
        <w:t>导致员工</w:t>
      </w:r>
      <w:r>
        <w:rPr>
          <w:rFonts w:hint="eastAsia" w:eastAsia="宋体" w:cs="宋体"/>
          <w:sz w:val="21"/>
          <w:szCs w:val="21"/>
          <w:highlight w:val="none"/>
        </w:rPr>
        <w:t>上访、闹事或</w:t>
      </w:r>
      <w:r>
        <w:rPr>
          <w:rFonts w:hint="eastAsia" w:eastAsia="宋体" w:cs="宋体"/>
          <w:sz w:val="21"/>
          <w:szCs w:val="21"/>
          <w:highlight w:val="none"/>
          <w:lang w:val="en-US" w:eastAsia="zh-CN"/>
        </w:rPr>
        <w:t>发生</w:t>
      </w:r>
      <w:r>
        <w:rPr>
          <w:rFonts w:hint="eastAsia" w:eastAsia="宋体" w:cs="宋体"/>
          <w:sz w:val="21"/>
          <w:szCs w:val="21"/>
          <w:highlight w:val="none"/>
        </w:rPr>
        <w:t>其他影响甲方</w:t>
      </w:r>
      <w:r>
        <w:rPr>
          <w:rFonts w:hint="eastAsia" w:eastAsia="宋体" w:cs="宋体"/>
          <w:sz w:val="21"/>
          <w:szCs w:val="21"/>
          <w:highlight w:val="none"/>
          <w:lang w:val="en-US" w:eastAsia="zh-CN"/>
        </w:rPr>
        <w:t>或甲方</w:t>
      </w:r>
      <w:r>
        <w:rPr>
          <w:rFonts w:hint="eastAsia" w:eastAsia="宋体" w:cs="宋体"/>
          <w:sz w:val="21"/>
          <w:szCs w:val="21"/>
          <w:highlight w:val="none"/>
        </w:rPr>
        <w:t>权属分公司生产经营</w:t>
      </w:r>
      <w:r>
        <w:rPr>
          <w:rFonts w:hint="eastAsia" w:eastAsia="宋体" w:cs="宋体"/>
          <w:sz w:val="21"/>
          <w:szCs w:val="21"/>
          <w:highlight w:val="none"/>
          <w:lang w:val="en-US" w:eastAsia="zh-CN"/>
        </w:rPr>
        <w:t>管理秩序或损害商誉等行为</w:t>
      </w:r>
      <w:r>
        <w:rPr>
          <w:rFonts w:hint="eastAsia" w:eastAsia="宋体" w:cs="宋体"/>
          <w:sz w:val="21"/>
          <w:szCs w:val="21"/>
          <w:highlight w:val="none"/>
          <w:lang w:eastAsia="zh-CN"/>
        </w:rPr>
        <w:t>，</w:t>
      </w:r>
      <w:r>
        <w:rPr>
          <w:rFonts w:hint="eastAsia" w:eastAsia="宋体" w:cs="宋体"/>
          <w:sz w:val="21"/>
          <w:szCs w:val="21"/>
          <w:highlight w:val="none"/>
        </w:rPr>
        <w:t>而</w:t>
      </w:r>
      <w:r>
        <w:rPr>
          <w:rFonts w:hint="eastAsia" w:eastAsia="宋体" w:cs="宋体"/>
          <w:sz w:val="21"/>
          <w:szCs w:val="21"/>
          <w:highlight w:val="none"/>
          <w:lang w:val="en-US" w:eastAsia="zh-CN"/>
        </w:rPr>
        <w:t>乙方</w:t>
      </w:r>
      <w:r>
        <w:rPr>
          <w:rFonts w:hint="eastAsia" w:eastAsia="宋体" w:cs="宋体"/>
          <w:sz w:val="21"/>
          <w:szCs w:val="21"/>
          <w:highlight w:val="none"/>
        </w:rPr>
        <w:t>未</w:t>
      </w:r>
      <w:r>
        <w:rPr>
          <w:rFonts w:hint="eastAsia" w:eastAsia="宋体" w:cs="宋体"/>
          <w:sz w:val="21"/>
          <w:szCs w:val="21"/>
          <w:highlight w:val="none"/>
          <w:lang w:eastAsia="zh-CN"/>
        </w:rPr>
        <w:t>在</w:t>
      </w:r>
      <w:r>
        <w:rPr>
          <w:rFonts w:hint="eastAsia" w:eastAsia="宋体" w:cs="宋体"/>
          <w:sz w:val="21"/>
          <w:szCs w:val="21"/>
          <w:highlight w:val="none"/>
          <w:lang w:val="en-US" w:eastAsia="zh-CN"/>
        </w:rPr>
        <w:t>10个工作日内</w:t>
      </w:r>
      <w:r>
        <w:rPr>
          <w:rFonts w:hint="eastAsia" w:eastAsia="宋体" w:cs="宋体"/>
          <w:sz w:val="21"/>
          <w:szCs w:val="21"/>
          <w:highlight w:val="none"/>
        </w:rPr>
        <w:t>妥善处理</w:t>
      </w:r>
      <w:r>
        <w:rPr>
          <w:rFonts w:hint="eastAsia" w:eastAsia="宋体" w:cs="宋体"/>
          <w:sz w:val="21"/>
          <w:szCs w:val="21"/>
          <w:highlight w:val="none"/>
          <w:lang w:val="en-US" w:eastAsia="zh-CN"/>
        </w:rPr>
        <w:t>消除影响的</w:t>
      </w:r>
      <w:r>
        <w:rPr>
          <w:rFonts w:hint="eastAsia" w:eastAsia="宋体" w:cs="宋体"/>
          <w:sz w:val="21"/>
          <w:szCs w:val="21"/>
          <w:highlight w:val="none"/>
        </w:rPr>
        <w:t>，</w:t>
      </w:r>
      <w:r>
        <w:rPr>
          <w:rFonts w:hint="eastAsia" w:eastAsia="宋体" w:cs="宋体"/>
          <w:sz w:val="21"/>
          <w:szCs w:val="21"/>
          <w:highlight w:val="none"/>
          <w:lang w:val="en-US" w:eastAsia="zh-CN"/>
        </w:rPr>
        <w:t>乙方除按照本合同第十一条的约定承担相应违约责任外，</w:t>
      </w:r>
      <w:r>
        <w:rPr>
          <w:rFonts w:hint="eastAsia" w:eastAsia="宋体" w:cs="宋体"/>
          <w:sz w:val="21"/>
          <w:szCs w:val="21"/>
          <w:highlight w:val="none"/>
        </w:rPr>
        <w:t>甲方</w:t>
      </w:r>
      <w:r>
        <w:rPr>
          <w:rFonts w:hint="eastAsia" w:eastAsia="宋体" w:cs="宋体"/>
          <w:sz w:val="21"/>
          <w:szCs w:val="21"/>
          <w:highlight w:val="none"/>
          <w:lang w:val="en-US" w:eastAsia="zh-CN"/>
        </w:rPr>
        <w:t>还</w:t>
      </w:r>
      <w:r>
        <w:rPr>
          <w:rFonts w:hint="eastAsia" w:eastAsia="宋体" w:cs="宋体"/>
          <w:sz w:val="21"/>
          <w:szCs w:val="21"/>
          <w:highlight w:val="none"/>
        </w:rPr>
        <w:t>有权</w:t>
      </w:r>
      <w:r>
        <w:rPr>
          <w:rFonts w:hint="eastAsia" w:eastAsia="宋体" w:cs="宋体"/>
          <w:sz w:val="21"/>
          <w:szCs w:val="21"/>
          <w:highlight w:val="none"/>
          <w:lang w:val="en-US" w:eastAsia="zh-CN"/>
        </w:rPr>
        <w:t>直接提取</w:t>
      </w:r>
      <w:r>
        <w:rPr>
          <w:rFonts w:hint="eastAsia" w:eastAsia="宋体" w:cs="宋体"/>
          <w:sz w:val="21"/>
          <w:szCs w:val="21"/>
          <w:highlight w:val="none"/>
        </w:rPr>
        <w:t>履约担保</w:t>
      </w:r>
      <w:r>
        <w:rPr>
          <w:rFonts w:hint="eastAsia" w:eastAsia="宋体" w:cs="宋体"/>
          <w:sz w:val="21"/>
          <w:szCs w:val="21"/>
          <w:highlight w:val="none"/>
          <w:lang w:val="en-US" w:eastAsia="zh-CN"/>
        </w:rPr>
        <w:t>用于赔偿损失或</w:t>
      </w:r>
      <w:r>
        <w:rPr>
          <w:rFonts w:hint="eastAsia" w:eastAsia="宋体" w:cs="宋体"/>
          <w:sz w:val="21"/>
          <w:szCs w:val="21"/>
          <w:highlight w:val="none"/>
        </w:rPr>
        <w:t>支付</w:t>
      </w:r>
      <w:r>
        <w:rPr>
          <w:rFonts w:hint="eastAsia" w:eastAsia="宋体" w:cs="宋体"/>
          <w:sz w:val="21"/>
          <w:szCs w:val="21"/>
          <w:highlight w:val="none"/>
          <w:lang w:val="en-US" w:eastAsia="zh-CN"/>
        </w:rPr>
        <w:t>款项等</w:t>
      </w:r>
      <w:r>
        <w:rPr>
          <w:rFonts w:hint="eastAsia" w:eastAsia="宋体" w:cs="宋体"/>
          <w:sz w:val="21"/>
          <w:szCs w:val="21"/>
          <w:highlight w:val="none"/>
        </w:rPr>
        <w:t>相应处理</w:t>
      </w:r>
      <w:r>
        <w:rPr>
          <w:rFonts w:hint="eastAsia" w:eastAsia="宋体" w:cs="宋体"/>
          <w:sz w:val="21"/>
          <w:szCs w:val="21"/>
          <w:highlight w:val="none"/>
          <w:lang w:eastAsia="zh-CN"/>
        </w:rPr>
        <w:t>。</w:t>
      </w:r>
    </w:p>
    <w:p w14:paraId="4DDF943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w:t>
      </w:r>
      <w:r>
        <w:rPr>
          <w:rFonts w:hint="eastAsia" w:eastAsia="宋体" w:cs="宋体"/>
          <w:sz w:val="21"/>
          <w:szCs w:val="21"/>
          <w:highlight w:val="none"/>
          <w:lang w:val="en-US" w:eastAsia="zh-CN"/>
        </w:rPr>
        <w:t>3</w:t>
      </w:r>
      <w:r>
        <w:rPr>
          <w:rFonts w:hint="eastAsia" w:eastAsia="宋体" w:cs="宋体"/>
          <w:sz w:val="21"/>
          <w:szCs w:val="21"/>
          <w:highlight w:val="none"/>
        </w:rPr>
        <w:t>）在合同履行期间，乙方违约产生的违约金、赔偿、罚款或其他应付费用等款项，甲方有权</w:t>
      </w:r>
      <w:r>
        <w:rPr>
          <w:rFonts w:hint="eastAsia" w:eastAsia="宋体" w:cs="宋体"/>
          <w:sz w:val="21"/>
          <w:szCs w:val="21"/>
          <w:highlight w:val="none"/>
          <w:lang w:val="en-US" w:eastAsia="zh-CN"/>
        </w:rPr>
        <w:t>优先</w:t>
      </w:r>
      <w:r>
        <w:rPr>
          <w:rFonts w:hint="default" w:eastAsia="宋体" w:cs="宋体"/>
          <w:sz w:val="21"/>
          <w:szCs w:val="21"/>
          <w:highlight w:val="none"/>
          <w:lang w:val="en-US"/>
        </w:rPr>
        <w:t>直接</w:t>
      </w:r>
      <w:r>
        <w:rPr>
          <w:rFonts w:hint="eastAsia" w:eastAsia="宋体" w:cs="宋体"/>
          <w:sz w:val="21"/>
          <w:szCs w:val="21"/>
          <w:highlight w:val="none"/>
        </w:rPr>
        <w:t>从未付款项中直接扣除</w:t>
      </w:r>
      <w:r>
        <w:rPr>
          <w:rFonts w:hint="eastAsia" w:eastAsia="宋体" w:cs="宋体"/>
          <w:sz w:val="21"/>
          <w:szCs w:val="21"/>
          <w:highlight w:val="none"/>
          <w:lang w:eastAsia="zh-CN"/>
        </w:rPr>
        <w:t>；</w:t>
      </w:r>
      <w:r>
        <w:rPr>
          <w:rFonts w:hint="eastAsia" w:eastAsia="宋体" w:cs="宋体"/>
          <w:sz w:val="21"/>
          <w:szCs w:val="21"/>
          <w:highlight w:val="none"/>
          <w:lang w:val="en-US" w:eastAsia="zh-CN"/>
        </w:rPr>
        <w:t>未付款项不足抵扣的，可</w:t>
      </w:r>
      <w:r>
        <w:rPr>
          <w:rFonts w:hint="eastAsia" w:eastAsia="宋体" w:cs="宋体"/>
          <w:sz w:val="21"/>
          <w:szCs w:val="21"/>
          <w:highlight w:val="none"/>
        </w:rPr>
        <w:t>启用履约担保支付</w:t>
      </w:r>
      <w:r>
        <w:rPr>
          <w:rFonts w:hint="eastAsia" w:eastAsia="宋体" w:cs="宋体"/>
          <w:sz w:val="21"/>
          <w:szCs w:val="21"/>
          <w:highlight w:val="none"/>
          <w:lang w:val="en-US" w:eastAsia="zh-CN"/>
        </w:rPr>
        <w:t>差额；仍有不足的，乙方还应补足</w:t>
      </w:r>
      <w:r>
        <w:rPr>
          <w:rFonts w:hint="eastAsia" w:eastAsia="宋体" w:cs="宋体"/>
          <w:sz w:val="21"/>
          <w:szCs w:val="21"/>
          <w:highlight w:val="none"/>
        </w:rPr>
        <w:t>。</w:t>
      </w:r>
    </w:p>
    <w:p w14:paraId="3DACED7A">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w:t>
      </w:r>
      <w:r>
        <w:rPr>
          <w:rFonts w:hint="eastAsia" w:eastAsia="宋体" w:cs="宋体"/>
          <w:sz w:val="21"/>
          <w:szCs w:val="21"/>
          <w:highlight w:val="none"/>
          <w:lang w:val="en-US" w:eastAsia="zh-CN"/>
        </w:rPr>
        <w:t>4</w:t>
      </w:r>
      <w:r>
        <w:rPr>
          <w:rFonts w:hint="eastAsia" w:eastAsia="宋体" w:cs="宋体"/>
          <w:sz w:val="21"/>
          <w:szCs w:val="21"/>
          <w:highlight w:val="none"/>
        </w:rPr>
        <w:t>）合同期内，乙方不能及时完成某项合同义务（如未及时开展除“四害”服务、未按时</w:t>
      </w:r>
      <w:r>
        <w:rPr>
          <w:rFonts w:hint="eastAsia" w:eastAsia="宋体" w:cs="宋体"/>
          <w:sz w:val="21"/>
          <w:szCs w:val="21"/>
          <w:highlight w:val="none"/>
          <w:lang w:val="en-US" w:eastAsia="zh-CN"/>
        </w:rPr>
        <w:t>修剪乔木</w:t>
      </w:r>
      <w:r>
        <w:rPr>
          <w:rFonts w:hint="eastAsia" w:eastAsia="宋体" w:cs="宋体"/>
          <w:sz w:val="21"/>
          <w:szCs w:val="21"/>
          <w:highlight w:val="none"/>
        </w:rPr>
        <w:t>），甲方委托第三方代为处理的，甲方有权提取履约担保用于支付第三方服务费用。</w:t>
      </w:r>
    </w:p>
    <w:p w14:paraId="119DF7C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w:t>
      </w:r>
      <w:r>
        <w:rPr>
          <w:rFonts w:hint="eastAsia" w:eastAsia="宋体" w:cs="宋体"/>
          <w:sz w:val="21"/>
          <w:szCs w:val="21"/>
          <w:highlight w:val="none"/>
          <w:lang w:val="en-US" w:eastAsia="zh-CN"/>
        </w:rPr>
        <w:t>5</w:t>
      </w:r>
      <w:r>
        <w:rPr>
          <w:rFonts w:hint="eastAsia" w:eastAsia="宋体" w:cs="宋体"/>
          <w:sz w:val="21"/>
          <w:szCs w:val="21"/>
          <w:highlight w:val="none"/>
        </w:rPr>
        <w:t>）其他根据本合同约定或法律规定，甲方可使用履约担保的情形。</w:t>
      </w:r>
    </w:p>
    <w:p w14:paraId="2DD998E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default" w:eastAsia="宋体" w:cs="宋体"/>
          <w:sz w:val="21"/>
          <w:szCs w:val="21"/>
          <w:highlight w:val="none"/>
          <w:lang w:val="en-US"/>
        </w:rPr>
        <w:t>3</w:t>
      </w:r>
      <w:r>
        <w:rPr>
          <w:rFonts w:hint="eastAsia" w:eastAsia="宋体" w:cs="宋体"/>
          <w:sz w:val="21"/>
          <w:szCs w:val="21"/>
          <w:highlight w:val="none"/>
        </w:rPr>
        <w:t>、若乙方提供履约保证金作为履约担保的，在合同期限届满并且乙方完成本合同及本合同下所有补充协议的全部服务义务</w:t>
      </w:r>
      <w:r>
        <w:rPr>
          <w:rFonts w:hint="eastAsia" w:eastAsia="宋体" w:cs="宋体"/>
          <w:sz w:val="21"/>
          <w:szCs w:val="21"/>
          <w:highlight w:val="none"/>
          <w:lang w:eastAsia="zh-CN"/>
        </w:rPr>
        <w:t>，甲方或甲方权属分公司向乙方支付全部款项二十八（28）日后</w:t>
      </w:r>
      <w:r>
        <w:rPr>
          <w:rFonts w:hint="eastAsia" w:eastAsia="宋体" w:cs="宋体"/>
          <w:sz w:val="21"/>
          <w:szCs w:val="21"/>
          <w:highlight w:val="none"/>
        </w:rPr>
        <w:t>，经甲方确认，乙方可向甲方提交退回</w:t>
      </w:r>
      <w:r>
        <w:rPr>
          <w:rFonts w:hint="eastAsia" w:eastAsia="宋体" w:cs="宋体"/>
          <w:sz w:val="21"/>
          <w:szCs w:val="21"/>
          <w:highlight w:val="none"/>
          <w:lang w:eastAsia="zh-CN"/>
        </w:rPr>
        <w:t>保证金（如有）</w:t>
      </w:r>
      <w:r>
        <w:rPr>
          <w:rFonts w:hint="eastAsia" w:eastAsia="宋体" w:cs="宋体"/>
          <w:sz w:val="21"/>
          <w:szCs w:val="21"/>
          <w:highlight w:val="none"/>
        </w:rPr>
        <w:t>的申请。甲方审核无异议后，</w:t>
      </w:r>
      <w:r>
        <w:rPr>
          <w:rFonts w:hint="eastAsia" w:eastAsia="宋体" w:cs="宋体"/>
          <w:sz w:val="21"/>
          <w:szCs w:val="21"/>
          <w:highlight w:val="none"/>
          <w:lang w:eastAsia="zh-CN"/>
        </w:rPr>
        <w:t>保证金（如有）</w:t>
      </w:r>
      <w:r>
        <w:rPr>
          <w:rFonts w:hint="eastAsia" w:eastAsia="宋体" w:cs="宋体"/>
          <w:sz w:val="21"/>
          <w:szCs w:val="21"/>
          <w:highlight w:val="none"/>
        </w:rPr>
        <w:t>一律以银行转账的形式无息退回到乙方的账户。</w:t>
      </w:r>
    </w:p>
    <w:p w14:paraId="1508E1FF">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default" w:eastAsia="宋体" w:cs="宋体"/>
          <w:sz w:val="21"/>
          <w:szCs w:val="21"/>
          <w:highlight w:val="none"/>
          <w:lang w:val="en-US"/>
        </w:rPr>
        <w:t>4</w:t>
      </w:r>
      <w:r>
        <w:rPr>
          <w:rFonts w:hint="eastAsia" w:eastAsia="宋体" w:cs="宋体"/>
          <w:sz w:val="21"/>
          <w:szCs w:val="21"/>
          <w:highlight w:val="none"/>
        </w:rPr>
        <w:t>、如乙方提供不可撤销银行履约保函或履约保证保险或担保公司履约担保书作为履约担保的，不可撤销银行履约保函或履约保证保险或担保公司履约担保书应从合同签订之日起（或签订合同前）至合同期限届满并且乙方完成本合同及本合同下所有补充协议的全部服务义务</w:t>
      </w:r>
      <w:r>
        <w:rPr>
          <w:rFonts w:hint="eastAsia" w:eastAsia="宋体" w:cs="宋体"/>
          <w:sz w:val="21"/>
          <w:szCs w:val="21"/>
          <w:highlight w:val="none"/>
          <w:lang w:eastAsia="zh-CN"/>
        </w:rPr>
        <w:t>，甲方或甲方权属分公司向乙方支付全部款项</w:t>
      </w:r>
      <w:r>
        <w:rPr>
          <w:rFonts w:hint="eastAsia" w:eastAsia="宋体" w:cs="宋体"/>
          <w:sz w:val="21"/>
          <w:szCs w:val="21"/>
          <w:highlight w:val="none"/>
        </w:rPr>
        <w:t>后二十八（28）日内保持有效。如不可撤销银行履约保函或履约保证保险或担保公司履约担保书在规定有效期届满时而乙方尚未完成合同及补充协议项下全部服务义务或甲方未支付全部款项，乙方必须在不可撤销银行履约保函或履约保证保险或担保公司履约担保书到期15日前无条件办理办妥延期手续或重新提供不可撤销银行履约保函或履约保证保险或担保公司履约担保书；否则视为乙方违约，甲方有权在不可撤销银行履约保函或履约保证保险或担保公司履约担保书到期前向出具履约担保的机构提取履约担保。在不可撤销银行履约保函或履约保证保险或担保公司履约担保书到期后乙方未按甲方要求重新提供的，甲方有权要求乙方以履约担保金额为限承担违约金，违约金可直接从未付</w:t>
      </w:r>
      <w:r>
        <w:rPr>
          <w:rFonts w:hint="eastAsia" w:eastAsia="宋体" w:cs="宋体"/>
          <w:sz w:val="21"/>
          <w:szCs w:val="21"/>
          <w:highlight w:val="none"/>
          <w:lang w:val="en-US" w:eastAsia="zh-CN"/>
        </w:rPr>
        <w:t>服务费</w:t>
      </w:r>
      <w:r>
        <w:rPr>
          <w:rFonts w:hint="eastAsia" w:eastAsia="宋体" w:cs="宋体"/>
          <w:sz w:val="21"/>
          <w:szCs w:val="21"/>
          <w:highlight w:val="none"/>
        </w:rPr>
        <w:t>中扣除。</w:t>
      </w:r>
    </w:p>
    <w:p w14:paraId="3B63DC2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lang w:val="en-US" w:eastAsia="zh-CN"/>
        </w:rPr>
        <w:t>5</w:t>
      </w:r>
      <w:r>
        <w:rPr>
          <w:rFonts w:hint="eastAsia" w:eastAsia="宋体" w:cs="宋体"/>
          <w:sz w:val="21"/>
          <w:szCs w:val="21"/>
          <w:highlight w:val="none"/>
        </w:rPr>
        <w:t>、在合同履行过程中</w:t>
      </w:r>
      <w:r>
        <w:rPr>
          <w:rFonts w:hint="eastAsia" w:eastAsia="宋体" w:cs="宋体"/>
          <w:sz w:val="21"/>
          <w:szCs w:val="21"/>
          <w:highlight w:val="none"/>
          <w:lang w:eastAsia="zh-CN"/>
        </w:rPr>
        <w:t>，</w:t>
      </w:r>
      <w:r>
        <w:rPr>
          <w:rFonts w:hint="eastAsia" w:eastAsia="宋体" w:cs="宋体"/>
          <w:sz w:val="21"/>
          <w:szCs w:val="21"/>
          <w:highlight w:val="none"/>
          <w:lang w:val="en-US" w:eastAsia="zh-CN"/>
        </w:rPr>
        <w:t>因提取</w:t>
      </w:r>
      <w:r>
        <w:rPr>
          <w:rFonts w:hint="eastAsia" w:eastAsia="宋体" w:cs="宋体"/>
          <w:sz w:val="21"/>
          <w:szCs w:val="21"/>
          <w:highlight w:val="none"/>
        </w:rPr>
        <w:t>履约担保</w:t>
      </w:r>
      <w:r>
        <w:rPr>
          <w:rFonts w:hint="eastAsia" w:eastAsia="宋体" w:cs="宋体"/>
          <w:sz w:val="21"/>
          <w:szCs w:val="21"/>
          <w:highlight w:val="none"/>
          <w:lang w:val="en-US" w:eastAsia="zh-CN"/>
        </w:rPr>
        <w:t>导致担保数额</w:t>
      </w:r>
      <w:r>
        <w:rPr>
          <w:rFonts w:hint="eastAsia" w:eastAsia="宋体" w:cs="宋体"/>
          <w:sz w:val="21"/>
          <w:szCs w:val="21"/>
          <w:highlight w:val="none"/>
        </w:rPr>
        <w:t>不符合招标文件要求的，乙方应当在5日内予以补足。逾期不予补足的，甲方有权按需补足的金额</w:t>
      </w:r>
      <w:r>
        <w:rPr>
          <w:rFonts w:hint="eastAsia" w:eastAsia="宋体" w:cs="宋体"/>
          <w:sz w:val="21"/>
          <w:szCs w:val="21"/>
          <w:highlight w:val="none"/>
          <w:lang w:val="en-US"/>
        </w:rPr>
        <w:t>要求乙方承担</w:t>
      </w:r>
      <w:r>
        <w:rPr>
          <w:rFonts w:hint="eastAsia" w:eastAsia="宋体" w:cs="宋体"/>
          <w:sz w:val="21"/>
          <w:szCs w:val="21"/>
          <w:highlight w:val="none"/>
        </w:rPr>
        <w:t>违约金，并要求限期补足。如乙方仍不补足的，甲方有权单方解除合同，违约金可直接从未付合同款或履约担保中扣除。</w:t>
      </w:r>
    </w:p>
    <w:p w14:paraId="4BA7B26F">
      <w:pPr>
        <w:pStyle w:val="33"/>
        <w:spacing w:before="0" w:beforeAutospacing="0" w:after="0" w:afterAutospacing="0" w:line="360" w:lineRule="auto"/>
        <w:ind w:firstLine="422" w:firstLineChars="200"/>
        <w:rPr>
          <w:rFonts w:eastAsia="宋体" w:cs="宋体"/>
          <w:b/>
          <w:sz w:val="21"/>
          <w:szCs w:val="21"/>
          <w:highlight w:val="none"/>
        </w:rPr>
      </w:pPr>
      <w:r>
        <w:rPr>
          <w:rFonts w:hint="eastAsia" w:eastAsia="宋体" w:cs="宋体"/>
          <w:b/>
          <w:sz w:val="21"/>
          <w:szCs w:val="21"/>
          <w:highlight w:val="none"/>
        </w:rPr>
        <w:t xml:space="preserve"> </w:t>
      </w:r>
    </w:p>
    <w:p w14:paraId="147B39F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2" w:firstLineChars="200"/>
        <w:textAlignment w:val="auto"/>
        <w:outlineLvl w:val="1"/>
        <w:rPr>
          <w:rFonts w:eastAsia="宋体" w:cs="宋体"/>
          <w:b/>
          <w:bCs/>
          <w:sz w:val="21"/>
          <w:szCs w:val="21"/>
          <w:highlight w:val="none"/>
        </w:rPr>
      </w:pPr>
      <w:r>
        <w:rPr>
          <w:rFonts w:hint="eastAsia" w:eastAsia="宋体" w:cs="宋体"/>
          <w:b/>
          <w:sz w:val="21"/>
          <w:szCs w:val="21"/>
          <w:highlight w:val="none"/>
        </w:rPr>
        <w:t>十一</w:t>
      </w:r>
      <w:r>
        <w:rPr>
          <w:rFonts w:hint="eastAsia" w:eastAsia="宋体" w:cs="宋体"/>
          <w:b/>
          <w:bCs/>
          <w:sz w:val="21"/>
          <w:szCs w:val="21"/>
          <w:highlight w:val="none"/>
        </w:rPr>
        <w:t>、违约责任</w:t>
      </w:r>
    </w:p>
    <w:p w14:paraId="0B377B09">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1、</w:t>
      </w:r>
      <w:r>
        <w:rPr>
          <w:rFonts w:hint="eastAsia" w:eastAsia="宋体" w:cs="宋体"/>
          <w:sz w:val="21"/>
          <w:szCs w:val="21"/>
          <w:highlight w:val="none"/>
          <w:lang w:val="en-US" w:eastAsia="zh-CN"/>
        </w:rPr>
        <w:t>未经甲方同意，</w:t>
      </w:r>
      <w:r>
        <w:rPr>
          <w:rFonts w:hint="eastAsia" w:eastAsia="宋体" w:cs="宋体"/>
          <w:sz w:val="21"/>
          <w:szCs w:val="21"/>
          <w:highlight w:val="none"/>
        </w:rPr>
        <w:t>乙方</w:t>
      </w:r>
      <w:r>
        <w:rPr>
          <w:rFonts w:hint="eastAsia" w:eastAsia="宋体" w:cs="宋体"/>
          <w:sz w:val="21"/>
          <w:szCs w:val="21"/>
          <w:highlight w:val="none"/>
          <w:lang w:val="en-US" w:eastAsia="zh-CN"/>
        </w:rPr>
        <w:t>擅自</w:t>
      </w:r>
      <w:r>
        <w:rPr>
          <w:rFonts w:hint="eastAsia" w:eastAsia="宋体" w:cs="宋体"/>
          <w:sz w:val="21"/>
          <w:szCs w:val="21"/>
          <w:highlight w:val="none"/>
        </w:rPr>
        <w:t>将本合同项下的清洁保洁、绿化养护、除“四害”及灭蚁防治项目的合同权利义务全部或部分转让给第三方</w:t>
      </w:r>
      <w:r>
        <w:rPr>
          <w:rFonts w:hint="eastAsia" w:eastAsia="宋体" w:cs="宋体"/>
          <w:sz w:val="21"/>
          <w:szCs w:val="21"/>
          <w:highlight w:val="none"/>
          <w:lang w:eastAsia="zh-CN"/>
        </w:rPr>
        <w:t>的</w:t>
      </w:r>
      <w:r>
        <w:rPr>
          <w:rFonts w:hint="eastAsia" w:eastAsia="宋体" w:cs="宋体"/>
          <w:sz w:val="21"/>
          <w:szCs w:val="21"/>
          <w:highlight w:val="none"/>
        </w:rPr>
        <w:t>，甲方有权单方面解除合同，没收履约担保，并有权要求乙方支付相当于本合同暂定总金额20%的违约金。</w:t>
      </w:r>
    </w:p>
    <w:p w14:paraId="7F6E09D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rPr>
        <w:t>2、</w:t>
      </w:r>
      <w:r>
        <w:rPr>
          <w:rFonts w:hint="eastAsia" w:eastAsia="宋体" w:cs="宋体"/>
          <w:sz w:val="21"/>
          <w:szCs w:val="21"/>
          <w:highlight w:val="none"/>
          <w:lang w:val="en-US" w:eastAsia="zh-CN"/>
        </w:rPr>
        <w:t>乙方</w:t>
      </w:r>
      <w:r>
        <w:rPr>
          <w:rFonts w:hint="eastAsia" w:eastAsia="宋体" w:cs="宋体"/>
          <w:sz w:val="21"/>
          <w:szCs w:val="21"/>
          <w:highlight w:val="none"/>
        </w:rPr>
        <w:t>在合同履行期间或合同终止后，蓄意破坏</w:t>
      </w:r>
      <w:r>
        <w:rPr>
          <w:rFonts w:hint="eastAsia" w:eastAsia="宋体" w:cs="宋体"/>
          <w:sz w:val="21"/>
          <w:szCs w:val="21"/>
          <w:highlight w:val="none"/>
          <w:lang w:val="en-US" w:eastAsia="zh-CN"/>
        </w:rPr>
        <w:t>甲方设施</w:t>
      </w:r>
      <w:r>
        <w:rPr>
          <w:rFonts w:hint="eastAsia" w:eastAsia="宋体" w:cs="宋体"/>
          <w:sz w:val="21"/>
          <w:szCs w:val="21"/>
          <w:highlight w:val="none"/>
        </w:rPr>
        <w:t>、绿化</w:t>
      </w:r>
      <w:r>
        <w:rPr>
          <w:rFonts w:hint="eastAsia" w:eastAsia="宋体" w:cs="宋体"/>
          <w:sz w:val="21"/>
          <w:szCs w:val="21"/>
          <w:highlight w:val="none"/>
          <w:lang w:val="en-US" w:eastAsia="zh-CN"/>
        </w:rPr>
        <w:t>植被等甲方财物</w:t>
      </w:r>
      <w:r>
        <w:rPr>
          <w:rFonts w:hint="eastAsia" w:eastAsia="宋体" w:cs="宋体"/>
          <w:sz w:val="21"/>
          <w:szCs w:val="21"/>
          <w:highlight w:val="none"/>
        </w:rPr>
        <w:t>的，</w:t>
      </w:r>
      <w:r>
        <w:rPr>
          <w:rFonts w:hint="eastAsia" w:eastAsia="宋体" w:cs="宋体"/>
          <w:sz w:val="21"/>
          <w:szCs w:val="21"/>
          <w:highlight w:val="none"/>
          <w:lang w:val="en-US" w:eastAsia="zh-CN"/>
        </w:rPr>
        <w:t>乙方应向甲方支付违约金5000元/次</w:t>
      </w:r>
      <w:r>
        <w:rPr>
          <w:rFonts w:hint="eastAsia" w:eastAsia="宋体" w:cs="宋体"/>
          <w:sz w:val="21"/>
          <w:szCs w:val="21"/>
          <w:highlight w:val="none"/>
        </w:rPr>
        <w:t>；</w:t>
      </w:r>
      <w:r>
        <w:rPr>
          <w:rFonts w:hint="eastAsia" w:eastAsia="宋体" w:cs="宋体"/>
          <w:sz w:val="21"/>
          <w:szCs w:val="21"/>
          <w:highlight w:val="none"/>
          <w:lang w:val="en-US" w:eastAsia="zh-CN"/>
        </w:rPr>
        <w:t>违约金累计不超过本合同暂定总金额的1%，但违约金不足以弥补乙方行为给甲方造成的实际损失的，不足部分乙方应继续赔偿</w:t>
      </w:r>
      <w:r>
        <w:rPr>
          <w:rFonts w:hint="eastAsia" w:eastAsia="宋体" w:cs="宋体"/>
          <w:sz w:val="21"/>
          <w:szCs w:val="21"/>
          <w:highlight w:val="none"/>
        </w:rPr>
        <w:t>。</w:t>
      </w:r>
    </w:p>
    <w:p w14:paraId="496DD736">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lang w:val="en-US" w:eastAsia="zh-CN"/>
        </w:rPr>
        <w:t>3</w:t>
      </w:r>
      <w:r>
        <w:rPr>
          <w:rFonts w:hint="eastAsia" w:eastAsia="宋体" w:cs="宋体"/>
          <w:sz w:val="21"/>
          <w:szCs w:val="21"/>
          <w:highlight w:val="none"/>
        </w:rPr>
        <w:t>、</w:t>
      </w:r>
      <w:r>
        <w:rPr>
          <w:rFonts w:hint="eastAsia" w:eastAsia="宋体" w:cs="宋体"/>
          <w:sz w:val="21"/>
          <w:szCs w:val="21"/>
          <w:highlight w:val="none"/>
          <w:lang w:val="en-US" w:eastAsia="zh-CN"/>
        </w:rPr>
        <w:t>因</w:t>
      </w:r>
      <w:r>
        <w:rPr>
          <w:rFonts w:hint="eastAsia" w:eastAsia="宋体" w:cs="宋体"/>
          <w:sz w:val="21"/>
          <w:szCs w:val="21"/>
          <w:highlight w:val="none"/>
        </w:rPr>
        <w:t>乙方单个或多个项目点</w:t>
      </w:r>
      <w:r>
        <w:rPr>
          <w:rFonts w:hint="eastAsia" w:eastAsia="宋体" w:cs="宋体"/>
          <w:sz w:val="21"/>
          <w:szCs w:val="21"/>
          <w:highlight w:val="none"/>
          <w:lang w:val="en-US" w:eastAsia="zh-CN"/>
        </w:rPr>
        <w:t>无故停工（</w:t>
      </w:r>
      <w:r>
        <w:rPr>
          <w:rFonts w:hint="eastAsia" w:eastAsia="宋体" w:cs="宋体"/>
          <w:sz w:val="21"/>
          <w:szCs w:val="21"/>
          <w:highlight w:val="none"/>
        </w:rPr>
        <w:t>无正当理由停止服务</w:t>
      </w:r>
      <w:r>
        <w:rPr>
          <w:rFonts w:hint="eastAsia" w:eastAsia="宋体" w:cs="宋体"/>
          <w:sz w:val="21"/>
          <w:szCs w:val="21"/>
          <w:highlight w:val="none"/>
          <w:lang w:val="en-US" w:eastAsia="zh-CN"/>
        </w:rPr>
        <w:t>）导致甲方需</w:t>
      </w:r>
      <w:r>
        <w:rPr>
          <w:rFonts w:hint="eastAsia" w:eastAsia="宋体" w:cs="宋体"/>
          <w:sz w:val="21"/>
          <w:szCs w:val="21"/>
          <w:highlight w:val="none"/>
        </w:rPr>
        <w:t>临时委托第三方</w:t>
      </w:r>
      <w:r>
        <w:rPr>
          <w:rFonts w:hint="eastAsia" w:eastAsia="宋体" w:cs="宋体"/>
          <w:sz w:val="21"/>
          <w:szCs w:val="21"/>
          <w:highlight w:val="none"/>
          <w:lang w:val="en-US" w:eastAsia="zh-CN"/>
        </w:rPr>
        <w:t>提供</w:t>
      </w:r>
      <w:r>
        <w:rPr>
          <w:rFonts w:hint="eastAsia" w:eastAsia="宋体" w:cs="宋体"/>
          <w:sz w:val="21"/>
          <w:szCs w:val="21"/>
          <w:highlight w:val="none"/>
        </w:rPr>
        <w:t>服务</w:t>
      </w:r>
      <w:r>
        <w:rPr>
          <w:rFonts w:hint="eastAsia" w:eastAsia="宋体" w:cs="宋体"/>
          <w:sz w:val="21"/>
          <w:szCs w:val="21"/>
          <w:highlight w:val="none"/>
          <w:lang w:eastAsia="zh-CN"/>
        </w:rPr>
        <w:t>的</w:t>
      </w:r>
      <w:r>
        <w:rPr>
          <w:rFonts w:hint="eastAsia" w:eastAsia="宋体" w:cs="宋体"/>
          <w:sz w:val="21"/>
          <w:szCs w:val="21"/>
          <w:highlight w:val="none"/>
        </w:rPr>
        <w:t>，</w:t>
      </w:r>
      <w:r>
        <w:rPr>
          <w:rFonts w:hint="eastAsia" w:eastAsia="宋体" w:cs="宋体"/>
          <w:sz w:val="21"/>
          <w:szCs w:val="21"/>
          <w:highlight w:val="none"/>
          <w:lang w:val="en-US" w:eastAsia="zh-CN"/>
        </w:rPr>
        <w:t>乙方应承担甲方</w:t>
      </w:r>
      <w:r>
        <w:rPr>
          <w:rFonts w:hint="eastAsia" w:eastAsia="宋体" w:cs="宋体"/>
          <w:sz w:val="21"/>
          <w:szCs w:val="21"/>
          <w:highlight w:val="none"/>
        </w:rPr>
        <w:t>临时委托第三方服务的</w:t>
      </w:r>
      <w:r>
        <w:rPr>
          <w:rFonts w:hint="eastAsia" w:eastAsia="宋体" w:cs="宋体"/>
          <w:sz w:val="21"/>
          <w:szCs w:val="21"/>
          <w:highlight w:val="none"/>
          <w:lang w:val="en-US" w:eastAsia="zh-CN"/>
        </w:rPr>
        <w:t>费用，且当月累计停工在【15】日以内的，甲方有权不予支付该项目点当月服务费的【20】%，当月累计停工达【15】日及以上的，该项目点当月的全额服务费甲方有权不予支付，乙方还应向甲方支付违约金10000元/次，违约金累计不超过</w:t>
      </w:r>
      <w:r>
        <w:rPr>
          <w:rFonts w:hint="eastAsia" w:eastAsia="宋体" w:cs="宋体"/>
          <w:sz w:val="21"/>
          <w:szCs w:val="21"/>
          <w:highlight w:val="none"/>
        </w:rPr>
        <w:t>本合同暂定总金额</w:t>
      </w:r>
      <w:r>
        <w:rPr>
          <w:rFonts w:hint="eastAsia" w:eastAsia="宋体" w:cs="宋体"/>
          <w:sz w:val="21"/>
          <w:szCs w:val="21"/>
          <w:highlight w:val="none"/>
          <w:lang w:eastAsia="zh-CN"/>
        </w:rPr>
        <w:t>的</w:t>
      </w:r>
      <w:r>
        <w:rPr>
          <w:rFonts w:hint="eastAsia" w:eastAsia="宋体" w:cs="宋体"/>
          <w:sz w:val="21"/>
          <w:szCs w:val="21"/>
          <w:highlight w:val="none"/>
          <w:lang w:val="en-US" w:eastAsia="zh-CN"/>
        </w:rPr>
        <w:t>5</w:t>
      </w:r>
      <w:r>
        <w:rPr>
          <w:rFonts w:hint="eastAsia" w:eastAsia="宋体" w:cs="宋体"/>
          <w:sz w:val="21"/>
          <w:szCs w:val="21"/>
          <w:highlight w:val="none"/>
        </w:rPr>
        <w:t>%</w:t>
      </w:r>
      <w:r>
        <w:rPr>
          <w:rFonts w:hint="eastAsia" w:eastAsia="宋体" w:cs="宋体"/>
          <w:sz w:val="21"/>
          <w:szCs w:val="21"/>
          <w:highlight w:val="none"/>
          <w:lang w:eastAsia="zh-CN"/>
        </w:rPr>
        <w:t>。</w:t>
      </w:r>
    </w:p>
    <w:p w14:paraId="00836DC4">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eastAsia="宋体" w:cs="宋体"/>
          <w:sz w:val="21"/>
          <w:szCs w:val="21"/>
          <w:highlight w:val="none"/>
        </w:rPr>
      </w:pPr>
      <w:r>
        <w:rPr>
          <w:rFonts w:hint="eastAsia" w:eastAsia="宋体" w:cs="宋体"/>
          <w:sz w:val="21"/>
          <w:szCs w:val="21"/>
          <w:highlight w:val="none"/>
          <w:lang w:val="en-US" w:eastAsia="zh-CN"/>
        </w:rPr>
        <w:t>4</w:t>
      </w:r>
      <w:r>
        <w:rPr>
          <w:rFonts w:hint="eastAsia" w:eastAsia="宋体" w:cs="宋体"/>
          <w:sz w:val="21"/>
          <w:szCs w:val="21"/>
          <w:highlight w:val="none"/>
        </w:rPr>
        <w:t>、</w:t>
      </w:r>
      <w:r>
        <w:rPr>
          <w:rFonts w:hint="eastAsia" w:eastAsia="宋体" w:cs="宋体"/>
          <w:bCs/>
          <w:sz w:val="21"/>
          <w:szCs w:val="21"/>
          <w:highlight w:val="none"/>
        </w:rPr>
        <w:t>乙方应确保</w:t>
      </w:r>
      <w:r>
        <w:rPr>
          <w:rFonts w:hint="eastAsia" w:eastAsia="宋体" w:cs="宋体"/>
          <w:bCs/>
          <w:sz w:val="21"/>
          <w:szCs w:val="21"/>
          <w:highlight w:val="none"/>
          <w:lang w:eastAsia="zh-CN"/>
        </w:rPr>
        <w:t>在</w:t>
      </w:r>
      <w:r>
        <w:rPr>
          <w:rFonts w:hint="eastAsia" w:eastAsia="宋体" w:cs="宋体"/>
          <w:bCs/>
          <w:sz w:val="21"/>
          <w:szCs w:val="21"/>
          <w:highlight w:val="none"/>
          <w:lang w:val="en-US" w:eastAsia="zh-CN"/>
        </w:rPr>
        <w:t>合同履行期限内持续具备本项目所需全部</w:t>
      </w:r>
      <w:r>
        <w:rPr>
          <w:rFonts w:hint="eastAsia" w:eastAsia="宋体" w:cs="宋体"/>
          <w:bCs/>
          <w:sz w:val="21"/>
          <w:szCs w:val="21"/>
          <w:highlight w:val="none"/>
        </w:rPr>
        <w:t>资质（含除“四害”资质、白蚁防治资质等）。若乙方资质发生变更、中止、吊销、注销等影响履约能力的情形，应在3日内以书面形式通知甲方，并提交相关证明材料（如资质变更通知书、吊销决定书等），不得隐瞒或拖延告知</w:t>
      </w:r>
      <w:r>
        <w:rPr>
          <w:rFonts w:hint="eastAsia" w:eastAsia="宋体" w:cs="宋体"/>
          <w:bCs/>
          <w:sz w:val="21"/>
          <w:szCs w:val="21"/>
          <w:highlight w:val="none"/>
          <w:lang w:eastAsia="zh-CN"/>
        </w:rPr>
        <w:t>。</w:t>
      </w:r>
      <w:r>
        <w:rPr>
          <w:rFonts w:hint="eastAsia" w:eastAsia="宋体" w:cs="宋体"/>
          <w:sz w:val="21"/>
          <w:szCs w:val="21"/>
          <w:highlight w:val="none"/>
          <w:lang w:val="en-US" w:eastAsia="zh-CN"/>
        </w:rPr>
        <w:t>如</w:t>
      </w:r>
      <w:r>
        <w:rPr>
          <w:rFonts w:hint="eastAsia" w:eastAsia="宋体" w:cs="宋体"/>
          <w:sz w:val="21"/>
          <w:szCs w:val="21"/>
          <w:highlight w:val="none"/>
        </w:rPr>
        <w:t>存在以下情形之一的，视为严重违约：​</w:t>
      </w:r>
    </w:p>
    <w:p w14:paraId="52E96D90">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eastAsia="宋体" w:cs="宋体"/>
          <w:sz w:val="21"/>
          <w:szCs w:val="21"/>
          <w:highlight w:val="none"/>
        </w:rPr>
      </w:pPr>
      <w:r>
        <w:rPr>
          <w:rFonts w:hint="eastAsia" w:eastAsia="宋体" w:cs="宋体"/>
          <w:sz w:val="21"/>
          <w:szCs w:val="21"/>
          <w:highlight w:val="none"/>
        </w:rPr>
        <w:t>（1）资质丧失、中止或无效导致无法承接本项目服务；​</w:t>
      </w:r>
    </w:p>
    <w:p w14:paraId="3028741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eastAsia="宋体" w:cs="宋体"/>
          <w:sz w:val="21"/>
          <w:szCs w:val="21"/>
          <w:highlight w:val="none"/>
        </w:rPr>
      </w:pPr>
      <w:r>
        <w:rPr>
          <w:rFonts w:hint="eastAsia" w:eastAsia="宋体" w:cs="宋体"/>
          <w:sz w:val="21"/>
          <w:szCs w:val="21"/>
          <w:highlight w:val="none"/>
        </w:rPr>
        <w:t>（2）资质发生变更未按约定通知甲方，或隐瞒资质异常情况；​</w:t>
      </w:r>
    </w:p>
    <w:p w14:paraId="46FE0E32">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eastAsia="宋体" w:cs="宋体"/>
          <w:sz w:val="21"/>
          <w:szCs w:val="21"/>
          <w:highlight w:val="none"/>
        </w:rPr>
      </w:pPr>
      <w:r>
        <w:rPr>
          <w:rFonts w:hint="eastAsia" w:eastAsia="宋体" w:cs="宋体"/>
          <w:sz w:val="21"/>
          <w:szCs w:val="21"/>
          <w:highlight w:val="none"/>
        </w:rPr>
        <w:t>（3）提交虚假资质证明材料或伪造资质文件。​</w:t>
      </w:r>
    </w:p>
    <w:p w14:paraId="0C8A540C">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eastAsia="宋体" w:cs="宋体"/>
          <w:sz w:val="21"/>
          <w:szCs w:val="21"/>
          <w:highlight w:val="none"/>
        </w:rPr>
      </w:pPr>
      <w:r>
        <w:rPr>
          <w:rFonts w:hint="eastAsia" w:eastAsia="宋体" w:cs="宋体"/>
          <w:sz w:val="21"/>
          <w:szCs w:val="21"/>
          <w:highlight w:val="none"/>
        </w:rPr>
        <w:t>出现上述情形的，甲方有权单方解除合同，没收履约担保；若履约担保不足以弥补甲方实际损失（如重新采购服务的溢价、临时委托第三方的费用、因乙方无资质导致的行政处罚等），乙方应补足差额。</w:t>
      </w:r>
    </w:p>
    <w:p w14:paraId="1AC3953D">
      <w:pPr>
        <w:pStyle w:val="33"/>
        <w:keepNext w:val="0"/>
        <w:keepLines w:val="0"/>
        <w:pageBreakBefore w:val="0"/>
        <w:widowControl/>
        <w:numPr>
          <w:ilvl w:val="-1"/>
          <w:numId w:val="0"/>
        </w:numPr>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default" w:eastAsia="宋体" w:cs="宋体"/>
          <w:sz w:val="21"/>
          <w:szCs w:val="21"/>
          <w:highlight w:val="none"/>
          <w:lang w:val="en-US" w:eastAsia="zh-CN"/>
        </w:rPr>
      </w:pPr>
      <w:r>
        <w:rPr>
          <w:rFonts w:hint="eastAsia" w:eastAsia="宋体" w:cs="宋体"/>
          <w:sz w:val="21"/>
          <w:szCs w:val="21"/>
          <w:highlight w:val="none"/>
          <w:lang w:val="en-US" w:eastAsia="zh-CN"/>
        </w:rPr>
        <w:t>5、乙方人员未按操作规范、规程等安全有序开展危险作业导致安全事故的</w:t>
      </w:r>
      <w:r>
        <w:rPr>
          <w:rFonts w:hint="eastAsia" w:ascii="微软雅黑" w:hAnsi="微软雅黑" w:eastAsia="微软雅黑" w:cs="微软雅黑"/>
          <w:sz w:val="21"/>
          <w:szCs w:val="21"/>
          <w:highlight w:val="none"/>
          <w:lang w:val="en-US" w:eastAsia="zh-CN"/>
        </w:rPr>
        <w:t>，</w:t>
      </w:r>
      <w:r>
        <w:rPr>
          <w:rFonts w:hint="eastAsia" w:ascii="宋体" w:hAnsi="宋体" w:eastAsia="宋体" w:cs="宋体"/>
          <w:sz w:val="21"/>
          <w:szCs w:val="21"/>
          <w:highlight w:val="none"/>
          <w:lang w:val="en-US" w:eastAsia="zh-CN"/>
        </w:rPr>
        <w:t>该服务点当月的服务费甲方有权不予支付，同时</w:t>
      </w:r>
      <w:r>
        <w:rPr>
          <w:rFonts w:hint="eastAsia" w:eastAsia="宋体" w:cs="宋体"/>
          <w:sz w:val="21"/>
          <w:szCs w:val="21"/>
          <w:highlight w:val="none"/>
          <w:lang w:val="en-US" w:eastAsia="zh-CN"/>
        </w:rPr>
        <w:t>有权没收履约担保。造成甲方或第三人的人身或财产损失的，乙方应予赔偿。</w:t>
      </w:r>
    </w:p>
    <w:p w14:paraId="5745A4DA">
      <w:pPr>
        <w:pStyle w:val="33"/>
        <w:keepNext w:val="0"/>
        <w:keepLines w:val="0"/>
        <w:pageBreakBefore w:val="0"/>
        <w:widowControl/>
        <w:numPr>
          <w:ilvl w:val="0"/>
          <w:numId w:val="0"/>
        </w:numPr>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hint="eastAsia" w:eastAsia="宋体" w:cs="宋体"/>
          <w:sz w:val="21"/>
          <w:szCs w:val="21"/>
          <w:highlight w:val="none"/>
          <w:lang w:val="en-US" w:eastAsia="zh-CN"/>
        </w:rPr>
      </w:pPr>
      <w:r>
        <w:rPr>
          <w:rFonts w:hint="eastAsia" w:eastAsia="宋体" w:cs="宋体"/>
          <w:kern w:val="2"/>
          <w:sz w:val="21"/>
          <w:szCs w:val="21"/>
          <w:highlight w:val="none"/>
          <w:lang w:val="en-US" w:eastAsia="zh-CN" w:bidi="ar-SA"/>
        </w:rPr>
        <w:t>6、乙方拖欠供应商货款或与其所雇用员工发生劳资纠纷导致员工上访、闹事或发生其他影响甲方或甲方权属分公司生产经营管理秩序或损害商誉等行为，而乙方未在10个工作日内妥善处理、消除影响的，</w:t>
      </w:r>
      <w:r>
        <w:rPr>
          <w:rFonts w:hint="eastAsia" w:eastAsia="宋体" w:cs="宋体"/>
          <w:sz w:val="21"/>
          <w:szCs w:val="21"/>
          <w:highlight w:val="none"/>
        </w:rPr>
        <w:t>乙方应向甲方支付违约金10000元</w:t>
      </w:r>
      <w:r>
        <w:rPr>
          <w:rFonts w:hint="eastAsia" w:eastAsia="宋体" w:cs="宋体"/>
          <w:sz w:val="21"/>
          <w:szCs w:val="21"/>
          <w:highlight w:val="none"/>
          <w:lang w:val="en-US" w:eastAsia="zh-CN"/>
        </w:rPr>
        <w:t>/次</w:t>
      </w:r>
      <w:r>
        <w:rPr>
          <w:rFonts w:hint="eastAsia" w:eastAsia="宋体" w:cs="宋体"/>
          <w:sz w:val="21"/>
          <w:szCs w:val="21"/>
          <w:highlight w:val="none"/>
        </w:rPr>
        <w:t>，违约金累计金额不超过本合同暂定总金额的1%</w:t>
      </w:r>
      <w:r>
        <w:rPr>
          <w:rFonts w:hint="eastAsia" w:eastAsia="宋体" w:cs="宋体"/>
          <w:sz w:val="21"/>
          <w:szCs w:val="21"/>
          <w:highlight w:val="none"/>
          <w:lang w:val="en-US" w:eastAsia="zh-CN"/>
        </w:rPr>
        <w:t>。</w:t>
      </w:r>
    </w:p>
    <w:p w14:paraId="0C0F97E3">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jc w:val="both"/>
        <w:textAlignment w:val="auto"/>
        <w:rPr>
          <w:rFonts w:eastAsia="宋体" w:cs="宋体"/>
          <w:sz w:val="21"/>
          <w:szCs w:val="21"/>
          <w:highlight w:val="none"/>
        </w:rPr>
      </w:pPr>
      <w:r>
        <w:rPr>
          <w:rFonts w:hint="eastAsia" w:eastAsia="宋体" w:cs="宋体"/>
          <w:sz w:val="21"/>
          <w:szCs w:val="21"/>
          <w:highlight w:val="none"/>
          <w:lang w:val="en-US" w:eastAsia="zh-CN"/>
        </w:rPr>
        <w:t>7、</w:t>
      </w:r>
      <w:r>
        <w:rPr>
          <w:rFonts w:hint="eastAsia" w:eastAsia="宋体" w:cs="宋体"/>
          <w:sz w:val="21"/>
          <w:szCs w:val="21"/>
          <w:highlight w:val="none"/>
        </w:rPr>
        <w:t>因乙方违约导致甲方通过诉讼、仲裁等方式维权的，</w:t>
      </w:r>
      <w:r>
        <w:rPr>
          <w:rFonts w:hint="eastAsia" w:eastAsia="宋体" w:cs="宋体"/>
          <w:sz w:val="21"/>
          <w:szCs w:val="21"/>
          <w:highlight w:val="none"/>
          <w:lang w:val="en-US" w:eastAsia="zh-CN"/>
        </w:rPr>
        <w:t>乙方</w:t>
      </w:r>
      <w:r>
        <w:rPr>
          <w:rFonts w:hint="eastAsia" w:eastAsia="宋体" w:cs="宋体"/>
          <w:sz w:val="21"/>
          <w:szCs w:val="21"/>
          <w:highlight w:val="none"/>
        </w:rPr>
        <w:t>应承担甲方为</w:t>
      </w:r>
      <w:r>
        <w:rPr>
          <w:rFonts w:hint="eastAsia" w:eastAsia="宋体" w:cs="宋体"/>
          <w:sz w:val="21"/>
          <w:szCs w:val="21"/>
          <w:highlight w:val="none"/>
          <w:lang w:val="en-US" w:eastAsia="zh-CN"/>
        </w:rPr>
        <w:t>此</w:t>
      </w:r>
      <w:r>
        <w:rPr>
          <w:rFonts w:hint="eastAsia" w:eastAsia="宋体" w:cs="宋体"/>
          <w:sz w:val="21"/>
          <w:szCs w:val="21"/>
          <w:highlight w:val="none"/>
        </w:rPr>
        <w:t>支付的全部</w:t>
      </w:r>
      <w:r>
        <w:rPr>
          <w:rFonts w:hint="eastAsia" w:eastAsia="宋体" w:cs="宋体"/>
          <w:sz w:val="21"/>
          <w:szCs w:val="21"/>
          <w:highlight w:val="none"/>
          <w:lang w:val="en-US" w:eastAsia="zh-CN"/>
        </w:rPr>
        <w:t>维权</w:t>
      </w:r>
      <w:r>
        <w:rPr>
          <w:rFonts w:hint="eastAsia" w:eastAsia="宋体" w:cs="宋体"/>
          <w:sz w:val="21"/>
          <w:szCs w:val="21"/>
          <w:highlight w:val="none"/>
        </w:rPr>
        <w:t>费用（包括但不限于律师费、诉讼费、担保费、保全费、鉴定费等）。</w:t>
      </w:r>
    </w:p>
    <w:p w14:paraId="10113A98">
      <w:pPr>
        <w:pStyle w:val="33"/>
        <w:keepNext w:val="0"/>
        <w:keepLines w:val="0"/>
        <w:pageBreakBefore w:val="0"/>
        <w:widowControl/>
        <w:kinsoku/>
        <w:wordWrap/>
        <w:overflowPunct/>
        <w:topLinePunct w:val="0"/>
        <w:autoSpaceDE/>
        <w:autoSpaceDN/>
        <w:bidi w:val="0"/>
        <w:adjustRightInd/>
        <w:snapToGrid/>
        <w:spacing w:before="0" w:beforeAutospacing="0" w:after="0" w:afterAutospacing="0" w:line="360" w:lineRule="auto"/>
        <w:ind w:firstLine="420" w:firstLineChars="200"/>
        <w:textAlignment w:val="auto"/>
        <w:rPr>
          <w:rFonts w:hint="default" w:eastAsia="宋体" w:cs="宋体"/>
          <w:sz w:val="21"/>
          <w:szCs w:val="21"/>
          <w:highlight w:val="none"/>
          <w:lang w:val="en-US" w:eastAsia="zh-CN"/>
        </w:rPr>
      </w:pPr>
    </w:p>
    <w:p w14:paraId="32BBD792">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2" w:firstLineChars="200"/>
        <w:textAlignment w:val="auto"/>
        <w:outlineLvl w:val="1"/>
        <w:rPr>
          <w:rFonts w:hint="eastAsia" w:eastAsia="宋体" w:cs="宋体"/>
          <w:b/>
          <w:bCs/>
          <w:sz w:val="21"/>
          <w:szCs w:val="21"/>
          <w:highlight w:val="none"/>
        </w:rPr>
      </w:pPr>
      <w:r>
        <w:rPr>
          <w:rFonts w:hint="eastAsia" w:eastAsia="宋体" w:cs="宋体"/>
          <w:b/>
          <w:bCs/>
          <w:sz w:val="21"/>
          <w:szCs w:val="21"/>
          <w:highlight w:val="none"/>
          <w:lang w:val="en-US" w:eastAsia="zh-CN"/>
        </w:rPr>
        <w:t>十二</w:t>
      </w:r>
      <w:r>
        <w:rPr>
          <w:rFonts w:hint="eastAsia" w:eastAsia="宋体" w:cs="宋体"/>
          <w:b/>
          <w:bCs/>
          <w:sz w:val="21"/>
          <w:szCs w:val="21"/>
          <w:highlight w:val="none"/>
        </w:rPr>
        <w:t>、不可抗力</w:t>
      </w:r>
    </w:p>
    <w:p w14:paraId="0BE61E17">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textAlignment w:val="auto"/>
        <w:outlineLvl w:val="9"/>
        <w:rPr>
          <w:rFonts w:hint="eastAsia" w:eastAsia="宋体" w:cs="宋体"/>
          <w:b w:val="0"/>
          <w:bCs w:val="0"/>
          <w:sz w:val="21"/>
          <w:szCs w:val="21"/>
          <w:highlight w:val="none"/>
        </w:rPr>
      </w:pPr>
      <w:r>
        <w:rPr>
          <w:rFonts w:hint="eastAsia" w:eastAsia="宋体" w:cs="宋体"/>
          <w:b w:val="0"/>
          <w:bCs w:val="0"/>
          <w:sz w:val="21"/>
          <w:szCs w:val="21"/>
          <w:highlight w:val="none"/>
        </w:rPr>
        <w:t>由于地震、台风、水灾、战争以及其他不能预见并且对其发生和后果不能防止或避免的不可抗力事故，致使直接影响本合同的履行或不能按约定的条件履行时，遇有上述不可抗力事故的一方，应立即将事故情况以电话、传真或其他有效方式通知对方，并应在十五个工作日内，提供事故详情及合同不能履行、或者部分不能履行、或者需要延期履行的理由的有效证明文件。如因为遭受不可抗力一方迟延通知而给对方造成损失的，该方应当赔偿由于通知迟延而给对方造成的损失。同时，遭受不可抗力的一方应采取一切必要的措施减少损失，否则应就扩大的损失承担责任。按照事故对履行合同影响的程度，由各方协商决定是否解除合同，或者部分免除履行合同的责任，或者延期履行合同。</w:t>
      </w:r>
    </w:p>
    <w:p w14:paraId="6A5DEC22">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2" w:firstLineChars="200"/>
        <w:textAlignment w:val="auto"/>
        <w:outlineLvl w:val="9"/>
        <w:rPr>
          <w:rFonts w:hint="eastAsia" w:eastAsia="宋体" w:cs="宋体"/>
          <w:b/>
          <w:bCs/>
          <w:sz w:val="21"/>
          <w:szCs w:val="21"/>
          <w:highlight w:val="none"/>
        </w:rPr>
      </w:pPr>
    </w:p>
    <w:p w14:paraId="58989B5A">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2" w:firstLineChars="200"/>
        <w:textAlignment w:val="auto"/>
        <w:outlineLvl w:val="1"/>
        <w:rPr>
          <w:rFonts w:eastAsia="宋体" w:cs="宋体"/>
          <w:b/>
          <w:bCs/>
          <w:sz w:val="21"/>
          <w:szCs w:val="21"/>
          <w:highlight w:val="none"/>
        </w:rPr>
      </w:pPr>
      <w:r>
        <w:rPr>
          <w:rFonts w:hint="eastAsia" w:eastAsia="宋体" w:cs="宋体"/>
          <w:b/>
          <w:bCs/>
          <w:sz w:val="21"/>
          <w:szCs w:val="21"/>
          <w:highlight w:val="none"/>
        </w:rPr>
        <w:t>十</w:t>
      </w:r>
      <w:r>
        <w:rPr>
          <w:rFonts w:hint="eastAsia" w:eastAsia="宋体" w:cs="宋体"/>
          <w:b/>
          <w:bCs/>
          <w:sz w:val="21"/>
          <w:szCs w:val="21"/>
          <w:highlight w:val="none"/>
          <w:lang w:val="en-US" w:eastAsia="zh-CN"/>
        </w:rPr>
        <w:t>三</w:t>
      </w:r>
      <w:r>
        <w:rPr>
          <w:rFonts w:hint="eastAsia" w:eastAsia="宋体" w:cs="宋体"/>
          <w:b/>
          <w:bCs/>
          <w:sz w:val="21"/>
          <w:szCs w:val="21"/>
          <w:highlight w:val="none"/>
        </w:rPr>
        <w:t>、其他约定</w:t>
      </w:r>
    </w:p>
    <w:p w14:paraId="5D3AF033">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bCs/>
          <w:sz w:val="21"/>
          <w:szCs w:val="21"/>
          <w:highlight w:val="none"/>
        </w:rPr>
      </w:pPr>
      <w:r>
        <w:rPr>
          <w:rFonts w:hint="eastAsia" w:eastAsia="宋体" w:cs="宋体"/>
          <w:bCs/>
          <w:sz w:val="21"/>
          <w:szCs w:val="21"/>
          <w:highlight w:val="none"/>
        </w:rPr>
        <w:t>1、乙方</w:t>
      </w:r>
      <w:r>
        <w:rPr>
          <w:rFonts w:hint="eastAsia" w:eastAsia="宋体" w:cs="宋体"/>
          <w:bCs/>
          <w:sz w:val="21"/>
          <w:szCs w:val="21"/>
          <w:highlight w:val="none"/>
          <w:lang w:val="en-US" w:eastAsia="zh-CN"/>
        </w:rPr>
        <w:t>确认</w:t>
      </w:r>
      <w:r>
        <w:rPr>
          <w:rFonts w:hint="eastAsia" w:eastAsia="宋体" w:cs="宋体"/>
          <w:bCs/>
          <w:sz w:val="21"/>
          <w:szCs w:val="21"/>
          <w:highlight w:val="none"/>
        </w:rPr>
        <w:t>：本合同仅</w:t>
      </w:r>
      <w:r>
        <w:rPr>
          <w:rFonts w:hint="eastAsia" w:eastAsia="宋体" w:cs="宋体"/>
          <w:bCs/>
          <w:sz w:val="21"/>
          <w:szCs w:val="21"/>
          <w:highlight w:val="none"/>
          <w:lang w:val="en-US" w:eastAsia="zh-CN"/>
        </w:rPr>
        <w:t>赋予</w:t>
      </w:r>
      <w:r>
        <w:rPr>
          <w:rFonts w:hint="eastAsia" w:eastAsia="宋体" w:cs="宋体"/>
          <w:bCs/>
          <w:sz w:val="21"/>
          <w:szCs w:val="21"/>
          <w:highlight w:val="none"/>
        </w:rPr>
        <w:t>乙方在本合同期限内</w:t>
      </w:r>
      <w:r>
        <w:rPr>
          <w:rFonts w:hint="eastAsia" w:eastAsia="宋体" w:cs="宋体"/>
          <w:bCs/>
          <w:sz w:val="21"/>
          <w:szCs w:val="21"/>
          <w:highlight w:val="none"/>
          <w:lang w:val="en-US" w:eastAsia="zh-CN"/>
        </w:rPr>
        <w:t>参与</w:t>
      </w:r>
      <w:r>
        <w:rPr>
          <w:rFonts w:hint="eastAsia" w:eastAsia="宋体" w:cs="宋体"/>
          <w:bCs/>
          <w:sz w:val="21"/>
          <w:szCs w:val="21"/>
          <w:highlight w:val="none"/>
        </w:rPr>
        <w:t>甲方或</w:t>
      </w:r>
      <w:r>
        <w:rPr>
          <w:rFonts w:hint="eastAsia" w:eastAsia="宋体" w:cs="宋体"/>
          <w:sz w:val="21"/>
          <w:szCs w:val="21"/>
          <w:highlight w:val="none"/>
        </w:rPr>
        <w:t>甲方权属分公司</w:t>
      </w:r>
      <w:r>
        <w:rPr>
          <w:rFonts w:hint="eastAsia" w:eastAsia="宋体" w:cs="宋体"/>
          <w:bCs/>
          <w:sz w:val="21"/>
          <w:szCs w:val="21"/>
          <w:highlight w:val="none"/>
        </w:rPr>
        <w:t>就具体项目委托服务工作的资格。若</w:t>
      </w:r>
      <w:r>
        <w:rPr>
          <w:rFonts w:hint="eastAsia" w:eastAsia="宋体" w:cs="宋体"/>
          <w:bCs/>
          <w:sz w:val="21"/>
          <w:szCs w:val="21"/>
          <w:highlight w:val="none"/>
          <w:lang w:val="en-US" w:eastAsia="zh-CN"/>
        </w:rPr>
        <w:t>合同履行中甲方</w:t>
      </w:r>
      <w:r>
        <w:rPr>
          <w:rFonts w:hint="eastAsia" w:eastAsia="宋体" w:cs="宋体"/>
          <w:bCs/>
          <w:sz w:val="21"/>
          <w:szCs w:val="21"/>
          <w:highlight w:val="none"/>
        </w:rPr>
        <w:t>因特殊情况（如乙方履约严重不达标、甲方重大应急需求）确需另行委托</w:t>
      </w:r>
      <w:r>
        <w:rPr>
          <w:rFonts w:hint="eastAsia" w:eastAsia="宋体" w:cs="宋体"/>
          <w:bCs/>
          <w:sz w:val="21"/>
          <w:szCs w:val="21"/>
          <w:highlight w:val="none"/>
          <w:lang w:val="en-US" w:eastAsia="zh-CN"/>
        </w:rPr>
        <w:t>第三方</w:t>
      </w:r>
      <w:r>
        <w:rPr>
          <w:rFonts w:hint="eastAsia" w:eastAsia="宋体" w:cs="宋体"/>
          <w:bCs/>
          <w:sz w:val="21"/>
          <w:szCs w:val="21"/>
          <w:highlight w:val="none"/>
        </w:rPr>
        <w:t>的，甲方有权根据实际情况决定委托范围及方式，无需事先征得乙方同意，乙方需无条件配合完成交接。</w:t>
      </w:r>
    </w:p>
    <w:p w14:paraId="4C52976B">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b/>
          <w:sz w:val="21"/>
          <w:szCs w:val="21"/>
          <w:highlight w:val="none"/>
        </w:rPr>
      </w:pPr>
      <w:r>
        <w:rPr>
          <w:rFonts w:hint="eastAsia" w:eastAsia="宋体" w:cs="宋体"/>
          <w:bCs/>
          <w:sz w:val="21"/>
          <w:szCs w:val="21"/>
          <w:highlight w:val="none"/>
        </w:rPr>
        <w:t>2、甲方招标文件中</w:t>
      </w:r>
      <w:r>
        <w:rPr>
          <w:rFonts w:hint="eastAsia" w:eastAsia="宋体" w:cs="宋体"/>
          <w:bCs/>
          <w:sz w:val="21"/>
          <w:szCs w:val="21"/>
          <w:highlight w:val="none"/>
          <w:lang w:val="en-US" w:eastAsia="zh-CN"/>
        </w:rPr>
        <w:t>载明</w:t>
      </w:r>
      <w:r>
        <w:rPr>
          <w:rFonts w:hint="eastAsia" w:eastAsia="宋体" w:cs="宋体"/>
          <w:bCs/>
          <w:sz w:val="21"/>
          <w:szCs w:val="21"/>
          <w:highlight w:val="none"/>
        </w:rPr>
        <w:t>的服务内容、预计服务面积，仅</w:t>
      </w:r>
      <w:r>
        <w:rPr>
          <w:rFonts w:hint="eastAsia" w:eastAsia="宋体" w:cs="宋体"/>
          <w:sz w:val="21"/>
          <w:szCs w:val="21"/>
          <w:highlight w:val="none"/>
          <w:lang w:val="en-US" w:eastAsia="zh-CN"/>
        </w:rPr>
        <w:t>为</w:t>
      </w:r>
      <w:r>
        <w:rPr>
          <w:rFonts w:hint="eastAsia" w:eastAsia="宋体" w:cs="宋体"/>
          <w:sz w:val="21"/>
          <w:szCs w:val="21"/>
          <w:highlight w:val="none"/>
        </w:rPr>
        <w:t>乙方投标时参考的物业基础信息，不作为甲方实际需求的保证。甲方</w:t>
      </w:r>
      <w:r>
        <w:rPr>
          <w:rFonts w:hint="eastAsia" w:eastAsia="宋体" w:cs="宋体"/>
          <w:sz w:val="21"/>
          <w:szCs w:val="21"/>
          <w:highlight w:val="none"/>
          <w:lang w:val="en-US" w:eastAsia="zh-CN"/>
        </w:rPr>
        <w:t>及权属分公司有权根据</w:t>
      </w:r>
      <w:r>
        <w:rPr>
          <w:rFonts w:hint="eastAsia" w:eastAsia="宋体" w:cs="宋体"/>
          <w:sz w:val="21"/>
          <w:szCs w:val="21"/>
          <w:highlight w:val="none"/>
        </w:rPr>
        <w:t>项目服务方案、项目投产进度、实际运营需求</w:t>
      </w:r>
      <w:r>
        <w:rPr>
          <w:rFonts w:hint="eastAsia" w:eastAsia="宋体" w:cs="宋体"/>
          <w:sz w:val="21"/>
          <w:szCs w:val="21"/>
          <w:highlight w:val="none"/>
          <w:lang w:eastAsia="zh-CN"/>
        </w:rPr>
        <w:t>，调整服务范围或服务面积（包括但不限于新增、减少服务点或调整服务面积）</w:t>
      </w:r>
      <w:r>
        <w:rPr>
          <w:rFonts w:hint="eastAsia" w:eastAsia="宋体" w:cs="宋体"/>
          <w:sz w:val="21"/>
          <w:szCs w:val="21"/>
          <w:highlight w:val="none"/>
        </w:rPr>
        <w:t>。调整前应提前10日向乙方出具书面通知，明确调整内容及后续服务要求。乙方</w:t>
      </w:r>
      <w:r>
        <w:rPr>
          <w:rFonts w:hint="eastAsia" w:eastAsia="宋体" w:cs="宋体"/>
          <w:sz w:val="21"/>
          <w:szCs w:val="21"/>
          <w:highlight w:val="none"/>
          <w:lang w:val="en-US" w:eastAsia="zh-CN"/>
        </w:rPr>
        <w:t>确认，已充分知晓服务需求可能发生调整；若调整导致乙方服务成本变化，服务费仍按本合同“七、服务金额及付款方式”的约定结算，除服务费以外甲方无需支付其他任何形式的补偿、赔偿或费用。</w:t>
      </w:r>
    </w:p>
    <w:p w14:paraId="7F61765B">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2" w:firstLineChars="200"/>
        <w:textAlignment w:val="auto"/>
        <w:rPr>
          <w:rFonts w:eastAsia="宋体" w:cs="宋体"/>
          <w:b/>
          <w:sz w:val="21"/>
          <w:szCs w:val="21"/>
          <w:highlight w:val="none"/>
        </w:rPr>
      </w:pPr>
      <w:r>
        <w:rPr>
          <w:rFonts w:hint="eastAsia" w:eastAsia="宋体" w:cs="宋体"/>
          <w:b/>
          <w:sz w:val="21"/>
          <w:szCs w:val="21"/>
          <w:highlight w:val="none"/>
        </w:rPr>
        <w:t xml:space="preserve"> </w:t>
      </w:r>
    </w:p>
    <w:p w14:paraId="43847CB8">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2" w:firstLineChars="200"/>
        <w:textAlignment w:val="auto"/>
        <w:outlineLvl w:val="1"/>
        <w:rPr>
          <w:rFonts w:eastAsia="宋体" w:cs="宋体"/>
          <w:b/>
          <w:bCs/>
          <w:sz w:val="21"/>
          <w:szCs w:val="21"/>
          <w:highlight w:val="none"/>
        </w:rPr>
      </w:pPr>
      <w:r>
        <w:rPr>
          <w:rFonts w:hint="eastAsia" w:eastAsia="宋体" w:cs="宋体"/>
          <w:b/>
          <w:bCs/>
          <w:sz w:val="21"/>
          <w:szCs w:val="21"/>
          <w:highlight w:val="none"/>
        </w:rPr>
        <w:t>十</w:t>
      </w:r>
      <w:r>
        <w:rPr>
          <w:rFonts w:hint="eastAsia" w:eastAsia="宋体" w:cs="宋体"/>
          <w:b/>
          <w:bCs/>
          <w:sz w:val="21"/>
          <w:szCs w:val="21"/>
          <w:highlight w:val="none"/>
          <w:lang w:val="en-US" w:eastAsia="zh-CN"/>
        </w:rPr>
        <w:t>四</w:t>
      </w:r>
      <w:r>
        <w:rPr>
          <w:rFonts w:hint="eastAsia" w:eastAsia="宋体" w:cs="宋体"/>
          <w:b/>
          <w:bCs/>
          <w:sz w:val="21"/>
          <w:szCs w:val="21"/>
          <w:highlight w:val="none"/>
        </w:rPr>
        <w:t>、送达地址及送达地址的约定</w:t>
      </w:r>
    </w:p>
    <w:p w14:paraId="5988E0E0">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bCs/>
          <w:sz w:val="21"/>
          <w:szCs w:val="21"/>
          <w:highlight w:val="none"/>
        </w:rPr>
      </w:pPr>
      <w:r>
        <w:rPr>
          <w:rFonts w:hint="eastAsia" w:eastAsia="宋体" w:cs="宋体"/>
          <w:bCs/>
          <w:sz w:val="21"/>
          <w:szCs w:val="21"/>
          <w:highlight w:val="none"/>
        </w:rPr>
        <w:t>1.本单位 / 人确认并声明以下送达信息为本单位负责人（代理人） / 本人所提供，且为协议项下所涉债务催收、诉讼（仲裁）法律文书送达地址和联系方式：</w:t>
      </w:r>
    </w:p>
    <w:p w14:paraId="41983C78">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bCs/>
          <w:sz w:val="21"/>
          <w:szCs w:val="21"/>
          <w:highlight w:val="none"/>
        </w:rPr>
      </w:pPr>
      <w:r>
        <w:rPr>
          <w:rFonts w:hint="eastAsia" w:eastAsia="宋体" w:cs="宋体"/>
          <w:bCs/>
          <w:sz w:val="21"/>
          <w:szCs w:val="21"/>
          <w:highlight w:val="none"/>
        </w:rPr>
        <w:t>甲方：送达地址：                 收件人（或代收人）：</w:t>
      </w:r>
    </w:p>
    <w:p w14:paraId="02FC2C98">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bCs/>
          <w:sz w:val="21"/>
          <w:szCs w:val="21"/>
          <w:highlight w:val="none"/>
        </w:rPr>
      </w:pPr>
      <w:r>
        <w:rPr>
          <w:rFonts w:hint="eastAsia" w:eastAsia="宋体" w:cs="宋体"/>
          <w:bCs/>
          <w:sz w:val="21"/>
          <w:szCs w:val="21"/>
          <w:highlight w:val="none"/>
        </w:rPr>
        <w:t>联系电话：                       电子邮箱：</w:t>
      </w:r>
    </w:p>
    <w:p w14:paraId="64D1A587">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bCs/>
          <w:sz w:val="21"/>
          <w:szCs w:val="21"/>
          <w:highlight w:val="none"/>
        </w:rPr>
      </w:pPr>
      <w:r>
        <w:rPr>
          <w:rFonts w:hint="eastAsia" w:eastAsia="宋体" w:cs="宋体"/>
          <w:bCs/>
          <w:sz w:val="21"/>
          <w:szCs w:val="21"/>
          <w:highlight w:val="none"/>
        </w:rPr>
        <w:t>乙方：送达地址：                 收件人（或代收人）：</w:t>
      </w:r>
    </w:p>
    <w:p w14:paraId="2E449496">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bCs/>
          <w:sz w:val="21"/>
          <w:szCs w:val="21"/>
          <w:highlight w:val="none"/>
        </w:rPr>
      </w:pPr>
      <w:r>
        <w:rPr>
          <w:rFonts w:hint="eastAsia" w:eastAsia="宋体" w:cs="宋体"/>
          <w:bCs/>
          <w:sz w:val="21"/>
          <w:szCs w:val="21"/>
          <w:highlight w:val="none"/>
        </w:rPr>
        <w:t>联系电话：                       电子邮箱：</w:t>
      </w:r>
    </w:p>
    <w:p w14:paraId="7D7E7115">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bCs/>
          <w:sz w:val="21"/>
          <w:szCs w:val="21"/>
          <w:highlight w:val="none"/>
        </w:rPr>
      </w:pPr>
      <w:r>
        <w:rPr>
          <w:rFonts w:hint="eastAsia" w:eastAsia="宋体" w:cs="宋体"/>
          <w:bCs/>
          <w:sz w:val="21"/>
          <w:szCs w:val="21"/>
          <w:highlight w:val="none"/>
        </w:rPr>
        <w:t>2.双方或人民法院按上述送达地址向对方邮寄、发送相关文书时，若发生送达不成情形（包括但不限于收件人身份不明、无人签收、地址不详、地址搬迁、长期未自取、电子数据被退回、拒收等），以文书退回之日视为送达之日；按上述邮寄地址直接送达文书时，若发生送达不成情形（包括但不限于无人签收、地址不详、地址搬迁、拒收等），可以采用留置或张贴文书的方式送达，以留置或张贴文书之日视为送达之日。</w:t>
      </w:r>
    </w:p>
    <w:p w14:paraId="250803BC">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2" w:firstLineChars="200"/>
        <w:textAlignment w:val="auto"/>
        <w:rPr>
          <w:rFonts w:eastAsia="宋体" w:cs="宋体"/>
          <w:b/>
          <w:bCs/>
          <w:sz w:val="21"/>
          <w:szCs w:val="21"/>
          <w:highlight w:val="none"/>
        </w:rPr>
      </w:pPr>
      <w:r>
        <w:rPr>
          <w:rFonts w:hint="eastAsia" w:eastAsia="宋体" w:cs="宋体"/>
          <w:b/>
          <w:bCs/>
          <w:sz w:val="21"/>
          <w:szCs w:val="21"/>
          <w:highlight w:val="none"/>
        </w:rPr>
        <w:t xml:space="preserve"> </w:t>
      </w:r>
    </w:p>
    <w:p w14:paraId="413F069E">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2" w:firstLineChars="200"/>
        <w:textAlignment w:val="auto"/>
        <w:outlineLvl w:val="1"/>
        <w:rPr>
          <w:rFonts w:eastAsia="宋体" w:cs="宋体"/>
          <w:b/>
          <w:bCs/>
          <w:sz w:val="21"/>
          <w:szCs w:val="21"/>
          <w:highlight w:val="none"/>
        </w:rPr>
      </w:pPr>
      <w:r>
        <w:rPr>
          <w:rFonts w:hint="eastAsia" w:eastAsia="宋体" w:cs="宋体"/>
          <w:b/>
          <w:bCs/>
          <w:sz w:val="21"/>
          <w:szCs w:val="21"/>
          <w:highlight w:val="none"/>
        </w:rPr>
        <w:t>十</w:t>
      </w:r>
      <w:r>
        <w:rPr>
          <w:rFonts w:hint="eastAsia" w:eastAsia="宋体" w:cs="宋体"/>
          <w:b/>
          <w:bCs/>
          <w:sz w:val="21"/>
          <w:szCs w:val="21"/>
          <w:highlight w:val="none"/>
          <w:lang w:val="en-US" w:eastAsia="zh-CN"/>
        </w:rPr>
        <w:t>五</w:t>
      </w:r>
      <w:r>
        <w:rPr>
          <w:rFonts w:hint="eastAsia" w:eastAsia="宋体" w:cs="宋体"/>
          <w:b/>
          <w:bCs/>
          <w:sz w:val="21"/>
          <w:szCs w:val="21"/>
          <w:highlight w:val="none"/>
        </w:rPr>
        <w:t>、争议解决</w:t>
      </w:r>
    </w:p>
    <w:p w14:paraId="5C5A6686">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sz w:val="21"/>
          <w:szCs w:val="21"/>
          <w:highlight w:val="none"/>
        </w:rPr>
      </w:pPr>
      <w:r>
        <w:rPr>
          <w:rFonts w:hint="eastAsia" w:eastAsia="宋体" w:cs="宋体"/>
          <w:sz w:val="21"/>
          <w:szCs w:val="21"/>
          <w:highlight w:val="none"/>
        </w:rPr>
        <w:t>双方因合同履行相关事宜发生争议的，由双方友好协商解决，若协商不成，任何一方有权向甲方住所地有管辖权的人民法院提出诉讼。</w:t>
      </w:r>
    </w:p>
    <w:p w14:paraId="24083BBB">
      <w:pPr>
        <w:pStyle w:val="33"/>
        <w:keepNext w:val="0"/>
        <w:keepLines w:val="0"/>
        <w:pageBreakBefore w:val="0"/>
        <w:widowControl w:val="0"/>
        <w:kinsoku/>
        <w:wordWrap/>
        <w:overflowPunct/>
        <w:topLinePunct w:val="0"/>
        <w:autoSpaceDE w:val="0"/>
        <w:autoSpaceDN w:val="0"/>
        <w:bidi w:val="0"/>
        <w:adjustRightInd/>
        <w:snapToGrid/>
        <w:spacing w:before="0" w:beforeAutospacing="0" w:after="0" w:afterAutospacing="0" w:line="360" w:lineRule="auto"/>
        <w:ind w:left="0" w:right="0" w:firstLine="422" w:firstLineChars="200"/>
        <w:contextualSpacing/>
        <w:textAlignment w:val="auto"/>
        <w:rPr>
          <w:rFonts w:eastAsia="宋体" w:cs="宋体"/>
          <w:sz w:val="21"/>
          <w:szCs w:val="21"/>
          <w:highlight w:val="none"/>
        </w:rPr>
      </w:pPr>
      <w:r>
        <w:rPr>
          <w:rFonts w:hint="eastAsia" w:eastAsia="宋体" w:cs="宋体"/>
          <w:b/>
          <w:bCs/>
          <w:kern w:val="0"/>
          <w:sz w:val="21"/>
          <w:szCs w:val="21"/>
          <w:highlight w:val="none"/>
          <w:lang w:bidi="ar"/>
        </w:rPr>
        <w:t xml:space="preserve"> </w:t>
      </w:r>
    </w:p>
    <w:p w14:paraId="106BC382">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2" w:firstLineChars="200"/>
        <w:textAlignment w:val="auto"/>
        <w:outlineLvl w:val="1"/>
        <w:rPr>
          <w:rFonts w:eastAsia="宋体" w:cs="宋体"/>
          <w:b/>
          <w:bCs/>
          <w:sz w:val="21"/>
          <w:szCs w:val="21"/>
          <w:highlight w:val="none"/>
        </w:rPr>
      </w:pPr>
      <w:r>
        <w:rPr>
          <w:rFonts w:hint="eastAsia" w:eastAsia="宋体" w:cs="宋体"/>
          <w:b/>
          <w:bCs/>
          <w:sz w:val="21"/>
          <w:szCs w:val="21"/>
          <w:highlight w:val="none"/>
        </w:rPr>
        <w:t>十</w:t>
      </w:r>
      <w:r>
        <w:rPr>
          <w:rFonts w:hint="eastAsia" w:eastAsia="宋体" w:cs="宋体"/>
          <w:b/>
          <w:bCs/>
          <w:sz w:val="21"/>
          <w:szCs w:val="21"/>
          <w:highlight w:val="none"/>
          <w:lang w:val="en-US" w:eastAsia="zh-CN"/>
        </w:rPr>
        <w:t>六</w:t>
      </w:r>
      <w:r>
        <w:rPr>
          <w:rFonts w:hint="eastAsia" w:eastAsia="宋体" w:cs="宋体"/>
          <w:b/>
          <w:bCs/>
          <w:sz w:val="21"/>
          <w:szCs w:val="21"/>
          <w:highlight w:val="none"/>
        </w:rPr>
        <w:t>、补充说明</w:t>
      </w:r>
    </w:p>
    <w:p w14:paraId="163A0549">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sz w:val="21"/>
          <w:szCs w:val="21"/>
          <w:highlight w:val="none"/>
        </w:rPr>
      </w:pPr>
      <w:r>
        <w:rPr>
          <w:rFonts w:hint="eastAsia" w:eastAsia="宋体" w:cs="宋体"/>
          <w:sz w:val="21"/>
          <w:szCs w:val="21"/>
          <w:highlight w:val="none"/>
        </w:rPr>
        <w:t>1、本合同如有未尽事宜，由甲、乙双方签订补充协议，补充协议与本合同具有同等的法律效力。</w:t>
      </w:r>
    </w:p>
    <w:p w14:paraId="48A868E4">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sz w:val="21"/>
          <w:szCs w:val="21"/>
          <w:highlight w:val="none"/>
        </w:rPr>
      </w:pPr>
      <w:r>
        <w:rPr>
          <w:rFonts w:hint="eastAsia" w:eastAsia="宋体" w:cs="宋体"/>
          <w:sz w:val="21"/>
          <w:szCs w:val="21"/>
          <w:highlight w:val="none"/>
        </w:rPr>
        <w:t>2、本合同所列之附件，均与本合同具有同等的法律效力。合同条款与附件、招标文件、用户需求书、投标文件等其他文件不一致的，以有利于甲方的约定/解释为准。</w:t>
      </w:r>
    </w:p>
    <w:p w14:paraId="7897089F">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sz w:val="21"/>
          <w:szCs w:val="21"/>
          <w:highlight w:val="none"/>
        </w:rPr>
      </w:pPr>
      <w:r>
        <w:rPr>
          <w:rFonts w:hint="eastAsia" w:eastAsia="宋体" w:cs="宋体"/>
          <w:sz w:val="21"/>
          <w:szCs w:val="21"/>
          <w:highlight w:val="none"/>
        </w:rPr>
        <w:t>3、本合同中提及的“没收履约担保”、“适当扣除履约担保”、“使用履约担保予以支付”、“启动履约担保”等，如履约担保为保证金形式的，则该含义为没收保证金、适当扣除保证金、直接使用保证金等；如履约担保为银行不可撤销履约保函（或担保公司履约担保书或</w:t>
      </w:r>
      <w:r>
        <w:rPr>
          <w:rFonts w:hint="eastAsia" w:eastAsia="宋体" w:cs="宋体"/>
          <w:sz w:val="21"/>
          <w:szCs w:val="21"/>
          <w:highlight w:val="none"/>
          <w:u w:val="single"/>
        </w:rPr>
        <w:t>履约保证保险形式</w:t>
      </w:r>
      <w:r>
        <w:rPr>
          <w:rFonts w:hint="eastAsia" w:eastAsia="宋体" w:cs="宋体"/>
          <w:sz w:val="21"/>
          <w:szCs w:val="21"/>
          <w:highlight w:val="none"/>
        </w:rPr>
        <w:t>），则该含义为：要求乙方承担与保函或履约担保书或履约保证保险同等金额的违约金，并向银行或担保公司或保险公司索赔。</w:t>
      </w:r>
    </w:p>
    <w:p w14:paraId="06CC0547">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eastAsia="宋体" w:cs="宋体"/>
          <w:sz w:val="21"/>
          <w:szCs w:val="21"/>
          <w:highlight w:val="none"/>
        </w:rPr>
      </w:pPr>
      <w:r>
        <w:rPr>
          <w:rFonts w:hint="default" w:eastAsia="宋体" w:cs="宋体"/>
          <w:sz w:val="21"/>
          <w:szCs w:val="21"/>
          <w:highlight w:val="none"/>
          <w:lang w:val="en-US"/>
        </w:rPr>
        <w:t>4</w:t>
      </w:r>
      <w:r>
        <w:rPr>
          <w:rFonts w:hint="eastAsia" w:eastAsia="宋体" w:cs="宋体"/>
          <w:sz w:val="21"/>
          <w:szCs w:val="21"/>
          <w:highlight w:val="none"/>
        </w:rPr>
        <w:t>、本合同一式</w:t>
      </w:r>
      <w:r>
        <w:rPr>
          <w:rFonts w:hint="eastAsia" w:eastAsia="宋体" w:cs="宋体"/>
          <w:sz w:val="21"/>
          <w:szCs w:val="21"/>
          <w:highlight w:val="none"/>
          <w:u w:val="single"/>
        </w:rPr>
        <w:t xml:space="preserve">   </w:t>
      </w:r>
      <w:r>
        <w:rPr>
          <w:rFonts w:hint="eastAsia" w:eastAsia="宋体" w:cs="宋体"/>
          <w:sz w:val="21"/>
          <w:szCs w:val="21"/>
          <w:highlight w:val="none"/>
        </w:rPr>
        <w:t>份，甲方执</w:t>
      </w:r>
      <w:r>
        <w:rPr>
          <w:rFonts w:hint="eastAsia" w:eastAsia="宋体" w:cs="宋体"/>
          <w:sz w:val="21"/>
          <w:szCs w:val="21"/>
          <w:highlight w:val="none"/>
          <w:u w:val="single"/>
        </w:rPr>
        <w:t xml:space="preserve">  </w:t>
      </w:r>
      <w:r>
        <w:rPr>
          <w:rFonts w:hint="eastAsia" w:eastAsia="宋体" w:cs="宋体"/>
          <w:sz w:val="21"/>
          <w:szCs w:val="21"/>
          <w:highlight w:val="none"/>
        </w:rPr>
        <w:t>份，乙方执</w:t>
      </w:r>
      <w:r>
        <w:rPr>
          <w:rFonts w:hint="eastAsia" w:eastAsia="宋体" w:cs="宋体"/>
          <w:sz w:val="21"/>
          <w:szCs w:val="21"/>
          <w:highlight w:val="none"/>
          <w:u w:val="single"/>
        </w:rPr>
        <w:t xml:space="preserve">   </w:t>
      </w:r>
      <w:r>
        <w:rPr>
          <w:rFonts w:hint="eastAsia" w:eastAsia="宋体" w:cs="宋体"/>
          <w:sz w:val="21"/>
          <w:szCs w:val="21"/>
          <w:highlight w:val="none"/>
        </w:rPr>
        <w:t>份，招标代理机构执壹份，均具有同等效力。本合同经双方法定代表人签名并盖章后生效。</w:t>
      </w:r>
    </w:p>
    <w:p w14:paraId="055CEAA1">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2" w:firstLineChars="200"/>
        <w:jc w:val="both"/>
        <w:textAlignment w:val="auto"/>
        <w:rPr>
          <w:rFonts w:eastAsia="宋体" w:cs="宋体"/>
          <w:b/>
          <w:sz w:val="21"/>
          <w:szCs w:val="21"/>
          <w:highlight w:val="none"/>
        </w:rPr>
      </w:pPr>
      <w:r>
        <w:rPr>
          <w:rFonts w:hint="eastAsia" w:eastAsia="宋体" w:cs="宋体"/>
          <w:b/>
          <w:sz w:val="21"/>
          <w:szCs w:val="21"/>
          <w:highlight w:val="none"/>
        </w:rPr>
        <w:t xml:space="preserve"> </w:t>
      </w:r>
    </w:p>
    <w:p w14:paraId="0F839D39">
      <w:pPr>
        <w:pStyle w:val="33"/>
        <w:spacing w:before="0" w:beforeAutospacing="0" w:after="0" w:afterAutospacing="0" w:line="360" w:lineRule="auto"/>
        <w:ind w:firstLine="422" w:firstLineChars="200"/>
        <w:outlineLvl w:val="1"/>
        <w:rPr>
          <w:rFonts w:eastAsia="宋体" w:cs="宋体"/>
          <w:b/>
          <w:sz w:val="21"/>
          <w:szCs w:val="21"/>
          <w:highlight w:val="none"/>
        </w:rPr>
      </w:pPr>
      <w:r>
        <w:rPr>
          <w:rFonts w:hint="eastAsia" w:eastAsia="宋体" w:cs="宋体"/>
          <w:b/>
          <w:sz w:val="21"/>
          <w:szCs w:val="21"/>
          <w:highlight w:val="none"/>
        </w:rPr>
        <w:t>附件：</w:t>
      </w:r>
    </w:p>
    <w:p w14:paraId="61F249FD">
      <w:pPr>
        <w:pStyle w:val="33"/>
        <w:spacing w:before="0" w:beforeAutospacing="0" w:after="0" w:afterAutospacing="0" w:line="360" w:lineRule="auto"/>
        <w:ind w:firstLine="420" w:firstLineChars="200"/>
        <w:jc w:val="both"/>
        <w:rPr>
          <w:rFonts w:eastAsia="宋体" w:cs="宋体"/>
          <w:sz w:val="21"/>
          <w:szCs w:val="21"/>
          <w:highlight w:val="none"/>
        </w:rPr>
      </w:pPr>
      <w:r>
        <w:rPr>
          <w:rFonts w:hint="eastAsia" w:eastAsia="宋体" w:cs="宋体"/>
          <w:sz w:val="21"/>
          <w:szCs w:val="21"/>
          <w:highlight w:val="none"/>
        </w:rPr>
        <w:t>附件一：用户需求书</w:t>
      </w:r>
    </w:p>
    <w:p w14:paraId="1BE61B0E">
      <w:pPr>
        <w:pStyle w:val="33"/>
        <w:spacing w:before="0" w:beforeAutospacing="0" w:after="0" w:afterAutospacing="0" w:line="360" w:lineRule="auto"/>
        <w:ind w:firstLine="420" w:firstLineChars="200"/>
        <w:jc w:val="both"/>
        <w:rPr>
          <w:rFonts w:eastAsia="宋体" w:cs="宋体"/>
          <w:sz w:val="21"/>
          <w:szCs w:val="21"/>
          <w:highlight w:val="none"/>
        </w:rPr>
      </w:pPr>
      <w:r>
        <w:rPr>
          <w:rFonts w:hint="eastAsia" w:eastAsia="宋体" w:cs="宋体"/>
          <w:sz w:val="21"/>
          <w:szCs w:val="21"/>
          <w:highlight w:val="none"/>
        </w:rPr>
        <w:t>附件二：《东莞市水务环境投资控股集团供水有限公司清洁保洁、绿化养护、除“四害”及灭蚁防治考核评分标准》及相关表格</w:t>
      </w:r>
    </w:p>
    <w:p w14:paraId="326A4DBB">
      <w:pPr>
        <w:pStyle w:val="33"/>
        <w:spacing w:before="0" w:beforeAutospacing="0" w:after="0" w:afterAutospacing="0" w:line="360" w:lineRule="auto"/>
        <w:ind w:firstLine="420" w:firstLineChars="200"/>
        <w:jc w:val="both"/>
        <w:rPr>
          <w:rFonts w:eastAsia="宋体" w:cs="宋体"/>
          <w:sz w:val="21"/>
          <w:szCs w:val="21"/>
          <w:highlight w:val="none"/>
        </w:rPr>
      </w:pPr>
      <w:r>
        <w:rPr>
          <w:rFonts w:hint="eastAsia" w:eastAsia="宋体" w:cs="宋体"/>
          <w:sz w:val="21"/>
          <w:szCs w:val="21"/>
          <w:highlight w:val="none"/>
        </w:rPr>
        <w:t>附件三：清洁保洁危险作业交底表</w:t>
      </w:r>
    </w:p>
    <w:p w14:paraId="078E1708">
      <w:pPr>
        <w:pStyle w:val="33"/>
        <w:spacing w:before="0" w:beforeAutospacing="0" w:after="0" w:afterAutospacing="0" w:line="360" w:lineRule="auto"/>
        <w:ind w:firstLine="420" w:firstLineChars="200"/>
        <w:jc w:val="both"/>
        <w:rPr>
          <w:rFonts w:eastAsia="宋体" w:cs="宋体"/>
          <w:sz w:val="21"/>
          <w:szCs w:val="21"/>
          <w:highlight w:val="none"/>
        </w:rPr>
      </w:pPr>
      <w:r>
        <w:rPr>
          <w:rFonts w:hint="eastAsia" w:eastAsia="宋体" w:cs="宋体"/>
          <w:sz w:val="21"/>
          <w:szCs w:val="21"/>
          <w:highlight w:val="none"/>
        </w:rPr>
        <w:t>附件四：廉洁协议书</w:t>
      </w:r>
    </w:p>
    <w:p w14:paraId="74294D7D">
      <w:pPr>
        <w:pStyle w:val="33"/>
        <w:spacing w:before="0" w:beforeAutospacing="0" w:after="0" w:afterAutospacing="0" w:line="360" w:lineRule="auto"/>
        <w:ind w:firstLine="420" w:firstLineChars="200"/>
        <w:jc w:val="both"/>
        <w:rPr>
          <w:rFonts w:hint="default" w:eastAsia="宋体" w:cs="宋体"/>
          <w:sz w:val="21"/>
          <w:szCs w:val="21"/>
          <w:highlight w:val="none"/>
          <w:lang w:val="en-US" w:eastAsia="zh-CN"/>
        </w:rPr>
      </w:pPr>
      <w:r>
        <w:rPr>
          <w:rFonts w:hint="eastAsia" w:eastAsia="宋体" w:cs="宋体"/>
          <w:sz w:val="21"/>
          <w:szCs w:val="21"/>
          <w:highlight w:val="none"/>
          <w:lang w:val="en-US" w:eastAsia="zh-CN"/>
        </w:rPr>
        <w:t>附件五：安全生产管理协议</w:t>
      </w:r>
    </w:p>
    <w:p w14:paraId="6F7CF756">
      <w:pPr>
        <w:pStyle w:val="33"/>
        <w:spacing w:before="0" w:beforeAutospacing="0" w:after="0" w:afterAutospacing="0" w:line="360" w:lineRule="auto"/>
        <w:ind w:firstLine="420" w:firstLineChars="200"/>
        <w:jc w:val="both"/>
        <w:rPr>
          <w:rFonts w:eastAsia="宋体" w:cs="宋体"/>
          <w:sz w:val="21"/>
          <w:szCs w:val="21"/>
          <w:highlight w:val="none"/>
        </w:rPr>
      </w:pPr>
      <w:r>
        <w:rPr>
          <w:rFonts w:hint="eastAsia" w:eastAsia="宋体" w:cs="宋体"/>
          <w:sz w:val="21"/>
          <w:szCs w:val="21"/>
          <w:highlight w:val="none"/>
        </w:rPr>
        <w:t>附件</w:t>
      </w:r>
      <w:r>
        <w:rPr>
          <w:rFonts w:hint="eastAsia" w:eastAsia="宋体" w:cs="宋体"/>
          <w:sz w:val="21"/>
          <w:szCs w:val="21"/>
          <w:highlight w:val="none"/>
          <w:lang w:val="en-US" w:eastAsia="zh-CN"/>
        </w:rPr>
        <w:t>六</w:t>
      </w:r>
      <w:r>
        <w:rPr>
          <w:rFonts w:hint="eastAsia" w:eastAsia="宋体" w:cs="宋体"/>
          <w:sz w:val="21"/>
          <w:szCs w:val="21"/>
          <w:highlight w:val="none"/>
        </w:rPr>
        <w:t>：中标通知书</w:t>
      </w:r>
    </w:p>
    <w:p w14:paraId="483F969F">
      <w:pPr>
        <w:pStyle w:val="33"/>
        <w:spacing w:before="0" w:beforeAutospacing="0" w:after="0" w:afterAutospacing="0" w:line="360" w:lineRule="auto"/>
        <w:ind w:firstLine="420" w:firstLineChars="200"/>
        <w:jc w:val="both"/>
        <w:rPr>
          <w:rFonts w:eastAsia="宋体" w:cs="宋体"/>
          <w:sz w:val="21"/>
          <w:szCs w:val="21"/>
          <w:highlight w:val="none"/>
        </w:rPr>
      </w:pPr>
      <w:r>
        <w:rPr>
          <w:rFonts w:hint="eastAsia" w:eastAsia="宋体" w:cs="宋体"/>
          <w:sz w:val="21"/>
          <w:szCs w:val="21"/>
          <w:highlight w:val="none"/>
        </w:rPr>
        <w:t>附件</w:t>
      </w:r>
      <w:r>
        <w:rPr>
          <w:rFonts w:hint="eastAsia" w:eastAsia="宋体" w:cs="宋体"/>
          <w:sz w:val="21"/>
          <w:szCs w:val="21"/>
          <w:highlight w:val="none"/>
          <w:lang w:val="en-US" w:eastAsia="zh-CN"/>
        </w:rPr>
        <w:t>七</w:t>
      </w:r>
      <w:r>
        <w:rPr>
          <w:rFonts w:hint="eastAsia" w:eastAsia="宋体" w:cs="宋体"/>
          <w:sz w:val="21"/>
          <w:szCs w:val="21"/>
          <w:highlight w:val="none"/>
        </w:rPr>
        <w:t>：清洁保洁、绿化养护及除四害</w:t>
      </w:r>
      <w:r>
        <w:rPr>
          <w:rFonts w:hint="eastAsia" w:eastAsia="宋体" w:cs="宋体"/>
          <w:sz w:val="21"/>
          <w:szCs w:val="21"/>
          <w:highlight w:val="none"/>
          <w:lang w:val="en-US" w:eastAsia="zh-CN"/>
        </w:rPr>
        <w:t>服务管理团队</w:t>
      </w:r>
      <w:r>
        <w:rPr>
          <w:rFonts w:hint="eastAsia" w:eastAsia="宋体" w:cs="宋体"/>
          <w:sz w:val="21"/>
          <w:szCs w:val="21"/>
          <w:highlight w:val="none"/>
        </w:rPr>
        <w:t>名单</w:t>
      </w:r>
    </w:p>
    <w:p w14:paraId="5534F969">
      <w:pPr>
        <w:pStyle w:val="33"/>
        <w:spacing w:before="0" w:beforeAutospacing="0" w:after="0" w:afterAutospacing="0" w:line="360" w:lineRule="auto"/>
        <w:ind w:firstLine="420" w:firstLineChars="200"/>
        <w:jc w:val="both"/>
        <w:rPr>
          <w:rFonts w:eastAsia="宋体" w:cs="宋体"/>
          <w:sz w:val="21"/>
          <w:szCs w:val="21"/>
          <w:highlight w:val="none"/>
        </w:rPr>
      </w:pPr>
      <w:r>
        <w:rPr>
          <w:rFonts w:hint="eastAsia" w:eastAsia="宋体" w:cs="宋体"/>
          <w:sz w:val="21"/>
          <w:szCs w:val="21"/>
          <w:highlight w:val="none"/>
        </w:rPr>
        <w:t>附件</w:t>
      </w:r>
      <w:r>
        <w:rPr>
          <w:rFonts w:hint="eastAsia" w:eastAsia="宋体" w:cs="宋体"/>
          <w:sz w:val="21"/>
          <w:szCs w:val="21"/>
          <w:highlight w:val="none"/>
          <w:lang w:val="en-US" w:eastAsia="zh-CN"/>
        </w:rPr>
        <w:t>八</w:t>
      </w:r>
      <w:r>
        <w:rPr>
          <w:rFonts w:hint="eastAsia" w:eastAsia="宋体" w:cs="宋体"/>
          <w:sz w:val="21"/>
          <w:szCs w:val="21"/>
          <w:highlight w:val="none"/>
        </w:rPr>
        <w:t>：服务费计价表</w:t>
      </w:r>
    </w:p>
    <w:p w14:paraId="5FD08A26">
      <w:pPr>
        <w:pStyle w:val="33"/>
        <w:spacing w:before="0" w:beforeAutospacing="0" w:after="0" w:afterAutospacing="0" w:line="360" w:lineRule="auto"/>
        <w:rPr>
          <w:rFonts w:eastAsia="宋体" w:cs="宋体"/>
          <w:b/>
          <w:bCs/>
          <w:sz w:val="21"/>
          <w:szCs w:val="21"/>
          <w:highlight w:val="none"/>
        </w:rPr>
      </w:pPr>
    </w:p>
    <w:p w14:paraId="64E09E57">
      <w:pPr>
        <w:pStyle w:val="33"/>
        <w:spacing w:before="0" w:beforeAutospacing="0" w:after="0" w:afterAutospacing="0" w:line="360" w:lineRule="auto"/>
        <w:ind w:firstLine="420"/>
        <w:rPr>
          <w:rFonts w:eastAsia="宋体" w:cs="宋体"/>
          <w:b/>
          <w:bCs/>
          <w:sz w:val="21"/>
          <w:szCs w:val="21"/>
          <w:highlight w:val="none"/>
        </w:rPr>
      </w:pPr>
      <w:r>
        <w:rPr>
          <w:rFonts w:hint="eastAsia" w:eastAsia="宋体" w:cs="宋体"/>
          <w:b/>
          <w:bCs/>
          <w:sz w:val="21"/>
          <w:szCs w:val="21"/>
          <w:highlight w:val="none"/>
        </w:rPr>
        <w:t>（以下无正文内容为签字盖章页）</w:t>
      </w:r>
    </w:p>
    <w:p w14:paraId="1DFEA6BC">
      <w:pPr>
        <w:pStyle w:val="33"/>
        <w:spacing w:before="0" w:beforeAutospacing="0" w:after="0" w:afterAutospacing="0" w:line="360" w:lineRule="auto"/>
        <w:rPr>
          <w:rFonts w:eastAsia="宋体" w:cs="宋体"/>
          <w:b/>
          <w:bCs/>
          <w:sz w:val="21"/>
          <w:szCs w:val="21"/>
          <w:highlight w:val="none"/>
        </w:rPr>
      </w:pPr>
    </w:p>
    <w:p w14:paraId="3601AB59">
      <w:pPr>
        <w:pStyle w:val="33"/>
        <w:spacing w:before="0" w:beforeAutospacing="0" w:after="0" w:afterAutospacing="0" w:line="360" w:lineRule="auto"/>
        <w:ind w:firstLine="420" w:firstLineChars="200"/>
        <w:rPr>
          <w:rFonts w:eastAsia="宋体" w:cs="宋体"/>
          <w:bCs/>
          <w:sz w:val="21"/>
          <w:szCs w:val="21"/>
          <w:highlight w:val="none"/>
        </w:rPr>
      </w:pPr>
      <w:r>
        <w:rPr>
          <w:rFonts w:hint="eastAsia" w:eastAsia="宋体" w:cs="宋体"/>
          <w:bCs/>
          <w:sz w:val="21"/>
          <w:szCs w:val="21"/>
          <w:highlight w:val="none"/>
        </w:rPr>
        <w:t>甲方：                                     乙方：</w:t>
      </w:r>
    </w:p>
    <w:p w14:paraId="33742976">
      <w:pPr>
        <w:pStyle w:val="33"/>
        <w:spacing w:before="0" w:beforeAutospacing="0" w:after="0" w:afterAutospacing="0" w:line="360" w:lineRule="auto"/>
        <w:ind w:firstLine="420" w:firstLineChars="200"/>
        <w:rPr>
          <w:rFonts w:eastAsia="宋体" w:cs="宋体"/>
          <w:bCs/>
          <w:sz w:val="21"/>
          <w:szCs w:val="21"/>
          <w:highlight w:val="none"/>
        </w:rPr>
      </w:pPr>
      <w:r>
        <w:rPr>
          <w:rFonts w:hint="eastAsia" w:eastAsia="宋体" w:cs="宋体"/>
          <w:bCs/>
          <w:sz w:val="21"/>
          <w:szCs w:val="21"/>
          <w:highlight w:val="none"/>
        </w:rPr>
        <w:t>法定代表人：                               法定代表人：</w:t>
      </w:r>
    </w:p>
    <w:p w14:paraId="35A040FA">
      <w:pPr>
        <w:pStyle w:val="33"/>
        <w:spacing w:before="0" w:beforeAutospacing="0" w:after="0" w:afterAutospacing="0" w:line="360" w:lineRule="auto"/>
        <w:ind w:firstLine="420" w:firstLineChars="200"/>
        <w:rPr>
          <w:rFonts w:eastAsia="宋体" w:cs="宋体"/>
          <w:bCs/>
          <w:sz w:val="21"/>
          <w:szCs w:val="21"/>
          <w:highlight w:val="none"/>
        </w:rPr>
      </w:pPr>
      <w:r>
        <w:rPr>
          <w:rFonts w:hint="eastAsia" w:eastAsia="宋体" w:cs="宋体"/>
          <w:bCs/>
          <w:sz w:val="21"/>
          <w:szCs w:val="21"/>
          <w:highlight w:val="none"/>
        </w:rPr>
        <w:t>地址：                                     地址：</w:t>
      </w:r>
    </w:p>
    <w:p w14:paraId="2C59B2CA">
      <w:pPr>
        <w:pStyle w:val="33"/>
        <w:spacing w:before="0" w:beforeAutospacing="0" w:after="0" w:afterAutospacing="0" w:line="360" w:lineRule="auto"/>
        <w:ind w:firstLine="420" w:firstLineChars="200"/>
        <w:rPr>
          <w:rFonts w:eastAsia="宋体" w:cs="宋体"/>
          <w:bCs/>
          <w:sz w:val="21"/>
          <w:szCs w:val="21"/>
          <w:highlight w:val="none"/>
        </w:rPr>
      </w:pPr>
      <w:r>
        <w:rPr>
          <w:rFonts w:hint="eastAsia" w:eastAsia="宋体" w:cs="宋体"/>
          <w:bCs/>
          <w:sz w:val="21"/>
          <w:szCs w:val="21"/>
          <w:highlight w:val="none"/>
        </w:rPr>
        <w:t>联系电话：                                 联系电话：</w:t>
      </w:r>
    </w:p>
    <w:p w14:paraId="56FF34F0">
      <w:pPr>
        <w:pStyle w:val="33"/>
        <w:spacing w:before="0" w:beforeAutospacing="0" w:after="0" w:afterAutospacing="0" w:line="360" w:lineRule="auto"/>
        <w:ind w:firstLine="420" w:firstLineChars="200"/>
        <w:rPr>
          <w:rFonts w:eastAsia="宋体" w:cs="宋体"/>
          <w:bCs/>
          <w:sz w:val="21"/>
          <w:szCs w:val="21"/>
          <w:highlight w:val="none"/>
        </w:rPr>
      </w:pPr>
      <w:r>
        <w:rPr>
          <w:rFonts w:hint="eastAsia" w:eastAsia="宋体" w:cs="宋体"/>
          <w:bCs/>
          <w:sz w:val="21"/>
          <w:szCs w:val="21"/>
          <w:highlight w:val="none"/>
        </w:rPr>
        <w:t xml:space="preserve">签订日期：                               </w:t>
      </w:r>
    </w:p>
    <w:p w14:paraId="3EB9EAFF">
      <w:pPr>
        <w:pStyle w:val="33"/>
        <w:spacing w:before="0" w:beforeAutospacing="0" w:after="0" w:afterAutospacing="0" w:line="360" w:lineRule="auto"/>
        <w:ind w:firstLine="420" w:firstLineChars="200"/>
        <w:rPr>
          <w:rFonts w:eastAsia="宋体" w:cs="宋体"/>
          <w:sz w:val="21"/>
          <w:szCs w:val="21"/>
          <w:highlight w:val="none"/>
        </w:rPr>
      </w:pPr>
      <w:r>
        <w:rPr>
          <w:rFonts w:hint="eastAsia" w:eastAsia="宋体" w:cs="宋体"/>
          <w:bCs/>
          <w:sz w:val="21"/>
          <w:szCs w:val="21"/>
          <w:highlight w:val="none"/>
        </w:rPr>
        <w:t>本合同签订于</w:t>
      </w:r>
      <w:r>
        <w:rPr>
          <w:rFonts w:hint="eastAsia" w:eastAsia="宋体" w:cs="宋体"/>
          <w:bCs/>
          <w:sz w:val="21"/>
          <w:szCs w:val="21"/>
          <w:highlight w:val="none"/>
          <w:lang w:eastAsia="zh-CN"/>
        </w:rPr>
        <w:t>东莞市水务环境投资控股集团供水有限公司</w:t>
      </w:r>
    </w:p>
    <w:p w14:paraId="607F9C7E">
      <w:pPr>
        <w:pStyle w:val="33"/>
        <w:autoSpaceDE w:val="0"/>
        <w:spacing w:before="0" w:after="0" w:line="360" w:lineRule="auto"/>
        <w:rPr>
          <w:rFonts w:eastAsia="宋体" w:cs="宋体"/>
          <w:b/>
          <w:bCs/>
          <w:sz w:val="21"/>
          <w:szCs w:val="21"/>
          <w:highlight w:val="none"/>
        </w:rPr>
      </w:pPr>
      <w:r>
        <w:rPr>
          <w:rFonts w:hint="eastAsia" w:eastAsia="宋体" w:cs="宋体"/>
          <w:b/>
          <w:bCs/>
          <w:kern w:val="0"/>
          <w:sz w:val="21"/>
          <w:szCs w:val="21"/>
          <w:highlight w:val="none"/>
          <w:lang w:bidi="ar"/>
        </w:rPr>
        <w:br w:type="page"/>
      </w:r>
    </w:p>
    <w:p w14:paraId="77AEDDE1">
      <w:pPr>
        <w:pStyle w:val="5"/>
        <w:widowControl/>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附件一：用户需求书</w:t>
      </w:r>
    </w:p>
    <w:p w14:paraId="61D5F43A">
      <w:pPr>
        <w:autoSpaceDE w:val="0"/>
        <w:autoSpaceDN w:val="0"/>
        <w:adjustRightInd w:val="0"/>
        <w:spacing w:line="360" w:lineRule="auto"/>
        <w:jc w:val="left"/>
        <w:rPr>
          <w:rFonts w:hint="eastAsia" w:ascii="宋体" w:hAnsi="宋体" w:eastAsia="宋体" w:cs="宋体"/>
          <w:sz w:val="21"/>
          <w:szCs w:val="21"/>
          <w:highlight w:val="none"/>
        </w:rPr>
      </w:pPr>
    </w:p>
    <w:p w14:paraId="15A57DDF">
      <w:pPr>
        <w:autoSpaceDE w:val="0"/>
        <w:autoSpaceDN w:val="0"/>
        <w:adjustRightInd w:val="0"/>
        <w:spacing w:line="360" w:lineRule="auto"/>
        <w:jc w:val="left"/>
        <w:rPr>
          <w:rFonts w:hint="eastAsia" w:ascii="宋体" w:hAnsi="宋体" w:eastAsia="宋体" w:cs="宋体"/>
          <w:sz w:val="21"/>
          <w:szCs w:val="21"/>
          <w:highlight w:val="none"/>
        </w:rPr>
      </w:pPr>
    </w:p>
    <w:p w14:paraId="0BCEE026">
      <w:pPr>
        <w:rPr>
          <w:rFonts w:hint="eastAsia" w:ascii="宋体" w:hAnsi="宋体" w:eastAsia="宋体" w:cs="宋体"/>
          <w:b/>
          <w:sz w:val="21"/>
          <w:szCs w:val="21"/>
          <w:highlight w:val="none"/>
        </w:rPr>
      </w:pPr>
      <w:r>
        <w:rPr>
          <w:rFonts w:hint="eastAsia" w:ascii="宋体" w:hAnsi="宋体" w:eastAsia="宋体" w:cs="宋体"/>
          <w:b/>
          <w:sz w:val="21"/>
          <w:szCs w:val="21"/>
          <w:highlight w:val="none"/>
        </w:rPr>
        <w:br w:type="page"/>
      </w:r>
    </w:p>
    <w:p w14:paraId="19CEFFBD">
      <w:pPr>
        <w:pStyle w:val="5"/>
        <w:widowControl/>
        <w:spacing w:line="360" w:lineRule="auto"/>
        <w:rPr>
          <w:rFonts w:hint="eastAsia" w:ascii="宋体" w:hAnsi="宋体" w:eastAsia="宋体" w:cs="宋体"/>
          <w:b/>
          <w:sz w:val="21"/>
          <w:szCs w:val="21"/>
          <w:highlight w:val="none"/>
          <w:lang w:eastAsia="zh-CN"/>
        </w:rPr>
      </w:pPr>
      <w:r>
        <w:rPr>
          <w:rFonts w:hint="eastAsia" w:ascii="宋体" w:hAnsi="宋体" w:eastAsia="宋体" w:cs="宋体"/>
          <w:b/>
          <w:sz w:val="21"/>
          <w:szCs w:val="21"/>
          <w:highlight w:val="none"/>
        </w:rPr>
        <w:t>附件二：</w:t>
      </w:r>
      <w:r>
        <w:rPr>
          <w:rFonts w:hint="eastAsia" w:hAnsi="宋体" w:cs="宋体"/>
          <w:b/>
          <w:sz w:val="21"/>
          <w:szCs w:val="21"/>
          <w:highlight w:val="none"/>
          <w:lang w:eastAsia="zh-CN"/>
        </w:rPr>
        <w:t>《东莞市水务环境投资控股集团供水有限公司清洁保洁、绿化养护、除“四害”及灭蚁防治考核评分标准》及相关表格</w:t>
      </w:r>
    </w:p>
    <w:p w14:paraId="6822FA6A">
      <w:pPr>
        <w:autoSpaceDE w:val="0"/>
        <w:autoSpaceDN w:val="0"/>
        <w:adjustRightInd w:val="0"/>
        <w:spacing w:line="360" w:lineRule="auto"/>
        <w:jc w:val="center"/>
        <w:rPr>
          <w:rFonts w:hint="eastAsia" w:ascii="宋体" w:hAnsi="宋体" w:eastAsia="宋体" w:cs="宋体"/>
          <w:b/>
          <w:kern w:val="0"/>
          <w:sz w:val="21"/>
          <w:szCs w:val="21"/>
          <w:highlight w:val="none"/>
          <w:lang w:bidi="ar"/>
        </w:rPr>
      </w:pPr>
      <w:r>
        <w:rPr>
          <w:rFonts w:hint="eastAsia" w:ascii="宋体" w:hAnsi="宋体" w:eastAsia="宋体" w:cs="宋体"/>
          <w:b/>
          <w:kern w:val="0"/>
          <w:sz w:val="21"/>
          <w:szCs w:val="21"/>
          <w:highlight w:val="none"/>
          <w:lang w:bidi="ar"/>
        </w:rPr>
        <w:t>2.1《</w:t>
      </w:r>
      <w:r>
        <w:rPr>
          <w:rFonts w:hint="eastAsia" w:ascii="宋体" w:hAnsi="宋体" w:eastAsia="宋体" w:cs="宋体"/>
          <w:b/>
          <w:kern w:val="0"/>
          <w:sz w:val="21"/>
          <w:szCs w:val="21"/>
          <w:highlight w:val="none"/>
          <w:lang w:eastAsia="zh-CN" w:bidi="ar"/>
        </w:rPr>
        <w:t>东莞市水务环境投资控股集团供水有限公司</w:t>
      </w:r>
      <w:r>
        <w:rPr>
          <w:rFonts w:hint="eastAsia" w:ascii="宋体" w:hAnsi="宋体" w:eastAsia="宋体" w:cs="宋体"/>
          <w:b/>
          <w:kern w:val="0"/>
          <w:sz w:val="21"/>
          <w:szCs w:val="21"/>
          <w:highlight w:val="none"/>
          <w:lang w:bidi="ar"/>
        </w:rPr>
        <w:t>清洁保洁、绿化养护、除“四害”及灭蚁防治考核评分标准（适用于室内办公区清洁保洁项目）》</w:t>
      </w:r>
    </w:p>
    <w:tbl>
      <w:tblPr>
        <w:tblStyle w:val="37"/>
        <w:tblW w:w="4991" w:type="pct"/>
        <w:tblInd w:w="0" w:type="dxa"/>
        <w:tblLayout w:type="autofit"/>
        <w:tblCellMar>
          <w:top w:w="0" w:type="dxa"/>
          <w:left w:w="108" w:type="dxa"/>
          <w:bottom w:w="0" w:type="dxa"/>
          <w:right w:w="108" w:type="dxa"/>
        </w:tblCellMar>
      </w:tblPr>
      <w:tblGrid>
        <w:gridCol w:w="888"/>
        <w:gridCol w:w="903"/>
        <w:gridCol w:w="891"/>
        <w:gridCol w:w="2496"/>
        <w:gridCol w:w="2021"/>
        <w:gridCol w:w="915"/>
        <w:gridCol w:w="897"/>
        <w:gridCol w:w="933"/>
      </w:tblGrid>
      <w:tr w14:paraId="333DF09E">
        <w:tblPrEx>
          <w:tblCellMar>
            <w:top w:w="0" w:type="dxa"/>
            <w:left w:w="108" w:type="dxa"/>
            <w:bottom w:w="0" w:type="dxa"/>
            <w:right w:w="108" w:type="dxa"/>
          </w:tblCellMar>
        </w:tblPrEx>
        <w:trPr>
          <w:trHeight w:val="300" w:hRule="atLeast"/>
        </w:trPr>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8E387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15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51153D1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现场考核</w:t>
            </w:r>
          </w:p>
        </w:tc>
        <w:tc>
          <w:tcPr>
            <w:tcW w:w="101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17B25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扣分办法</w:t>
            </w:r>
          </w:p>
        </w:tc>
        <w:tc>
          <w:tcPr>
            <w:tcW w:w="45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BBC30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应 得 分</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D4DD6C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检查扣分</w:t>
            </w: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F980310">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实 得 分</w:t>
            </w:r>
          </w:p>
        </w:tc>
      </w:tr>
      <w:tr w14:paraId="3606AA86">
        <w:tblPrEx>
          <w:tblCellMar>
            <w:top w:w="0" w:type="dxa"/>
            <w:left w:w="108" w:type="dxa"/>
            <w:bottom w:w="0" w:type="dxa"/>
            <w:right w:w="108" w:type="dxa"/>
          </w:tblCellMar>
        </w:tblPrEx>
        <w:trPr>
          <w:trHeight w:val="52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509FAF">
            <w:pPr>
              <w:jc w:val="center"/>
              <w:rPr>
                <w:rFonts w:ascii="宋体" w:hAnsi="宋体" w:eastAsia="宋体" w:cs="宋体"/>
                <w:color w:val="auto"/>
                <w:szCs w:val="21"/>
                <w:highlight w:val="none"/>
              </w:rPr>
            </w:pPr>
          </w:p>
        </w:tc>
        <w:tc>
          <w:tcPr>
            <w:tcW w:w="4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A34F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满分值</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494A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330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评价依据及检查方法</w:t>
            </w:r>
          </w:p>
        </w:tc>
        <w:tc>
          <w:tcPr>
            <w:tcW w:w="101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9842413">
            <w:pPr>
              <w:jc w:val="center"/>
              <w:rPr>
                <w:rFonts w:ascii="宋体" w:hAnsi="宋体" w:eastAsia="宋体" w:cs="宋体"/>
                <w:color w:val="auto"/>
                <w:szCs w:val="21"/>
                <w:highlight w:val="none"/>
              </w:rPr>
            </w:pPr>
          </w:p>
        </w:tc>
        <w:tc>
          <w:tcPr>
            <w:tcW w:w="45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F4C4A4">
            <w:pPr>
              <w:jc w:val="center"/>
              <w:rPr>
                <w:rFonts w:ascii="宋体" w:hAnsi="宋体" w:eastAsia="宋体" w:cs="宋体"/>
                <w:color w:val="auto"/>
                <w:szCs w:val="21"/>
                <w:highlight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4698B">
            <w:pPr>
              <w:jc w:val="center"/>
              <w:rPr>
                <w:rFonts w:ascii="宋体" w:hAnsi="宋体" w:eastAsia="宋体" w:cs="宋体"/>
                <w:color w:val="auto"/>
                <w:szCs w:val="21"/>
                <w:highlight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85105A">
            <w:pPr>
              <w:jc w:val="center"/>
              <w:rPr>
                <w:rFonts w:ascii="宋体" w:hAnsi="宋体" w:eastAsia="宋体" w:cs="宋体"/>
                <w:color w:val="auto"/>
                <w:szCs w:val="21"/>
                <w:highlight w:val="none"/>
              </w:rPr>
            </w:pPr>
          </w:p>
        </w:tc>
      </w:tr>
      <w:tr w14:paraId="7A8EA4EC">
        <w:tblPrEx>
          <w:tblCellMar>
            <w:top w:w="0" w:type="dxa"/>
            <w:left w:w="108" w:type="dxa"/>
            <w:bottom w:w="0" w:type="dxa"/>
            <w:right w:w="108" w:type="dxa"/>
          </w:tblCellMar>
        </w:tblPrEx>
        <w:trPr>
          <w:trHeight w:val="1020" w:hRule="atLeast"/>
        </w:trPr>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975A3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161AE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default" w:ascii="宋体" w:hAnsi="宋体" w:eastAsia="宋体" w:cs="宋体"/>
                <w:color w:val="auto"/>
                <w:kern w:val="0"/>
                <w:szCs w:val="21"/>
                <w:highlight w:val="none"/>
                <w:lang w:val="en-US" w:bidi="ar"/>
              </w:rPr>
              <w:t>5</w:t>
            </w:r>
            <w:r>
              <w:rPr>
                <w:rFonts w:hint="eastAsia" w:ascii="宋体" w:hAnsi="宋体" w:eastAsia="宋体" w:cs="宋体"/>
                <w:color w:val="auto"/>
                <w:kern w:val="0"/>
                <w:szCs w:val="21"/>
                <w:highlight w:val="none"/>
                <w:lang w:bidi="ar"/>
              </w:rPr>
              <w:t>分</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D38780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日常制度</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581E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对</w:t>
            </w:r>
            <w:r>
              <w:rPr>
                <w:rFonts w:hint="default" w:ascii="宋体" w:hAnsi="宋体" w:eastAsia="宋体" w:cs="宋体"/>
                <w:color w:val="auto"/>
                <w:kern w:val="0"/>
                <w:szCs w:val="21"/>
                <w:highlight w:val="none"/>
                <w:lang w:val="en-US" w:bidi="ar"/>
              </w:rPr>
              <w:t>甲方</w:t>
            </w:r>
            <w:r>
              <w:rPr>
                <w:rFonts w:hint="eastAsia" w:ascii="宋体" w:hAnsi="宋体" w:eastAsia="宋体" w:cs="宋体"/>
                <w:color w:val="auto"/>
                <w:kern w:val="0"/>
                <w:szCs w:val="21"/>
                <w:highlight w:val="none"/>
                <w:lang w:bidi="ar"/>
              </w:rPr>
              <w:t>提出的问题，需按要求及时整改反馈。</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C889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没及时整改处理的，每次扣1分，扣完为止。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43433A">
            <w:pPr>
              <w:widowControl/>
              <w:jc w:val="center"/>
              <w:textAlignment w:val="center"/>
              <w:rPr>
                <w:rFonts w:hint="eastAsia" w:ascii="宋体" w:hAnsi="宋体" w:eastAsia="宋体" w:cs="宋体"/>
                <w:color w:val="auto"/>
                <w:szCs w:val="21"/>
                <w:highlight w:val="none"/>
                <w:lang w:eastAsia="zh-CN"/>
              </w:rPr>
            </w:pPr>
            <w:r>
              <w:rPr>
                <w:rFonts w:hint="default" w:ascii="宋体" w:hAnsi="宋体" w:eastAsia="宋体" w:cs="宋体"/>
                <w:color w:val="auto"/>
                <w:kern w:val="0"/>
                <w:szCs w:val="21"/>
                <w:highlight w:val="none"/>
                <w:lang w:val="en-US"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728B5">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988394">
            <w:pPr>
              <w:jc w:val="left"/>
              <w:rPr>
                <w:rFonts w:ascii="宋体" w:hAnsi="宋体" w:eastAsia="宋体" w:cs="宋体"/>
                <w:color w:val="auto"/>
                <w:szCs w:val="21"/>
                <w:highlight w:val="none"/>
              </w:rPr>
            </w:pPr>
          </w:p>
        </w:tc>
      </w:tr>
      <w:tr w14:paraId="62CC00C3">
        <w:tblPrEx>
          <w:tblCellMar>
            <w:top w:w="0" w:type="dxa"/>
            <w:left w:w="108" w:type="dxa"/>
            <w:bottom w:w="0" w:type="dxa"/>
            <w:right w:w="108" w:type="dxa"/>
          </w:tblCellMar>
        </w:tblPrEx>
        <w:trPr>
          <w:trHeight w:val="112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AE3B900">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712A7">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E3094EF">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B0CB1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穿统一工作服，不能出现如穿拖鞋、</w:t>
            </w:r>
            <w:r>
              <w:rPr>
                <w:rFonts w:hint="eastAsia" w:ascii="宋体" w:hAnsi="宋体" w:eastAsia="宋体" w:cs="宋体"/>
                <w:color w:val="auto"/>
                <w:kern w:val="0"/>
                <w:szCs w:val="21"/>
                <w:highlight w:val="none"/>
                <w:lang w:val="en-US" w:eastAsia="zh-CN" w:bidi="ar"/>
              </w:rPr>
              <w:t>高跟鞋、着装不整齐者</w:t>
            </w:r>
            <w:r>
              <w:rPr>
                <w:rFonts w:hint="eastAsia" w:ascii="宋体" w:hAnsi="宋体" w:eastAsia="宋体" w:cs="宋体"/>
                <w:color w:val="auto"/>
                <w:kern w:val="0"/>
                <w:szCs w:val="21"/>
                <w:highlight w:val="none"/>
                <w:lang w:bidi="ar"/>
              </w:rPr>
              <w:t>等。</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631A5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未按要求</w:t>
            </w:r>
            <w:r>
              <w:rPr>
                <w:rFonts w:hint="eastAsia" w:ascii="宋体" w:hAnsi="宋体" w:eastAsia="宋体" w:cs="宋体"/>
                <w:color w:val="auto"/>
                <w:kern w:val="0"/>
                <w:szCs w:val="21"/>
                <w:highlight w:val="none"/>
                <w:lang w:bidi="ar"/>
              </w:rPr>
              <w:t>着装者，每人次扣1分，扣完为止。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2ACDE">
            <w:pPr>
              <w:widowControl/>
              <w:jc w:val="center"/>
              <w:textAlignment w:val="center"/>
              <w:rPr>
                <w:rFonts w:hint="eastAsia" w:ascii="宋体" w:hAnsi="宋体" w:eastAsia="宋体" w:cs="宋体"/>
                <w:color w:val="auto"/>
                <w:szCs w:val="21"/>
                <w:highlight w:val="none"/>
                <w:lang w:eastAsia="zh-CN"/>
              </w:rPr>
            </w:pPr>
            <w:r>
              <w:rPr>
                <w:rFonts w:hint="default" w:ascii="宋体" w:hAnsi="宋体" w:eastAsia="宋体" w:cs="宋体"/>
                <w:color w:val="auto"/>
                <w:kern w:val="0"/>
                <w:szCs w:val="21"/>
                <w:highlight w:val="none"/>
                <w:lang w:val="en-US"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0A620E">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8510C4">
            <w:pPr>
              <w:jc w:val="left"/>
              <w:rPr>
                <w:rFonts w:ascii="宋体" w:hAnsi="宋体" w:eastAsia="宋体" w:cs="宋体"/>
                <w:color w:val="auto"/>
                <w:szCs w:val="21"/>
                <w:highlight w:val="none"/>
              </w:rPr>
            </w:pPr>
          </w:p>
        </w:tc>
      </w:tr>
      <w:tr w14:paraId="4E20C955">
        <w:tblPrEx>
          <w:tblCellMar>
            <w:top w:w="0" w:type="dxa"/>
            <w:left w:w="108" w:type="dxa"/>
            <w:bottom w:w="0" w:type="dxa"/>
            <w:right w:w="108" w:type="dxa"/>
          </w:tblCellMar>
        </w:tblPrEx>
        <w:trPr>
          <w:trHeight w:val="96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F8987">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F54BED">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E60E69">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894D8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现场负责人要向</w:t>
            </w:r>
            <w:r>
              <w:rPr>
                <w:rFonts w:hint="default" w:ascii="宋体" w:hAnsi="宋体" w:eastAsia="宋体" w:cs="宋体"/>
                <w:color w:val="auto"/>
                <w:kern w:val="0"/>
                <w:szCs w:val="21"/>
                <w:highlight w:val="none"/>
                <w:lang w:val="en-US" w:bidi="ar"/>
              </w:rPr>
              <w:t>甲方</w:t>
            </w:r>
            <w:r>
              <w:rPr>
                <w:rFonts w:hint="eastAsia" w:ascii="宋体" w:hAnsi="宋体" w:eastAsia="宋体" w:cs="宋体"/>
                <w:color w:val="auto"/>
                <w:kern w:val="0"/>
                <w:szCs w:val="21"/>
                <w:highlight w:val="none"/>
                <w:lang w:bidi="ar"/>
              </w:rPr>
              <w:t>对应管理部门书面请假批准后才能离岗。</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D502E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擅自离岗者，每人次扣1分,扣完为止。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629AE">
            <w:pPr>
              <w:widowControl/>
              <w:jc w:val="center"/>
              <w:textAlignment w:val="center"/>
              <w:rPr>
                <w:rFonts w:hint="eastAsia" w:ascii="宋体" w:hAnsi="宋体" w:eastAsia="宋体" w:cs="宋体"/>
                <w:color w:val="auto"/>
                <w:szCs w:val="21"/>
                <w:highlight w:val="none"/>
                <w:lang w:eastAsia="zh-CN"/>
              </w:rPr>
            </w:pPr>
            <w:r>
              <w:rPr>
                <w:rFonts w:hint="default" w:ascii="宋体" w:hAnsi="宋体" w:eastAsia="宋体" w:cs="宋体"/>
                <w:color w:val="auto"/>
                <w:kern w:val="0"/>
                <w:szCs w:val="21"/>
                <w:highlight w:val="none"/>
                <w:lang w:val="en-US"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52B1D">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7D83EB">
            <w:pPr>
              <w:jc w:val="left"/>
              <w:rPr>
                <w:rFonts w:ascii="宋体" w:hAnsi="宋体" w:eastAsia="宋体" w:cs="宋体"/>
                <w:color w:val="auto"/>
                <w:szCs w:val="21"/>
                <w:highlight w:val="none"/>
              </w:rPr>
            </w:pPr>
          </w:p>
        </w:tc>
      </w:tr>
      <w:tr w14:paraId="36AEEF86">
        <w:tblPrEx>
          <w:tblCellMar>
            <w:top w:w="0" w:type="dxa"/>
            <w:left w:w="108" w:type="dxa"/>
            <w:bottom w:w="0" w:type="dxa"/>
            <w:right w:w="108" w:type="dxa"/>
          </w:tblCellMar>
        </w:tblPrEx>
        <w:trPr>
          <w:trHeight w:val="840" w:hRule="atLeast"/>
        </w:trPr>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83172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7962B4">
            <w:pPr>
              <w:widowControl/>
              <w:jc w:val="center"/>
              <w:textAlignment w:val="center"/>
              <w:rPr>
                <w:rFonts w:ascii="宋体" w:hAnsi="宋体" w:eastAsia="宋体" w:cs="宋体"/>
                <w:color w:val="auto"/>
                <w:szCs w:val="21"/>
                <w:highlight w:val="none"/>
              </w:rPr>
            </w:pPr>
            <w:r>
              <w:rPr>
                <w:rFonts w:hint="default" w:ascii="宋体" w:hAnsi="宋体" w:eastAsia="宋体" w:cs="宋体"/>
                <w:color w:val="auto"/>
                <w:kern w:val="0"/>
                <w:szCs w:val="21"/>
                <w:highlight w:val="none"/>
                <w:lang w:val="en-US" w:bidi="ar"/>
              </w:rPr>
              <w:t>30</w:t>
            </w:r>
            <w:r>
              <w:rPr>
                <w:rFonts w:hint="eastAsia" w:ascii="宋体" w:hAnsi="宋体" w:eastAsia="宋体" w:cs="宋体"/>
                <w:color w:val="auto"/>
                <w:kern w:val="0"/>
                <w:szCs w:val="21"/>
                <w:highlight w:val="none"/>
                <w:lang w:bidi="ar"/>
              </w:rPr>
              <w:t>分</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5AEA6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清洁保洁服务工作纪律</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CEFDA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遵守公司清洁排班表,不迟到,不早退,不旷工。</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FD87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D76C8E">
            <w:pPr>
              <w:widowControl/>
              <w:jc w:val="center"/>
              <w:textAlignment w:val="center"/>
              <w:rPr>
                <w:rFonts w:hint="eastAsia" w:ascii="宋体" w:hAnsi="宋体" w:eastAsia="宋体" w:cs="宋体"/>
                <w:color w:val="auto"/>
                <w:szCs w:val="21"/>
                <w:highlight w:val="none"/>
                <w:lang w:eastAsia="zh-CN"/>
              </w:rPr>
            </w:pPr>
            <w:r>
              <w:rPr>
                <w:rFonts w:hint="default" w:ascii="宋体" w:hAnsi="宋体" w:eastAsia="宋体" w:cs="宋体"/>
                <w:color w:val="auto"/>
                <w:kern w:val="0"/>
                <w:szCs w:val="21"/>
                <w:highlight w:val="none"/>
                <w:lang w:val="en-US"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E2EF87">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8D5277">
            <w:pPr>
              <w:jc w:val="left"/>
              <w:rPr>
                <w:rFonts w:ascii="宋体" w:hAnsi="宋体" w:eastAsia="宋体" w:cs="宋体"/>
                <w:color w:val="auto"/>
                <w:szCs w:val="21"/>
                <w:highlight w:val="none"/>
              </w:rPr>
            </w:pPr>
          </w:p>
        </w:tc>
      </w:tr>
      <w:tr w14:paraId="62F1F5A8">
        <w:tblPrEx>
          <w:tblCellMar>
            <w:top w:w="0" w:type="dxa"/>
            <w:left w:w="108" w:type="dxa"/>
            <w:bottom w:w="0" w:type="dxa"/>
            <w:right w:w="108" w:type="dxa"/>
          </w:tblCellMar>
        </w:tblPrEx>
        <w:trPr>
          <w:trHeight w:val="90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56A6DA">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CF5072">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86AC78">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66A26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清洁工休假提前申请,并在安排好工作代理人后方可休假。</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EB29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357E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317959C">
            <w:pPr>
              <w:rPr>
                <w:rFonts w:ascii="宋体" w:hAnsi="宋体" w:eastAsia="宋体" w:cs="宋体"/>
                <w:color w:val="auto"/>
                <w:sz w:val="22"/>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C736E3">
            <w:pPr>
              <w:rPr>
                <w:rFonts w:ascii="宋体" w:hAnsi="宋体" w:eastAsia="宋体" w:cs="宋体"/>
                <w:color w:val="auto"/>
                <w:sz w:val="22"/>
                <w:highlight w:val="none"/>
              </w:rPr>
            </w:pPr>
          </w:p>
        </w:tc>
      </w:tr>
      <w:tr w14:paraId="7D001F81">
        <w:tblPrEx>
          <w:tblCellMar>
            <w:top w:w="0" w:type="dxa"/>
            <w:left w:w="108" w:type="dxa"/>
            <w:bottom w:w="0" w:type="dxa"/>
            <w:right w:w="108" w:type="dxa"/>
          </w:tblCellMar>
        </w:tblPrEx>
        <w:trPr>
          <w:trHeight w:val="92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FA9A2E">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7E0874">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C38B33">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E4363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上班期间不串岗，不脱岗，不偷懒，不做与工作无关的事情。</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5C32E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BAB3E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D5951A">
            <w:pPr>
              <w:rPr>
                <w:rFonts w:ascii="宋体" w:hAnsi="宋体" w:eastAsia="宋体" w:cs="宋体"/>
                <w:color w:val="auto"/>
                <w:sz w:val="22"/>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2ED854">
            <w:pPr>
              <w:rPr>
                <w:rFonts w:ascii="宋体" w:hAnsi="宋体" w:eastAsia="宋体" w:cs="宋体"/>
                <w:color w:val="auto"/>
                <w:sz w:val="22"/>
                <w:highlight w:val="none"/>
              </w:rPr>
            </w:pPr>
          </w:p>
        </w:tc>
      </w:tr>
      <w:tr w14:paraId="26446450">
        <w:tblPrEx>
          <w:tblCellMar>
            <w:top w:w="0" w:type="dxa"/>
            <w:left w:w="108" w:type="dxa"/>
            <w:bottom w:w="0" w:type="dxa"/>
            <w:right w:w="108" w:type="dxa"/>
          </w:tblCellMar>
        </w:tblPrEx>
        <w:trPr>
          <w:trHeight w:val="62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5A4C95">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14583">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6FC15B">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5B58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工作态度勤恳，无接到投诉或不良反映。</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68598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每接到投诉一次扣2分，扣完为止。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3F1F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668783">
            <w:pPr>
              <w:rPr>
                <w:rFonts w:ascii="宋体" w:hAnsi="宋体" w:eastAsia="宋体" w:cs="宋体"/>
                <w:color w:val="auto"/>
                <w:sz w:val="22"/>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1ED6E">
            <w:pPr>
              <w:rPr>
                <w:rFonts w:ascii="宋体" w:hAnsi="宋体" w:eastAsia="宋体" w:cs="宋体"/>
                <w:color w:val="auto"/>
                <w:sz w:val="22"/>
                <w:highlight w:val="none"/>
              </w:rPr>
            </w:pPr>
          </w:p>
        </w:tc>
      </w:tr>
      <w:tr w14:paraId="6850E856">
        <w:tblPrEx>
          <w:tblCellMar>
            <w:top w:w="0" w:type="dxa"/>
            <w:left w:w="108" w:type="dxa"/>
            <w:bottom w:w="0" w:type="dxa"/>
            <w:right w:w="108" w:type="dxa"/>
          </w:tblCellMar>
        </w:tblPrEx>
        <w:trPr>
          <w:trHeight w:val="68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40DDDE">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F07116">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A123497">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6164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与同事和睦相处，做事不计较，不闹矛盾，不吵架。</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BF2B1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9D528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971623">
            <w:pPr>
              <w:rPr>
                <w:rFonts w:ascii="宋体" w:hAnsi="宋体" w:eastAsia="宋体" w:cs="宋体"/>
                <w:color w:val="auto"/>
                <w:sz w:val="22"/>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311A32">
            <w:pPr>
              <w:rPr>
                <w:rFonts w:ascii="宋体" w:hAnsi="宋体" w:eastAsia="宋体" w:cs="宋体"/>
                <w:color w:val="auto"/>
                <w:sz w:val="22"/>
                <w:highlight w:val="none"/>
              </w:rPr>
            </w:pPr>
          </w:p>
        </w:tc>
      </w:tr>
      <w:tr w14:paraId="1432E2DA">
        <w:tblPrEx>
          <w:tblCellMar>
            <w:top w:w="0" w:type="dxa"/>
            <w:left w:w="108" w:type="dxa"/>
            <w:bottom w:w="0" w:type="dxa"/>
            <w:right w:w="108" w:type="dxa"/>
          </w:tblCellMar>
        </w:tblPrEx>
        <w:trPr>
          <w:trHeight w:val="66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DC4979">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2F2F6A">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CC2EBF">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528940">
            <w:pPr>
              <w:widowControl/>
              <w:jc w:val="left"/>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kern w:val="0"/>
                <w:szCs w:val="21"/>
                <w:highlight w:val="none"/>
                <w:lang w:bidi="ar"/>
              </w:rPr>
              <w:t>爱护公司资源，节约水、电</w:t>
            </w:r>
            <w:r>
              <w:rPr>
                <w:rFonts w:hint="eastAsia" w:ascii="宋体" w:hAnsi="宋体" w:eastAsia="宋体" w:cs="宋体"/>
                <w:color w:val="auto"/>
                <w:kern w:val="0"/>
                <w:szCs w:val="21"/>
                <w:highlight w:val="none"/>
                <w:lang w:eastAsia="zh-CN" w:bidi="ar"/>
              </w:rPr>
              <w:t>。</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60EF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发现浪费水、电</w:t>
            </w:r>
            <w:r>
              <w:rPr>
                <w:rFonts w:hint="eastAsia" w:ascii="宋体" w:hAnsi="宋体" w:eastAsia="宋体" w:cs="宋体"/>
                <w:color w:val="auto"/>
                <w:kern w:val="0"/>
                <w:szCs w:val="21"/>
                <w:highlight w:val="none"/>
                <w:lang w:val="en-US" w:eastAsia="zh-CN" w:bidi="ar"/>
              </w:rPr>
              <w:t>者，</w:t>
            </w: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C09E6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F19F4C">
            <w:pPr>
              <w:rPr>
                <w:rFonts w:ascii="宋体" w:hAnsi="宋体" w:eastAsia="宋体" w:cs="宋体"/>
                <w:color w:val="auto"/>
                <w:sz w:val="22"/>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EB014E">
            <w:pPr>
              <w:rPr>
                <w:rFonts w:ascii="宋体" w:hAnsi="宋体" w:eastAsia="宋体" w:cs="宋体"/>
                <w:color w:val="auto"/>
                <w:sz w:val="22"/>
                <w:highlight w:val="none"/>
              </w:rPr>
            </w:pPr>
          </w:p>
        </w:tc>
      </w:tr>
      <w:tr w14:paraId="655CCB49">
        <w:tblPrEx>
          <w:tblCellMar>
            <w:top w:w="0" w:type="dxa"/>
            <w:left w:w="108" w:type="dxa"/>
            <w:bottom w:w="0" w:type="dxa"/>
            <w:right w:w="108" w:type="dxa"/>
          </w:tblCellMar>
        </w:tblPrEx>
        <w:trPr>
          <w:trHeight w:val="62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970C9A">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D690ED">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346D249">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D71DA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按要求</w:t>
            </w:r>
            <w:r>
              <w:rPr>
                <w:rFonts w:hint="eastAsia" w:ascii="宋体" w:hAnsi="宋体" w:eastAsia="宋体" w:cs="宋体"/>
                <w:color w:val="auto"/>
                <w:kern w:val="0"/>
                <w:szCs w:val="21"/>
                <w:highlight w:val="none"/>
                <w:lang w:bidi="ar"/>
              </w:rPr>
              <w:t>巡查卫生，确保区域清洁。</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B631D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F62E28">
            <w:pPr>
              <w:widowControl/>
              <w:jc w:val="center"/>
              <w:textAlignment w:val="center"/>
              <w:rPr>
                <w:rFonts w:hint="eastAsia" w:ascii="宋体" w:hAnsi="宋体" w:eastAsia="宋体" w:cs="宋体"/>
                <w:color w:val="auto"/>
                <w:szCs w:val="21"/>
                <w:highlight w:val="none"/>
                <w:lang w:eastAsia="zh-CN"/>
              </w:rPr>
            </w:pPr>
            <w:r>
              <w:rPr>
                <w:rFonts w:hint="default" w:ascii="宋体" w:hAnsi="宋体" w:eastAsia="宋体" w:cs="宋体"/>
                <w:color w:val="auto"/>
                <w:kern w:val="0"/>
                <w:szCs w:val="21"/>
                <w:highlight w:val="none"/>
                <w:lang w:val="en-US"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8B1E23">
            <w:pPr>
              <w:rPr>
                <w:rFonts w:ascii="宋体" w:hAnsi="宋体" w:eastAsia="宋体" w:cs="宋体"/>
                <w:color w:val="auto"/>
                <w:sz w:val="22"/>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1727D0">
            <w:pPr>
              <w:rPr>
                <w:rFonts w:ascii="宋体" w:hAnsi="宋体" w:eastAsia="宋体" w:cs="宋体"/>
                <w:color w:val="auto"/>
                <w:sz w:val="22"/>
                <w:highlight w:val="none"/>
              </w:rPr>
            </w:pPr>
          </w:p>
        </w:tc>
      </w:tr>
      <w:tr w14:paraId="3E0A80EC">
        <w:tblPrEx>
          <w:tblCellMar>
            <w:top w:w="0" w:type="dxa"/>
            <w:left w:w="108" w:type="dxa"/>
            <w:bottom w:w="0" w:type="dxa"/>
            <w:right w:w="108" w:type="dxa"/>
          </w:tblCellMar>
        </w:tblPrEx>
        <w:trPr>
          <w:trHeight w:val="880" w:hRule="atLeast"/>
        </w:trPr>
        <w:tc>
          <w:tcPr>
            <w:tcW w:w="44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06FF5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45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AD3601">
            <w:pPr>
              <w:widowControl/>
              <w:jc w:val="center"/>
              <w:textAlignment w:val="center"/>
              <w:rPr>
                <w:rFonts w:ascii="宋体" w:hAnsi="宋体" w:eastAsia="宋体" w:cs="宋体"/>
                <w:color w:val="auto"/>
                <w:szCs w:val="21"/>
                <w:highlight w:val="none"/>
              </w:rPr>
            </w:pPr>
            <w:r>
              <w:rPr>
                <w:rFonts w:hint="default" w:ascii="宋体" w:hAnsi="宋体" w:eastAsia="宋体" w:cs="宋体"/>
                <w:color w:val="auto"/>
                <w:kern w:val="0"/>
                <w:szCs w:val="21"/>
                <w:highlight w:val="none"/>
                <w:lang w:val="en-US" w:bidi="ar"/>
              </w:rPr>
              <w:t>50</w:t>
            </w:r>
            <w:r>
              <w:rPr>
                <w:rFonts w:hint="eastAsia" w:ascii="宋体" w:hAnsi="宋体" w:eastAsia="宋体" w:cs="宋体"/>
                <w:color w:val="auto"/>
                <w:kern w:val="0"/>
                <w:szCs w:val="21"/>
                <w:highlight w:val="none"/>
                <w:lang w:bidi="ar"/>
              </w:rPr>
              <w:t>分</w:t>
            </w:r>
          </w:p>
        </w:tc>
        <w:tc>
          <w:tcPr>
            <w:tcW w:w="4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382D35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清洁保洁服务工作</w:t>
            </w: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1508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每天按要求清洁办公场所。</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BFCF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未按要求每违反一次扣1分，扣完为止。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E28B6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ECD667">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5C1A40">
            <w:pPr>
              <w:jc w:val="left"/>
              <w:rPr>
                <w:rFonts w:ascii="宋体" w:hAnsi="宋体" w:eastAsia="宋体" w:cs="宋体"/>
                <w:color w:val="auto"/>
                <w:szCs w:val="21"/>
                <w:highlight w:val="none"/>
              </w:rPr>
            </w:pPr>
          </w:p>
        </w:tc>
      </w:tr>
      <w:tr w14:paraId="6AAA79F6">
        <w:tblPrEx>
          <w:tblCellMar>
            <w:top w:w="0" w:type="dxa"/>
            <w:left w:w="108" w:type="dxa"/>
            <w:bottom w:w="0" w:type="dxa"/>
            <w:right w:w="108" w:type="dxa"/>
          </w:tblCellMar>
        </w:tblPrEx>
        <w:trPr>
          <w:trHeight w:val="102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928ABD">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E0DE">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A12C61">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BF7A8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办公楼清洁按公司规定清洁各区域卫生；及时将垃圾运送指定地点。</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CD79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4FF44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E4A0F5D">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F3AA2A">
            <w:pPr>
              <w:jc w:val="left"/>
              <w:rPr>
                <w:rFonts w:ascii="宋体" w:hAnsi="宋体" w:eastAsia="宋体" w:cs="宋体"/>
                <w:color w:val="auto"/>
                <w:szCs w:val="21"/>
                <w:highlight w:val="none"/>
              </w:rPr>
            </w:pPr>
          </w:p>
        </w:tc>
      </w:tr>
      <w:tr w14:paraId="2934E1FB">
        <w:tblPrEx>
          <w:tblCellMar>
            <w:top w:w="0" w:type="dxa"/>
            <w:left w:w="108" w:type="dxa"/>
            <w:bottom w:w="0" w:type="dxa"/>
            <w:right w:w="108" w:type="dxa"/>
          </w:tblCellMar>
        </w:tblPrEx>
        <w:trPr>
          <w:trHeight w:val="102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2C4341">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FE3EE0">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703748">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CBF5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公共区域各处无灰尘、痰痕、烟头、纸屑等杂物，无积灰、无杂物、无污（包括地角墙壁）。</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DEFA8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9F06D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99316F">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0B1061">
            <w:pPr>
              <w:jc w:val="left"/>
              <w:rPr>
                <w:rFonts w:ascii="宋体" w:hAnsi="宋体" w:eastAsia="宋体" w:cs="宋体"/>
                <w:color w:val="auto"/>
                <w:szCs w:val="21"/>
                <w:highlight w:val="none"/>
              </w:rPr>
            </w:pPr>
          </w:p>
        </w:tc>
      </w:tr>
      <w:tr w14:paraId="02BC89B4">
        <w:tblPrEx>
          <w:tblCellMar>
            <w:top w:w="0" w:type="dxa"/>
            <w:left w:w="108" w:type="dxa"/>
            <w:bottom w:w="0" w:type="dxa"/>
            <w:right w:w="108" w:type="dxa"/>
          </w:tblCellMar>
        </w:tblPrEx>
        <w:trPr>
          <w:trHeight w:val="102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A78F84">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FA563B">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CEAF9F">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32584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卫生间定期消毒、盐酸清洗，便池内无存积便垢，地面无污水、污垢、痰迹、烟头、无结垢、有害生物。</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248C2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发现一次扣1分，扣完为止。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10D80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49902D">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C32B0B">
            <w:pPr>
              <w:jc w:val="left"/>
              <w:rPr>
                <w:rFonts w:ascii="宋体" w:hAnsi="宋体" w:eastAsia="宋体" w:cs="宋体"/>
                <w:color w:val="auto"/>
                <w:szCs w:val="21"/>
                <w:highlight w:val="none"/>
              </w:rPr>
            </w:pPr>
          </w:p>
        </w:tc>
      </w:tr>
      <w:tr w14:paraId="119E8275">
        <w:tblPrEx>
          <w:tblCellMar>
            <w:top w:w="0" w:type="dxa"/>
            <w:left w:w="108" w:type="dxa"/>
            <w:bottom w:w="0" w:type="dxa"/>
            <w:right w:w="108" w:type="dxa"/>
          </w:tblCellMar>
        </w:tblPrEx>
        <w:trPr>
          <w:trHeight w:val="102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99DAF8">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F6D605">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ABFF946">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38D4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洗手间内水池四周及水龙头清洁无水迹，水池下弯管无积灰、无污渍，镜面无水迹，镜框无锈迹。</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AEF4C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6635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7F740DF">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957529">
            <w:pPr>
              <w:jc w:val="left"/>
              <w:rPr>
                <w:rFonts w:ascii="宋体" w:hAnsi="宋体" w:eastAsia="宋体" w:cs="宋体"/>
                <w:color w:val="auto"/>
                <w:szCs w:val="21"/>
                <w:highlight w:val="none"/>
              </w:rPr>
            </w:pPr>
          </w:p>
        </w:tc>
      </w:tr>
      <w:tr w14:paraId="0D12D72C">
        <w:tblPrEx>
          <w:tblCellMar>
            <w:top w:w="0" w:type="dxa"/>
            <w:left w:w="108" w:type="dxa"/>
            <w:bottom w:w="0" w:type="dxa"/>
            <w:right w:w="108" w:type="dxa"/>
          </w:tblCellMar>
        </w:tblPrEx>
        <w:trPr>
          <w:trHeight w:val="102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9F52D0">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600CF5">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0528D1">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DC280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楼梯扶手、栏杆、窗台用湿抹布擦干净，无灰尘、污渍。</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8CA06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25E322">
            <w:pPr>
              <w:widowControl/>
              <w:jc w:val="center"/>
              <w:textAlignment w:val="center"/>
              <w:rPr>
                <w:rFonts w:hint="eastAsia" w:ascii="宋体" w:hAnsi="宋体" w:eastAsia="宋体" w:cs="宋体"/>
                <w:color w:val="auto"/>
                <w:szCs w:val="21"/>
                <w:highlight w:val="none"/>
                <w:lang w:eastAsia="zh-CN"/>
              </w:rPr>
            </w:pPr>
            <w:r>
              <w:rPr>
                <w:rFonts w:hint="default" w:ascii="宋体" w:hAnsi="宋体" w:eastAsia="宋体" w:cs="宋体"/>
                <w:color w:val="auto"/>
                <w:kern w:val="0"/>
                <w:szCs w:val="21"/>
                <w:highlight w:val="none"/>
                <w:lang w:val="en-US"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C60B15">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DDF678">
            <w:pPr>
              <w:jc w:val="left"/>
              <w:rPr>
                <w:rFonts w:ascii="宋体" w:hAnsi="宋体" w:eastAsia="宋体" w:cs="宋体"/>
                <w:color w:val="auto"/>
                <w:szCs w:val="21"/>
                <w:highlight w:val="none"/>
              </w:rPr>
            </w:pPr>
          </w:p>
        </w:tc>
      </w:tr>
      <w:tr w14:paraId="35F0B250">
        <w:tblPrEx>
          <w:tblCellMar>
            <w:top w:w="0" w:type="dxa"/>
            <w:left w:w="108" w:type="dxa"/>
            <w:bottom w:w="0" w:type="dxa"/>
            <w:right w:w="108" w:type="dxa"/>
          </w:tblCellMar>
        </w:tblPrEx>
        <w:trPr>
          <w:trHeight w:val="72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32B267">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49DAFB">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A2AD9">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7EB87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室内无蜘蛛网、脚印、球印、痰迹等。</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37358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A064E">
            <w:pPr>
              <w:widowControl/>
              <w:jc w:val="center"/>
              <w:textAlignment w:val="center"/>
              <w:rPr>
                <w:rFonts w:hint="eastAsia" w:ascii="宋体" w:hAnsi="宋体" w:eastAsia="宋体" w:cs="宋体"/>
                <w:color w:val="auto"/>
                <w:szCs w:val="21"/>
                <w:highlight w:val="none"/>
                <w:lang w:eastAsia="zh-CN"/>
              </w:rPr>
            </w:pPr>
            <w:r>
              <w:rPr>
                <w:rFonts w:hint="default" w:ascii="宋体" w:hAnsi="宋体" w:eastAsia="宋体" w:cs="宋体"/>
                <w:color w:val="auto"/>
                <w:kern w:val="0"/>
                <w:szCs w:val="21"/>
                <w:highlight w:val="none"/>
                <w:lang w:val="en-US"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666BBD">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D6C12B">
            <w:pPr>
              <w:jc w:val="left"/>
              <w:rPr>
                <w:rFonts w:ascii="宋体" w:hAnsi="宋体" w:eastAsia="宋体" w:cs="宋体"/>
                <w:color w:val="auto"/>
                <w:szCs w:val="21"/>
                <w:highlight w:val="none"/>
              </w:rPr>
            </w:pPr>
          </w:p>
        </w:tc>
      </w:tr>
      <w:tr w14:paraId="242233FA">
        <w:tblPrEx>
          <w:tblCellMar>
            <w:top w:w="0" w:type="dxa"/>
            <w:left w:w="108" w:type="dxa"/>
            <w:bottom w:w="0" w:type="dxa"/>
            <w:right w:w="108" w:type="dxa"/>
          </w:tblCellMar>
        </w:tblPrEx>
        <w:trPr>
          <w:trHeight w:val="715"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FEB727">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43434B">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EB94718">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4264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所管辖的玻璃整洁、明亮、无明显污渍。</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2E47A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65F760">
            <w:pPr>
              <w:widowControl/>
              <w:jc w:val="center"/>
              <w:textAlignment w:val="center"/>
              <w:rPr>
                <w:rFonts w:hint="eastAsia" w:ascii="宋体" w:hAnsi="宋体" w:eastAsia="宋体" w:cs="宋体"/>
                <w:color w:val="auto"/>
                <w:szCs w:val="21"/>
                <w:highlight w:val="none"/>
                <w:lang w:eastAsia="zh-CN"/>
              </w:rPr>
            </w:pPr>
            <w:r>
              <w:rPr>
                <w:rFonts w:hint="default" w:ascii="宋体" w:hAnsi="宋体" w:eastAsia="宋体" w:cs="宋体"/>
                <w:color w:val="auto"/>
                <w:kern w:val="0"/>
                <w:szCs w:val="21"/>
                <w:highlight w:val="none"/>
                <w:lang w:val="en-US"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337EC3">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B5FA5">
            <w:pPr>
              <w:jc w:val="left"/>
              <w:rPr>
                <w:rFonts w:ascii="宋体" w:hAnsi="宋体" w:eastAsia="宋体" w:cs="宋体"/>
                <w:color w:val="auto"/>
                <w:szCs w:val="21"/>
                <w:highlight w:val="none"/>
              </w:rPr>
            </w:pPr>
          </w:p>
        </w:tc>
      </w:tr>
      <w:tr w14:paraId="473FC658">
        <w:tblPrEx>
          <w:tblCellMar>
            <w:top w:w="0" w:type="dxa"/>
            <w:left w:w="108" w:type="dxa"/>
            <w:bottom w:w="0" w:type="dxa"/>
            <w:right w:w="108" w:type="dxa"/>
          </w:tblCellMar>
        </w:tblPrEx>
        <w:trPr>
          <w:trHeight w:val="92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2F1FE1">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69C23B">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73876D">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F564B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所有用电开关、电箱无灰尘、污渍，灯具无灰尘，透明度好。</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1C6C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16FA9B">
            <w:pPr>
              <w:widowControl/>
              <w:jc w:val="center"/>
              <w:textAlignment w:val="center"/>
              <w:rPr>
                <w:rFonts w:hint="eastAsia" w:ascii="宋体" w:hAnsi="宋体" w:eastAsia="宋体" w:cs="宋体"/>
                <w:color w:val="auto"/>
                <w:szCs w:val="21"/>
                <w:highlight w:val="none"/>
                <w:lang w:eastAsia="zh-CN"/>
              </w:rPr>
            </w:pPr>
            <w:r>
              <w:rPr>
                <w:rFonts w:hint="default" w:ascii="宋体" w:hAnsi="宋体" w:eastAsia="宋体" w:cs="宋体"/>
                <w:color w:val="auto"/>
                <w:kern w:val="0"/>
                <w:szCs w:val="21"/>
                <w:highlight w:val="none"/>
                <w:lang w:val="en-US"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E6726B">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A561E2">
            <w:pPr>
              <w:jc w:val="left"/>
              <w:rPr>
                <w:rFonts w:ascii="宋体" w:hAnsi="宋体" w:eastAsia="宋体" w:cs="宋体"/>
                <w:color w:val="auto"/>
                <w:szCs w:val="21"/>
                <w:highlight w:val="none"/>
              </w:rPr>
            </w:pPr>
          </w:p>
        </w:tc>
      </w:tr>
      <w:tr w14:paraId="6A70F2C0">
        <w:tblPrEx>
          <w:tblCellMar>
            <w:top w:w="0" w:type="dxa"/>
            <w:left w:w="108" w:type="dxa"/>
            <w:bottom w:w="0" w:type="dxa"/>
            <w:right w:w="108" w:type="dxa"/>
          </w:tblCellMar>
        </w:tblPrEx>
        <w:trPr>
          <w:trHeight w:val="510" w:hRule="atLeast"/>
        </w:trPr>
        <w:tc>
          <w:tcPr>
            <w:tcW w:w="44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543D46">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61344F">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D81B7C">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F1158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公共区内不得堆放各种杂物。</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91B1A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5772F9">
            <w:pPr>
              <w:widowControl/>
              <w:jc w:val="center"/>
              <w:textAlignment w:val="center"/>
              <w:rPr>
                <w:rFonts w:hint="eastAsia" w:ascii="宋体" w:hAnsi="宋体" w:eastAsia="宋体" w:cs="宋体"/>
                <w:color w:val="auto"/>
                <w:szCs w:val="21"/>
                <w:highlight w:val="none"/>
                <w:lang w:eastAsia="zh-CN"/>
              </w:rPr>
            </w:pPr>
            <w:r>
              <w:rPr>
                <w:rFonts w:hint="default" w:ascii="宋体" w:hAnsi="宋体" w:eastAsia="宋体" w:cs="宋体"/>
                <w:color w:val="auto"/>
                <w:kern w:val="0"/>
                <w:szCs w:val="21"/>
                <w:highlight w:val="none"/>
                <w:lang w:val="en-US"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93B54F">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AE13A">
            <w:pPr>
              <w:jc w:val="left"/>
              <w:rPr>
                <w:rFonts w:ascii="宋体" w:hAnsi="宋体" w:eastAsia="宋体" w:cs="宋体"/>
                <w:color w:val="auto"/>
                <w:szCs w:val="21"/>
                <w:highlight w:val="none"/>
              </w:rPr>
            </w:pPr>
          </w:p>
        </w:tc>
      </w:tr>
      <w:tr w14:paraId="3AB282FB">
        <w:tblPrEx>
          <w:tblCellMar>
            <w:top w:w="0" w:type="dxa"/>
            <w:left w:w="108" w:type="dxa"/>
            <w:bottom w:w="0" w:type="dxa"/>
            <w:right w:w="108" w:type="dxa"/>
          </w:tblCellMar>
        </w:tblPrEx>
        <w:trPr>
          <w:trHeight w:val="660" w:hRule="atLeast"/>
        </w:trPr>
        <w:tc>
          <w:tcPr>
            <w:tcW w:w="447"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7C7CBBEE">
            <w:pPr>
              <w:jc w:val="center"/>
              <w:rPr>
                <w:rFonts w:ascii="宋体" w:hAnsi="宋体" w:eastAsia="宋体" w:cs="宋体"/>
                <w:color w:val="auto"/>
                <w:szCs w:val="21"/>
                <w:highlight w:val="none"/>
              </w:rPr>
            </w:pPr>
          </w:p>
        </w:tc>
        <w:tc>
          <w:tcPr>
            <w:tcW w:w="453"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D3C99FF">
            <w:pPr>
              <w:jc w:val="center"/>
              <w:rPr>
                <w:rFonts w:ascii="宋体" w:hAnsi="宋体" w:eastAsia="宋体" w:cs="宋体"/>
                <w:color w:val="auto"/>
                <w:szCs w:val="21"/>
                <w:highlight w:val="none"/>
              </w:rPr>
            </w:pPr>
          </w:p>
        </w:tc>
        <w:tc>
          <w:tcPr>
            <w:tcW w:w="448"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5749A8EA">
            <w:pPr>
              <w:jc w:val="left"/>
              <w:rPr>
                <w:rFonts w:ascii="宋体" w:hAnsi="宋体" w:eastAsia="宋体" w:cs="宋体"/>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642CE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堆放垃圾处无污秽、异味，垃圾桶、撮子内外表面清洁。</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25F68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每违反一次扣1分，扣完为止。</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FCD567">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818115">
            <w:pPr>
              <w:jc w:val="left"/>
              <w:rPr>
                <w:rFonts w:ascii="宋体" w:hAnsi="宋体" w:eastAsia="宋体" w:cs="宋体"/>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6BFB19">
            <w:pPr>
              <w:jc w:val="left"/>
              <w:rPr>
                <w:rFonts w:ascii="宋体" w:hAnsi="宋体" w:eastAsia="宋体" w:cs="宋体"/>
                <w:color w:val="auto"/>
                <w:szCs w:val="21"/>
                <w:highlight w:val="none"/>
              </w:rPr>
            </w:pPr>
          </w:p>
        </w:tc>
      </w:tr>
      <w:tr w14:paraId="4900CB6C">
        <w:tblPrEx>
          <w:tblCellMar>
            <w:top w:w="0" w:type="dxa"/>
            <w:left w:w="108" w:type="dxa"/>
            <w:bottom w:w="0" w:type="dxa"/>
            <w:right w:w="108" w:type="dxa"/>
          </w:tblCellMar>
        </w:tblPrEx>
        <w:trPr>
          <w:trHeight w:val="1080" w:hRule="atLeast"/>
        </w:trPr>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6E8286B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453" w:type="pct"/>
            <w:tcBorders>
              <w:top w:val="single" w:color="auto" w:sz="4" w:space="0"/>
              <w:left w:val="single" w:color="auto" w:sz="4" w:space="0"/>
              <w:bottom w:val="single" w:color="auto" w:sz="4" w:space="0"/>
              <w:right w:val="single" w:color="auto" w:sz="4" w:space="0"/>
            </w:tcBorders>
            <w:shd w:val="clear" w:color="auto" w:fill="auto"/>
            <w:vAlign w:val="center"/>
          </w:tcPr>
          <w:p w14:paraId="2D9DD6E1">
            <w:pPr>
              <w:widowControl/>
              <w:jc w:val="center"/>
              <w:textAlignment w:val="center"/>
              <w:rPr>
                <w:rFonts w:ascii="宋体" w:hAnsi="宋体" w:eastAsia="宋体" w:cs="宋体"/>
                <w:color w:val="auto"/>
                <w:szCs w:val="21"/>
                <w:highlight w:val="none"/>
              </w:rPr>
            </w:pPr>
            <w:r>
              <w:rPr>
                <w:rFonts w:hint="default" w:ascii="宋体" w:hAnsi="宋体" w:eastAsia="宋体" w:cs="宋体"/>
                <w:color w:val="auto"/>
                <w:kern w:val="0"/>
                <w:szCs w:val="21"/>
                <w:highlight w:val="none"/>
                <w:lang w:val="en-US" w:bidi="ar"/>
              </w:rPr>
              <w:t>5</w:t>
            </w:r>
            <w:r>
              <w:rPr>
                <w:rFonts w:hint="eastAsia" w:ascii="宋体" w:hAnsi="宋体" w:eastAsia="宋体" w:cs="宋体"/>
                <w:color w:val="auto"/>
                <w:kern w:val="0"/>
                <w:szCs w:val="21"/>
                <w:highlight w:val="none"/>
                <w:lang w:bidi="ar"/>
              </w:rPr>
              <w:t>分</w:t>
            </w:r>
          </w:p>
        </w:tc>
        <w:tc>
          <w:tcPr>
            <w:tcW w:w="448" w:type="pct"/>
            <w:tcBorders>
              <w:top w:val="single" w:color="auto" w:sz="4" w:space="0"/>
              <w:left w:val="single" w:color="auto" w:sz="4" w:space="0"/>
              <w:bottom w:val="single" w:color="auto" w:sz="4" w:space="0"/>
              <w:right w:val="single" w:color="auto" w:sz="4" w:space="0"/>
            </w:tcBorders>
            <w:shd w:val="clear" w:color="auto" w:fill="auto"/>
            <w:vAlign w:val="center"/>
          </w:tcPr>
          <w:p w14:paraId="34FC621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其它要求</w:t>
            </w:r>
          </w:p>
        </w:tc>
        <w:tc>
          <w:tcPr>
            <w:tcW w:w="1254" w:type="pct"/>
            <w:tcBorders>
              <w:top w:val="single" w:color="000000" w:sz="4" w:space="0"/>
              <w:left w:val="single" w:color="auto" w:sz="4" w:space="0"/>
              <w:bottom w:val="single" w:color="000000" w:sz="4" w:space="0"/>
              <w:right w:val="single" w:color="000000" w:sz="4" w:space="0"/>
            </w:tcBorders>
            <w:shd w:val="clear" w:color="auto" w:fill="auto"/>
            <w:vAlign w:val="center"/>
          </w:tcPr>
          <w:p w14:paraId="3DF815C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服从甲方突击性任务、迎检活动安排、紧急服务等工作要求。</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F17A6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无正当理由拒不服从的，每违反一次扣5分。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32B33D">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5</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5B066F">
            <w:pPr>
              <w:jc w:val="center"/>
              <w:rPr>
                <w:rFonts w:ascii="宋体" w:hAnsi="宋体" w:eastAsia="宋体" w:cs="宋体"/>
                <w:b/>
                <w:bCs/>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89BAC">
            <w:pPr>
              <w:jc w:val="center"/>
              <w:rPr>
                <w:rFonts w:ascii="宋体" w:hAnsi="宋体" w:eastAsia="宋体" w:cs="宋体"/>
                <w:b/>
                <w:bCs/>
                <w:color w:val="auto"/>
                <w:szCs w:val="21"/>
                <w:highlight w:val="none"/>
              </w:rPr>
            </w:pPr>
          </w:p>
        </w:tc>
      </w:tr>
      <w:tr w14:paraId="55F1902E">
        <w:tblPrEx>
          <w:tblCellMar>
            <w:top w:w="0" w:type="dxa"/>
            <w:left w:w="108" w:type="dxa"/>
            <w:bottom w:w="0" w:type="dxa"/>
            <w:right w:w="108" w:type="dxa"/>
          </w:tblCellMar>
        </w:tblPrEx>
        <w:trPr>
          <w:trHeight w:val="1080" w:hRule="atLeast"/>
        </w:trPr>
        <w:tc>
          <w:tcPr>
            <w:tcW w:w="447" w:type="pct"/>
            <w:tcBorders>
              <w:top w:val="single" w:color="auto" w:sz="4" w:space="0"/>
              <w:left w:val="single" w:color="auto" w:sz="4" w:space="0"/>
              <w:bottom w:val="single" w:color="auto" w:sz="4" w:space="0"/>
              <w:right w:val="single" w:color="auto" w:sz="4" w:space="0"/>
            </w:tcBorders>
            <w:shd w:val="clear" w:color="auto" w:fill="auto"/>
            <w:vAlign w:val="center"/>
          </w:tcPr>
          <w:p w14:paraId="4C7D04B6">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5</w:t>
            </w:r>
          </w:p>
        </w:tc>
        <w:tc>
          <w:tcPr>
            <w:tcW w:w="902"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93B1037">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扣分项</w:t>
            </w:r>
          </w:p>
        </w:tc>
        <w:tc>
          <w:tcPr>
            <w:tcW w:w="1254" w:type="pct"/>
            <w:tcBorders>
              <w:top w:val="single" w:color="000000" w:sz="4" w:space="0"/>
              <w:left w:val="single" w:color="auto" w:sz="4" w:space="0"/>
              <w:bottom w:val="single" w:color="000000" w:sz="4" w:space="0"/>
              <w:right w:val="single" w:color="000000" w:sz="4" w:space="0"/>
            </w:tcBorders>
            <w:shd w:val="clear" w:color="auto" w:fill="auto"/>
            <w:vAlign w:val="center"/>
          </w:tcPr>
          <w:p w14:paraId="2A5881C6">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未在合同约定期限内更换或补充甲方所需人员的。</w:t>
            </w:r>
          </w:p>
        </w:tc>
        <w:tc>
          <w:tcPr>
            <w:tcW w:w="101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1584FE">
            <w:pPr>
              <w:widowControl/>
              <w:jc w:val="left"/>
              <w:textAlignment w:val="center"/>
              <w:rPr>
                <w:rFonts w:hint="eastAsia" w:ascii="宋体" w:hAnsi="宋体" w:eastAsia="宋体" w:cs="宋体"/>
                <w:color w:val="auto"/>
                <w:kern w:val="0"/>
                <w:szCs w:val="21"/>
                <w:highlight w:val="none"/>
                <w:lang w:bidi="ar"/>
              </w:rPr>
            </w:pPr>
            <w:r>
              <w:rPr>
                <w:rFonts w:hint="eastAsia" w:ascii="宋体" w:hAnsi="宋体" w:eastAsia="宋体" w:cs="宋体"/>
                <w:color w:val="auto"/>
                <w:kern w:val="0"/>
                <w:szCs w:val="21"/>
                <w:highlight w:val="none"/>
                <w:lang w:val="en-US" w:eastAsia="zh-CN" w:bidi="ar"/>
              </w:rPr>
              <w:t>每违反一次</w:t>
            </w:r>
            <w:r>
              <w:rPr>
                <w:rFonts w:hint="default" w:ascii="宋体" w:hAnsi="宋体" w:eastAsia="宋体" w:cs="宋体"/>
                <w:color w:val="auto"/>
                <w:kern w:val="0"/>
                <w:szCs w:val="21"/>
                <w:highlight w:val="none"/>
                <w:lang w:val="en-US" w:eastAsia="zh-CN" w:bidi="ar"/>
              </w:rPr>
              <w:t>扣</w:t>
            </w:r>
            <w:r>
              <w:rPr>
                <w:rFonts w:hint="eastAsia" w:ascii="宋体" w:hAnsi="宋体" w:eastAsia="宋体" w:cs="宋体"/>
                <w:color w:val="auto"/>
                <w:kern w:val="0"/>
                <w:szCs w:val="21"/>
                <w:highlight w:val="none"/>
                <w:lang w:val="en-US" w:eastAsia="zh-CN" w:bidi="ar"/>
              </w:rPr>
              <w:t>10</w:t>
            </w:r>
            <w:r>
              <w:rPr>
                <w:rFonts w:hint="default" w:ascii="宋体" w:hAnsi="宋体" w:eastAsia="宋体" w:cs="宋体"/>
                <w:color w:val="auto"/>
                <w:kern w:val="0"/>
                <w:szCs w:val="21"/>
                <w:highlight w:val="none"/>
                <w:lang w:val="en-US" w:eastAsia="zh-CN" w:bidi="ar"/>
              </w:rPr>
              <w:t>分。</w:t>
            </w: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12D2D5">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0</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B63FBE">
            <w:pPr>
              <w:jc w:val="center"/>
              <w:rPr>
                <w:rFonts w:ascii="宋体" w:hAnsi="宋体" w:eastAsia="宋体" w:cs="宋体"/>
                <w:b/>
                <w:bCs/>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9774C9">
            <w:pPr>
              <w:jc w:val="center"/>
              <w:rPr>
                <w:rFonts w:ascii="宋体" w:hAnsi="宋体" w:eastAsia="宋体" w:cs="宋体"/>
                <w:b/>
                <w:bCs/>
                <w:color w:val="auto"/>
                <w:szCs w:val="21"/>
                <w:highlight w:val="none"/>
              </w:rPr>
            </w:pPr>
          </w:p>
        </w:tc>
      </w:tr>
      <w:tr w14:paraId="7A9FAA54">
        <w:tblPrEx>
          <w:tblCellMar>
            <w:top w:w="0" w:type="dxa"/>
            <w:left w:w="108" w:type="dxa"/>
            <w:bottom w:w="0" w:type="dxa"/>
            <w:right w:w="108" w:type="dxa"/>
          </w:tblCellMar>
        </w:tblPrEx>
        <w:trPr>
          <w:trHeight w:val="520" w:hRule="atLeast"/>
        </w:trPr>
        <w:tc>
          <w:tcPr>
            <w:tcW w:w="44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E2A33B">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合计</w:t>
            </w:r>
          </w:p>
        </w:tc>
        <w:tc>
          <w:tcPr>
            <w:tcW w:w="3633"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9B6968D">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100分</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7457F">
            <w:pPr>
              <w:jc w:val="center"/>
              <w:rPr>
                <w:rFonts w:ascii="宋体" w:hAnsi="宋体" w:eastAsia="宋体" w:cs="宋体"/>
                <w:b/>
                <w:bCs/>
                <w:color w:val="auto"/>
                <w:szCs w:val="21"/>
                <w:highlight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41E802F">
            <w:pPr>
              <w:jc w:val="center"/>
              <w:rPr>
                <w:rFonts w:ascii="宋体" w:hAnsi="宋体" w:eastAsia="宋体" w:cs="宋体"/>
                <w:b/>
                <w:bCs/>
                <w:color w:val="auto"/>
                <w:szCs w:val="21"/>
                <w:highlight w:val="none"/>
              </w:rPr>
            </w:pPr>
          </w:p>
        </w:tc>
      </w:tr>
      <w:tr w14:paraId="6ED9874E">
        <w:tblPrEx>
          <w:tblCellMar>
            <w:top w:w="0" w:type="dxa"/>
            <w:left w:w="108" w:type="dxa"/>
            <w:bottom w:w="0" w:type="dxa"/>
            <w:right w:w="108" w:type="dxa"/>
          </w:tblCellMar>
        </w:tblPrEx>
        <w:trPr>
          <w:trHeight w:val="600" w:hRule="atLeast"/>
        </w:trPr>
        <w:tc>
          <w:tcPr>
            <w:tcW w:w="901"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A83416">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考核结果</w:t>
            </w:r>
          </w:p>
        </w:tc>
        <w:tc>
          <w:tcPr>
            <w:tcW w:w="4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63FB7">
            <w:pPr>
              <w:jc w:val="center"/>
              <w:rPr>
                <w:rFonts w:ascii="宋体" w:hAnsi="宋体" w:eastAsia="宋体" w:cs="宋体"/>
                <w:b/>
                <w:bCs/>
                <w:color w:val="auto"/>
                <w:szCs w:val="21"/>
                <w:highlight w:val="none"/>
              </w:rPr>
            </w:pPr>
          </w:p>
        </w:tc>
        <w:tc>
          <w:tcPr>
            <w:tcW w:w="1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D47608">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合格</w:t>
            </w:r>
          </w:p>
        </w:tc>
        <w:tc>
          <w:tcPr>
            <w:tcW w:w="101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0B6E25">
            <w:pPr>
              <w:jc w:val="center"/>
              <w:rPr>
                <w:rFonts w:ascii="宋体" w:hAnsi="宋体" w:eastAsia="宋体" w:cs="宋体"/>
                <w:b/>
                <w:bCs/>
                <w:color w:val="auto"/>
                <w:szCs w:val="21"/>
                <w:highlight w:val="none"/>
              </w:rPr>
            </w:pPr>
          </w:p>
        </w:tc>
        <w:tc>
          <w:tcPr>
            <w:tcW w:w="45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0561F">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不合格</w:t>
            </w:r>
          </w:p>
        </w:tc>
        <w:tc>
          <w:tcPr>
            <w:tcW w:w="918"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078CB">
            <w:pPr>
              <w:jc w:val="center"/>
              <w:rPr>
                <w:rFonts w:ascii="宋体" w:hAnsi="宋体" w:eastAsia="宋体" w:cs="宋体"/>
                <w:b/>
                <w:bCs/>
                <w:color w:val="auto"/>
                <w:szCs w:val="21"/>
                <w:highlight w:val="none"/>
              </w:rPr>
            </w:pPr>
          </w:p>
        </w:tc>
      </w:tr>
      <w:tr w14:paraId="7FB457AC">
        <w:tblPrEx>
          <w:tblCellMar>
            <w:top w:w="0" w:type="dxa"/>
            <w:left w:w="108" w:type="dxa"/>
            <w:bottom w:w="0" w:type="dxa"/>
            <w:right w:w="108" w:type="dxa"/>
          </w:tblCellMar>
        </w:tblPrEx>
        <w:trPr>
          <w:trHeight w:val="1156" w:hRule="atLeast"/>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2DFC9940">
            <w:pPr>
              <w:widowControl/>
              <w:jc w:val="left"/>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意见及建议</w:t>
            </w:r>
          </w:p>
        </w:tc>
      </w:tr>
    </w:tbl>
    <w:p w14:paraId="288A2F1C">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21"/>
          <w:szCs w:val="21"/>
          <w:highlight w:val="none"/>
          <w:lang w:bidi="ar"/>
        </w:rPr>
      </w:pPr>
    </w:p>
    <w:p w14:paraId="45B33B70">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宋体"/>
          <w:szCs w:val="21"/>
          <w:highlight w:val="none"/>
        </w:rPr>
      </w:pPr>
      <w:r>
        <w:rPr>
          <w:rFonts w:hint="eastAsia" w:ascii="宋体" w:hAnsi="宋体" w:eastAsia="宋体" w:cs="宋体"/>
          <w:kern w:val="0"/>
          <w:sz w:val="21"/>
          <w:szCs w:val="21"/>
          <w:highlight w:val="none"/>
          <w:lang w:bidi="ar"/>
        </w:rPr>
        <w:t>考核单位：                     考核人：                        考核时间：</w:t>
      </w:r>
    </w:p>
    <w:p w14:paraId="4C49EC42">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hint="eastAsia" w:ascii="宋体" w:hAnsi="宋体" w:eastAsia="宋体" w:cs="宋体"/>
          <w:kern w:val="0"/>
          <w:sz w:val="21"/>
          <w:szCs w:val="21"/>
          <w:highlight w:val="none"/>
          <w:lang w:bidi="ar"/>
        </w:rPr>
      </w:pPr>
    </w:p>
    <w:p w14:paraId="21DBCEDE">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eastAsia="宋体" w:cs="宋体"/>
          <w:szCs w:val="21"/>
          <w:highlight w:val="none"/>
        </w:rPr>
      </w:pPr>
      <w:r>
        <w:rPr>
          <w:rFonts w:hint="eastAsia" w:ascii="宋体" w:hAnsi="宋体" w:eastAsia="宋体" w:cs="宋体"/>
          <w:kern w:val="0"/>
          <w:sz w:val="21"/>
          <w:szCs w:val="21"/>
          <w:highlight w:val="none"/>
          <w:lang w:bidi="ar"/>
        </w:rPr>
        <w:t>注：1、本考核评比实行百分制,与实际服务费挂钩。</w:t>
      </w:r>
    </w:p>
    <w:p w14:paraId="0A2A2BAF">
      <w:pPr>
        <w:keepNext w:val="0"/>
        <w:keepLines w:val="0"/>
        <w:pageBreakBefore w:val="0"/>
        <w:widowControl w:val="0"/>
        <w:kinsoku/>
        <w:wordWrap/>
        <w:overflowPunct/>
        <w:topLinePunct w:val="0"/>
        <w:autoSpaceDE w:val="0"/>
        <w:autoSpaceDN w:val="0"/>
        <w:bidi w:val="0"/>
        <w:adjustRightInd w:val="0"/>
        <w:snapToGrid w:val="0"/>
        <w:spacing w:line="360" w:lineRule="auto"/>
        <w:ind w:firstLine="424" w:firstLineChars="202"/>
        <w:jc w:val="left"/>
        <w:textAlignment w:val="auto"/>
        <w:rPr>
          <w:rFonts w:ascii="宋体" w:hAnsi="宋体" w:eastAsia="宋体" w:cs="宋体"/>
          <w:szCs w:val="21"/>
          <w:highlight w:val="none"/>
        </w:rPr>
      </w:pPr>
      <w:r>
        <w:rPr>
          <w:rFonts w:hint="eastAsia" w:ascii="宋体" w:hAnsi="宋体" w:eastAsia="宋体" w:cs="宋体"/>
          <w:kern w:val="0"/>
          <w:sz w:val="21"/>
          <w:szCs w:val="21"/>
          <w:highlight w:val="none"/>
          <w:lang w:bidi="ar"/>
        </w:rPr>
        <w:t>2、每项考评对应无扣分的，实得分等于应得分。</w:t>
      </w:r>
    </w:p>
    <w:p w14:paraId="628077FF">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3、</w:t>
      </w:r>
      <w:r>
        <w:rPr>
          <w:rFonts w:hint="eastAsia" w:eastAsia="宋体" w:cs="宋体"/>
          <w:sz w:val="21"/>
          <w:szCs w:val="21"/>
          <w:highlight w:val="none"/>
        </w:rPr>
        <w:t>甲方（含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分公司）每月根据考评结果情况支付实际服务费给乙方</w:t>
      </w:r>
      <w:r>
        <w:rPr>
          <w:rFonts w:hint="eastAsia" w:eastAsia="宋体" w:cs="宋体"/>
          <w:kern w:val="0"/>
          <w:sz w:val="21"/>
          <w:szCs w:val="21"/>
          <w:highlight w:val="none"/>
          <w:lang w:eastAsia="zh-CN" w:bidi="ar"/>
        </w:rPr>
        <w:t>：</w:t>
      </w:r>
    </w:p>
    <w:p w14:paraId="3004538B">
      <w:pPr>
        <w:pStyle w:val="33"/>
        <w:keepNext w:val="0"/>
        <w:keepLines w:val="0"/>
        <w:pageBreakBefore w:val="0"/>
        <w:numPr>
          <w:ilvl w:val="0"/>
          <w:numId w:val="0"/>
        </w:numPr>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kern w:val="0"/>
          <w:sz w:val="21"/>
          <w:szCs w:val="21"/>
          <w:highlight w:val="none"/>
          <w:lang w:bidi="ar"/>
        </w:rPr>
      </w:pPr>
      <w:r>
        <w:rPr>
          <w:rFonts w:hint="eastAsia" w:ascii="宋体" w:hAnsi="宋体" w:eastAsia="宋体" w:cs="宋体"/>
          <w:kern w:val="0"/>
          <w:sz w:val="21"/>
          <w:szCs w:val="21"/>
          <w:highlight w:val="none"/>
          <w:lang w:val="en-US" w:eastAsia="zh-CN" w:bidi="ar"/>
        </w:rPr>
        <w:t>（1）</w:t>
      </w:r>
      <w:r>
        <w:rPr>
          <w:rFonts w:hint="eastAsia" w:eastAsia="宋体" w:cs="宋体"/>
          <w:kern w:val="0"/>
          <w:sz w:val="21"/>
          <w:szCs w:val="21"/>
          <w:highlight w:val="none"/>
          <w:lang w:eastAsia="zh-CN" w:bidi="ar"/>
        </w:rPr>
        <w:t>当实际考核项目总分满分为100分，</w:t>
      </w:r>
      <w:r>
        <w:rPr>
          <w:rFonts w:hint="eastAsia" w:eastAsia="宋体" w:cs="宋体"/>
          <w:kern w:val="0"/>
          <w:sz w:val="21"/>
          <w:szCs w:val="21"/>
          <w:highlight w:val="none"/>
          <w:lang w:bidi="ar"/>
        </w:rPr>
        <w:t>如甲方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分公司）对乙方的服务考核评分达到90分或以上的，该月服务费全额支付；如甲方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分公司）对乙方的服务考核评分不足90分的，该月实际支付的服务费=该月应支付服务费×当月考核评分占比；如发现累计两个月未达到60分时，且乙方没有提供令甲方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分公司）认可的整改方案的，甲方有权单方解除合同。</w:t>
      </w:r>
    </w:p>
    <w:p w14:paraId="16D9AD35">
      <w:pPr>
        <w:pStyle w:val="33"/>
        <w:numPr>
          <w:ilvl w:val="0"/>
          <w:numId w:val="0"/>
        </w:numPr>
        <w:adjustRightInd/>
        <w:snapToGrid/>
        <w:spacing w:before="0" w:beforeAutospacing="0" w:after="0" w:afterAutospacing="0" w:line="360" w:lineRule="auto"/>
        <w:ind w:firstLine="420" w:firstLineChars="200"/>
        <w:jc w:val="both"/>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当实际考核项目总分满分不足100分，将考核分数按百分制进行折算（折算分数=实际得分/满分</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100），折算后高于90%</w:t>
      </w:r>
      <w:r>
        <w:rPr>
          <w:rFonts w:hint="eastAsia" w:ascii="宋体" w:hAnsi="宋体" w:eastAsia="宋体" w:cs="宋体"/>
          <w:kern w:val="0"/>
          <w:sz w:val="21"/>
          <w:szCs w:val="21"/>
          <w:highlight w:val="none"/>
          <w:lang w:bidi="ar"/>
        </w:rPr>
        <w:t>或以上的，该月服务费全额支付；如甲方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对乙方的服务考核评分</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不足90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的，该月实际支付的服务费=该月应支付服务费×</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折算分数/100</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；如发现累计两个月</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未达到60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时，且</w:t>
      </w:r>
      <w:r>
        <w:rPr>
          <w:rFonts w:hint="eastAsia" w:ascii="宋体" w:hAnsi="宋体" w:eastAsia="宋体" w:cs="宋体"/>
          <w:kern w:val="0"/>
          <w:sz w:val="21"/>
          <w:szCs w:val="21"/>
          <w:highlight w:val="none"/>
          <w:lang w:val="en-US" w:eastAsia="zh-CN" w:bidi="ar"/>
        </w:rPr>
        <w:t>乙方</w:t>
      </w:r>
      <w:r>
        <w:rPr>
          <w:rFonts w:hint="eastAsia" w:ascii="宋体" w:hAnsi="宋体" w:eastAsia="宋体" w:cs="宋体"/>
          <w:kern w:val="0"/>
          <w:sz w:val="21"/>
          <w:szCs w:val="21"/>
          <w:highlight w:val="none"/>
          <w:lang w:bidi="ar"/>
        </w:rPr>
        <w:t>没有提供令</w:t>
      </w:r>
      <w:r>
        <w:rPr>
          <w:rFonts w:hint="eastAsia" w:ascii="宋体" w:hAnsi="宋体" w:eastAsia="宋体" w:cs="宋体"/>
          <w:kern w:val="0"/>
          <w:sz w:val="21"/>
          <w:szCs w:val="21"/>
          <w:highlight w:val="none"/>
          <w:lang w:val="en-US" w:eastAsia="zh-CN" w:bidi="ar"/>
        </w:rPr>
        <w:t>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认可的整改方案的</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甲方有权单方解除合同。</w:t>
      </w:r>
    </w:p>
    <w:p w14:paraId="38557292">
      <w:pPr>
        <w:autoSpaceDE w:val="0"/>
        <w:autoSpaceDN w:val="0"/>
        <w:adjustRightInd w:val="0"/>
        <w:spacing w:line="360" w:lineRule="auto"/>
        <w:ind w:firstLine="420" w:firstLineChars="200"/>
        <w:jc w:val="left"/>
        <w:rPr>
          <w:rFonts w:ascii="宋体" w:hAnsi="宋体" w:eastAsia="宋体" w:cs="宋体"/>
          <w:szCs w:val="21"/>
          <w:highlight w:val="none"/>
        </w:rPr>
      </w:pPr>
      <w:r>
        <w:rPr>
          <w:rFonts w:hint="eastAsia" w:ascii="宋体" w:hAnsi="宋体" w:eastAsia="宋体" w:cs="宋体"/>
          <w:kern w:val="0"/>
          <w:sz w:val="21"/>
          <w:szCs w:val="21"/>
          <w:highlight w:val="none"/>
          <w:lang w:bidi="ar"/>
        </w:rPr>
        <w:br w:type="page"/>
      </w:r>
    </w:p>
    <w:p w14:paraId="1373768F">
      <w:pPr>
        <w:autoSpaceDE w:val="0"/>
        <w:autoSpaceDN w:val="0"/>
        <w:adjustRightInd w:val="0"/>
        <w:spacing w:line="360" w:lineRule="auto"/>
        <w:jc w:val="center"/>
        <w:rPr>
          <w:rFonts w:ascii="宋体" w:hAnsi="宋体" w:eastAsia="宋体" w:cs="宋体"/>
          <w:kern w:val="0"/>
          <w:sz w:val="21"/>
          <w:szCs w:val="21"/>
          <w:highlight w:val="none"/>
          <w:lang w:bidi="ar"/>
        </w:rPr>
      </w:pPr>
      <w:r>
        <w:rPr>
          <w:rFonts w:hint="eastAsia" w:ascii="宋体" w:hAnsi="宋体" w:eastAsia="宋体" w:cs="宋体"/>
          <w:b/>
          <w:kern w:val="0"/>
          <w:sz w:val="21"/>
          <w:szCs w:val="21"/>
          <w:highlight w:val="none"/>
          <w:lang w:bidi="ar"/>
        </w:rPr>
        <w:t>2.2《</w:t>
      </w:r>
      <w:r>
        <w:rPr>
          <w:rFonts w:hint="eastAsia" w:ascii="宋体" w:hAnsi="宋体" w:eastAsia="宋体" w:cs="宋体"/>
          <w:b/>
          <w:kern w:val="0"/>
          <w:sz w:val="21"/>
          <w:szCs w:val="21"/>
          <w:highlight w:val="none"/>
          <w:lang w:eastAsia="zh-CN" w:bidi="ar"/>
        </w:rPr>
        <w:t>东莞市水务环境投资控股集团供水有限公司</w:t>
      </w:r>
      <w:r>
        <w:rPr>
          <w:rFonts w:hint="eastAsia" w:ascii="宋体" w:hAnsi="宋体" w:eastAsia="宋体" w:cs="宋体"/>
          <w:b/>
          <w:kern w:val="0"/>
          <w:sz w:val="21"/>
          <w:szCs w:val="21"/>
          <w:highlight w:val="none"/>
          <w:lang w:bidi="ar"/>
        </w:rPr>
        <w:t>清洁保洁、绿化养护、除“四害”及灭蚁防治考核评分标准（适用于包含水面清洁、池壁清洁项目）》</w:t>
      </w:r>
    </w:p>
    <w:tbl>
      <w:tblPr>
        <w:tblStyle w:val="37"/>
        <w:tblW w:w="4954" w:type="pct"/>
        <w:jc w:val="center"/>
        <w:tblLayout w:type="autofit"/>
        <w:tblCellMar>
          <w:top w:w="0" w:type="dxa"/>
          <w:left w:w="108" w:type="dxa"/>
          <w:bottom w:w="0" w:type="dxa"/>
          <w:right w:w="108" w:type="dxa"/>
        </w:tblCellMar>
      </w:tblPr>
      <w:tblGrid>
        <w:gridCol w:w="776"/>
        <w:gridCol w:w="993"/>
        <w:gridCol w:w="1437"/>
        <w:gridCol w:w="2517"/>
        <w:gridCol w:w="1733"/>
        <w:gridCol w:w="878"/>
        <w:gridCol w:w="740"/>
        <w:gridCol w:w="796"/>
      </w:tblGrid>
      <w:tr w14:paraId="7A05464F">
        <w:tblPrEx>
          <w:tblCellMar>
            <w:top w:w="0" w:type="dxa"/>
            <w:left w:w="108" w:type="dxa"/>
            <w:bottom w:w="0" w:type="dxa"/>
            <w:right w:w="108" w:type="dxa"/>
          </w:tblCellMar>
        </w:tblPrEx>
        <w:trPr>
          <w:trHeight w:val="413"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466120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序号</w:t>
            </w:r>
          </w:p>
        </w:tc>
        <w:tc>
          <w:tcPr>
            <w:tcW w:w="2506"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4A3D1C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现场考核</w:t>
            </w:r>
          </w:p>
        </w:tc>
        <w:tc>
          <w:tcPr>
            <w:tcW w:w="878" w:type="pct"/>
            <w:vMerge w:val="restart"/>
            <w:tcBorders>
              <w:top w:val="single" w:color="000000" w:sz="4" w:space="0"/>
              <w:left w:val="single" w:color="000000" w:sz="4" w:space="0"/>
              <w:right w:val="single" w:color="000000" w:sz="4" w:space="0"/>
            </w:tcBorders>
            <w:shd w:val="clear" w:color="auto" w:fill="auto"/>
            <w:vAlign w:val="center"/>
          </w:tcPr>
          <w:p w14:paraId="7244285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扣分办法</w:t>
            </w:r>
          </w:p>
        </w:tc>
        <w:tc>
          <w:tcPr>
            <w:tcW w:w="444" w:type="pct"/>
            <w:vMerge w:val="restart"/>
            <w:tcBorders>
              <w:top w:val="single" w:color="000000" w:sz="4" w:space="0"/>
              <w:left w:val="single" w:color="000000" w:sz="4" w:space="0"/>
              <w:right w:val="single" w:color="000000" w:sz="4" w:space="0"/>
            </w:tcBorders>
            <w:shd w:val="clear" w:color="auto" w:fill="auto"/>
            <w:vAlign w:val="center"/>
          </w:tcPr>
          <w:p w14:paraId="444209C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应得分</w:t>
            </w:r>
          </w:p>
        </w:tc>
        <w:tc>
          <w:tcPr>
            <w:tcW w:w="375" w:type="pct"/>
            <w:vMerge w:val="restart"/>
            <w:tcBorders>
              <w:top w:val="single" w:color="000000" w:sz="4" w:space="0"/>
              <w:left w:val="single" w:color="000000" w:sz="4" w:space="0"/>
              <w:right w:val="single" w:color="000000" w:sz="4" w:space="0"/>
            </w:tcBorders>
            <w:shd w:val="clear" w:color="auto" w:fill="auto"/>
            <w:vAlign w:val="center"/>
          </w:tcPr>
          <w:p w14:paraId="341A213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检查扣分</w:t>
            </w:r>
          </w:p>
        </w:tc>
        <w:tc>
          <w:tcPr>
            <w:tcW w:w="402" w:type="pct"/>
            <w:vMerge w:val="restart"/>
            <w:tcBorders>
              <w:top w:val="single" w:color="000000" w:sz="4" w:space="0"/>
              <w:left w:val="single" w:color="000000" w:sz="4" w:space="0"/>
              <w:right w:val="single" w:color="000000" w:sz="4" w:space="0"/>
            </w:tcBorders>
            <w:shd w:val="clear" w:color="auto" w:fill="auto"/>
            <w:vAlign w:val="center"/>
          </w:tcPr>
          <w:p w14:paraId="191630A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实得分</w:t>
            </w:r>
          </w:p>
        </w:tc>
      </w:tr>
      <w:tr w14:paraId="3BD3894D">
        <w:tblPrEx>
          <w:tblCellMar>
            <w:top w:w="0" w:type="dxa"/>
            <w:left w:w="108" w:type="dxa"/>
            <w:bottom w:w="0" w:type="dxa"/>
            <w:right w:w="108" w:type="dxa"/>
          </w:tblCellMar>
        </w:tblPrEx>
        <w:trPr>
          <w:trHeight w:val="451"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F7B44">
            <w:pPr>
              <w:jc w:val="center"/>
              <w:rPr>
                <w:rFonts w:ascii="宋体" w:hAnsi="宋体" w:eastAsia="宋体" w:cs="宋体"/>
                <w:color w:val="auto"/>
                <w:szCs w:val="21"/>
                <w:highlight w:val="none"/>
              </w:rPr>
            </w:pPr>
          </w:p>
        </w:tc>
        <w:tc>
          <w:tcPr>
            <w:tcW w:w="50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67BD9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满分值</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49F0E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项目</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C04786">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评价依据及检查方法</w:t>
            </w:r>
          </w:p>
        </w:tc>
        <w:tc>
          <w:tcPr>
            <w:tcW w:w="878" w:type="pct"/>
            <w:vMerge w:val="continue"/>
            <w:tcBorders>
              <w:left w:val="single" w:color="000000" w:sz="4" w:space="0"/>
              <w:right w:val="single" w:color="000000" w:sz="4" w:space="0"/>
            </w:tcBorders>
            <w:shd w:val="clear" w:color="auto" w:fill="auto"/>
            <w:vAlign w:val="center"/>
          </w:tcPr>
          <w:p w14:paraId="63D9A2F9">
            <w:pPr>
              <w:jc w:val="center"/>
              <w:rPr>
                <w:rFonts w:ascii="宋体" w:hAnsi="宋体" w:eastAsia="宋体" w:cs="宋体"/>
                <w:color w:val="auto"/>
                <w:szCs w:val="21"/>
                <w:highlight w:val="none"/>
              </w:rPr>
            </w:pPr>
          </w:p>
        </w:tc>
        <w:tc>
          <w:tcPr>
            <w:tcW w:w="444" w:type="pct"/>
            <w:vMerge w:val="continue"/>
            <w:tcBorders>
              <w:left w:val="single" w:color="000000" w:sz="4" w:space="0"/>
              <w:right w:val="single" w:color="000000" w:sz="4" w:space="0"/>
            </w:tcBorders>
            <w:shd w:val="clear" w:color="auto" w:fill="auto"/>
            <w:vAlign w:val="center"/>
          </w:tcPr>
          <w:p w14:paraId="664BB627">
            <w:pPr>
              <w:jc w:val="center"/>
              <w:rPr>
                <w:rFonts w:ascii="宋体" w:hAnsi="宋体" w:eastAsia="宋体" w:cs="宋体"/>
                <w:color w:val="auto"/>
                <w:szCs w:val="21"/>
                <w:highlight w:val="none"/>
              </w:rPr>
            </w:pPr>
          </w:p>
        </w:tc>
        <w:tc>
          <w:tcPr>
            <w:tcW w:w="375" w:type="pct"/>
            <w:vMerge w:val="continue"/>
            <w:tcBorders>
              <w:left w:val="single" w:color="000000" w:sz="4" w:space="0"/>
              <w:right w:val="single" w:color="000000" w:sz="4" w:space="0"/>
            </w:tcBorders>
            <w:shd w:val="clear" w:color="auto" w:fill="auto"/>
            <w:vAlign w:val="center"/>
          </w:tcPr>
          <w:p w14:paraId="5D153BB9">
            <w:pPr>
              <w:jc w:val="center"/>
              <w:rPr>
                <w:rFonts w:ascii="宋体" w:hAnsi="宋体" w:eastAsia="宋体" w:cs="宋体"/>
                <w:color w:val="auto"/>
                <w:szCs w:val="21"/>
                <w:highlight w:val="none"/>
              </w:rPr>
            </w:pPr>
          </w:p>
        </w:tc>
        <w:tc>
          <w:tcPr>
            <w:tcW w:w="402" w:type="pct"/>
            <w:vMerge w:val="continue"/>
            <w:tcBorders>
              <w:left w:val="single" w:color="000000" w:sz="4" w:space="0"/>
              <w:right w:val="single" w:color="000000" w:sz="4" w:space="0"/>
            </w:tcBorders>
            <w:shd w:val="clear" w:color="auto" w:fill="auto"/>
            <w:vAlign w:val="center"/>
          </w:tcPr>
          <w:p w14:paraId="0667F455">
            <w:pPr>
              <w:jc w:val="center"/>
              <w:rPr>
                <w:rFonts w:ascii="宋体" w:hAnsi="宋体" w:eastAsia="宋体" w:cs="宋体"/>
                <w:color w:val="auto"/>
                <w:szCs w:val="21"/>
                <w:highlight w:val="none"/>
              </w:rPr>
            </w:pPr>
          </w:p>
        </w:tc>
      </w:tr>
      <w:tr w14:paraId="49B38426">
        <w:tblPrEx>
          <w:tblCellMar>
            <w:top w:w="0" w:type="dxa"/>
            <w:left w:w="108" w:type="dxa"/>
            <w:bottom w:w="0" w:type="dxa"/>
            <w:right w:w="108" w:type="dxa"/>
          </w:tblCellMar>
        </w:tblPrEx>
        <w:trPr>
          <w:trHeight w:val="780"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509DF71">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66467B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15分</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CAE9F15">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日常制度</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4CCA4">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对</w:t>
            </w:r>
            <w:r>
              <w:rPr>
                <w:rFonts w:hint="default" w:ascii="宋体" w:hAnsi="宋体" w:eastAsia="宋体" w:cs="宋体"/>
                <w:color w:val="auto"/>
                <w:kern w:val="0"/>
                <w:szCs w:val="21"/>
                <w:highlight w:val="none"/>
                <w:lang w:val="en-US" w:bidi="ar"/>
              </w:rPr>
              <w:t>甲方</w:t>
            </w:r>
            <w:r>
              <w:rPr>
                <w:rFonts w:hint="eastAsia" w:ascii="宋体" w:hAnsi="宋体" w:eastAsia="宋体" w:cs="宋体"/>
                <w:color w:val="auto"/>
                <w:kern w:val="0"/>
                <w:szCs w:val="21"/>
                <w:highlight w:val="none"/>
                <w:lang w:bidi="ar"/>
              </w:rPr>
              <w:t>提出的问题，需按要求及时整改反馈。</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48DC0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没及时整改处理的，每次扣1分，扣完为止。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84D4A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szCs w:val="21"/>
                <w:highlight w:val="none"/>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D43A82">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DF601B">
            <w:pPr>
              <w:jc w:val="center"/>
              <w:rPr>
                <w:rFonts w:ascii="宋体" w:hAnsi="宋体" w:eastAsia="宋体" w:cs="宋体"/>
                <w:color w:val="auto"/>
                <w:szCs w:val="21"/>
                <w:highlight w:val="none"/>
              </w:rPr>
            </w:pPr>
          </w:p>
        </w:tc>
      </w:tr>
      <w:tr w14:paraId="3F7F15D8">
        <w:tblPrEx>
          <w:tblCellMar>
            <w:top w:w="0" w:type="dxa"/>
            <w:left w:w="108" w:type="dxa"/>
            <w:bottom w:w="0" w:type="dxa"/>
            <w:right w:w="108" w:type="dxa"/>
          </w:tblCellMar>
        </w:tblPrEx>
        <w:trPr>
          <w:trHeight w:val="78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A0A51C">
            <w:pPr>
              <w:jc w:val="center"/>
              <w:rPr>
                <w:rFonts w:ascii="宋体" w:hAnsi="宋体" w:eastAsia="宋体" w:cs="宋体"/>
                <w:color w:val="auto"/>
                <w:szCs w:val="21"/>
                <w:highlight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FFBECB">
            <w:pPr>
              <w:jc w:val="center"/>
              <w:rPr>
                <w:rFonts w:ascii="宋体" w:hAnsi="宋体" w:eastAsia="宋体" w:cs="宋体"/>
                <w:color w:val="auto"/>
                <w:szCs w:val="21"/>
                <w:highlight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78439">
            <w:pPr>
              <w:jc w:val="center"/>
              <w:rPr>
                <w:rFonts w:ascii="宋体" w:hAnsi="宋体" w:eastAsia="宋体" w:cs="宋体"/>
                <w:color w:val="auto"/>
                <w:szCs w:val="21"/>
                <w:highlight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C35ED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穿统一工作服，不能出现如穿拖鞋、</w:t>
            </w:r>
            <w:r>
              <w:rPr>
                <w:rFonts w:hint="eastAsia" w:ascii="宋体" w:hAnsi="宋体" w:eastAsia="宋体" w:cs="宋体"/>
                <w:color w:val="auto"/>
                <w:kern w:val="0"/>
                <w:szCs w:val="21"/>
                <w:highlight w:val="none"/>
                <w:lang w:val="en-US" w:eastAsia="zh-CN" w:bidi="ar"/>
              </w:rPr>
              <w:t>高跟鞋、着装</w:t>
            </w:r>
            <w:r>
              <w:rPr>
                <w:rFonts w:hint="eastAsia" w:ascii="宋体" w:hAnsi="宋体" w:eastAsia="宋体" w:cs="宋体"/>
                <w:color w:val="auto"/>
                <w:kern w:val="0"/>
                <w:szCs w:val="21"/>
                <w:highlight w:val="none"/>
                <w:lang w:bidi="ar"/>
              </w:rPr>
              <w:t>不整齐者</w:t>
            </w:r>
            <w:r>
              <w:rPr>
                <w:rFonts w:hint="eastAsia" w:ascii="宋体" w:hAnsi="宋体" w:eastAsia="宋体" w:cs="宋体"/>
                <w:color w:val="auto"/>
                <w:kern w:val="0"/>
                <w:szCs w:val="21"/>
                <w:highlight w:val="none"/>
                <w:lang w:val="en-US" w:eastAsia="zh-CN" w:bidi="ar"/>
              </w:rPr>
              <w:t>等</w:t>
            </w:r>
            <w:r>
              <w:rPr>
                <w:rFonts w:hint="eastAsia" w:ascii="宋体" w:hAnsi="宋体" w:eastAsia="宋体" w:cs="宋体"/>
                <w:color w:val="auto"/>
                <w:kern w:val="0"/>
                <w:szCs w:val="21"/>
                <w:highlight w:val="none"/>
                <w:lang w:bidi="ar"/>
              </w:rPr>
              <w:t>。</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8CF6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未按要求</w:t>
            </w:r>
            <w:r>
              <w:rPr>
                <w:rFonts w:hint="eastAsia" w:ascii="宋体" w:hAnsi="宋体" w:eastAsia="宋体" w:cs="宋体"/>
                <w:color w:val="auto"/>
                <w:kern w:val="0"/>
                <w:szCs w:val="21"/>
                <w:highlight w:val="none"/>
                <w:lang w:bidi="ar"/>
              </w:rPr>
              <w:t>着装者，每人次扣1分，扣完为止。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EF75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F99EE">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340A8">
            <w:pPr>
              <w:jc w:val="center"/>
              <w:rPr>
                <w:rFonts w:ascii="宋体" w:hAnsi="宋体" w:eastAsia="宋体" w:cs="宋体"/>
                <w:color w:val="auto"/>
                <w:szCs w:val="21"/>
                <w:highlight w:val="none"/>
              </w:rPr>
            </w:pPr>
          </w:p>
        </w:tc>
      </w:tr>
      <w:tr w14:paraId="6DAB66C9">
        <w:tblPrEx>
          <w:tblCellMar>
            <w:top w:w="0" w:type="dxa"/>
            <w:left w:w="108" w:type="dxa"/>
            <w:bottom w:w="0" w:type="dxa"/>
            <w:right w:w="108" w:type="dxa"/>
          </w:tblCellMar>
        </w:tblPrEx>
        <w:trPr>
          <w:trHeight w:val="525"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05C1BE0">
            <w:pPr>
              <w:jc w:val="center"/>
              <w:rPr>
                <w:rFonts w:ascii="宋体" w:hAnsi="宋体" w:eastAsia="宋体" w:cs="宋体"/>
                <w:color w:val="auto"/>
                <w:szCs w:val="21"/>
                <w:highlight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F8D40B">
            <w:pPr>
              <w:jc w:val="center"/>
              <w:rPr>
                <w:rFonts w:ascii="宋体" w:hAnsi="宋体" w:eastAsia="宋体" w:cs="宋体"/>
                <w:color w:val="auto"/>
                <w:szCs w:val="21"/>
                <w:highlight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07845D">
            <w:pPr>
              <w:jc w:val="center"/>
              <w:rPr>
                <w:rFonts w:ascii="宋体" w:hAnsi="宋体" w:eastAsia="宋体" w:cs="宋体"/>
                <w:color w:val="auto"/>
                <w:szCs w:val="21"/>
                <w:highlight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E0228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现场负责人要向</w:t>
            </w:r>
            <w:r>
              <w:rPr>
                <w:rFonts w:hint="default" w:ascii="宋体" w:hAnsi="宋体" w:eastAsia="宋体" w:cs="宋体"/>
                <w:color w:val="auto"/>
                <w:kern w:val="0"/>
                <w:szCs w:val="21"/>
                <w:highlight w:val="none"/>
                <w:lang w:val="en-US" w:bidi="ar"/>
              </w:rPr>
              <w:t>甲方</w:t>
            </w:r>
            <w:r>
              <w:rPr>
                <w:rFonts w:hint="eastAsia" w:ascii="宋体" w:hAnsi="宋体" w:eastAsia="宋体" w:cs="宋体"/>
                <w:color w:val="auto"/>
                <w:kern w:val="0"/>
                <w:szCs w:val="21"/>
                <w:highlight w:val="none"/>
                <w:lang w:bidi="ar"/>
              </w:rPr>
              <w:t>对应管理部门书面请假批准后才能离岗。</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B97B">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擅自离岗者，每人次扣1分,扣完为止。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68C7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212FCC">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3BEF5">
            <w:pPr>
              <w:jc w:val="center"/>
              <w:rPr>
                <w:rFonts w:ascii="宋体" w:hAnsi="宋体" w:eastAsia="宋体" w:cs="宋体"/>
                <w:color w:val="auto"/>
                <w:szCs w:val="21"/>
                <w:highlight w:val="none"/>
              </w:rPr>
            </w:pPr>
          </w:p>
        </w:tc>
      </w:tr>
      <w:tr w14:paraId="37CF92C2">
        <w:tblPrEx>
          <w:tblCellMar>
            <w:top w:w="0" w:type="dxa"/>
            <w:left w:w="108" w:type="dxa"/>
            <w:bottom w:w="0" w:type="dxa"/>
            <w:right w:w="108" w:type="dxa"/>
          </w:tblCellMar>
        </w:tblPrEx>
        <w:trPr>
          <w:trHeight w:val="1005"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28599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2</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AF3D08">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35</w:t>
            </w:r>
            <w:r>
              <w:rPr>
                <w:rFonts w:hint="eastAsia" w:ascii="宋体" w:hAnsi="宋体" w:eastAsia="宋体" w:cs="宋体"/>
                <w:color w:val="auto"/>
                <w:kern w:val="0"/>
                <w:szCs w:val="21"/>
                <w:highlight w:val="none"/>
                <w:lang w:bidi="ar"/>
              </w:rPr>
              <w:t>分</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48221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厂区路面、生产车间地面、停车场、运动场及公共广场</w:t>
            </w:r>
          </w:p>
        </w:tc>
        <w:tc>
          <w:tcPr>
            <w:tcW w:w="127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EB7B4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保持清洁，无纸屑、塑膜、烟头、污泥、积砂（土）等。生产车间地面以上4米内无蜘蛛网。警示牌、宣传栏做到无积尘、污渍和蜘蛛网。</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F2DA6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每50平方米范围内超过5个的，每超过1个扣</w:t>
            </w:r>
            <w:r>
              <w:rPr>
                <w:rFonts w:hint="default" w:ascii="宋体" w:hAnsi="宋体" w:eastAsia="宋体" w:cs="宋体"/>
                <w:color w:val="auto"/>
                <w:kern w:val="0"/>
                <w:szCs w:val="21"/>
                <w:highlight w:val="none"/>
                <w:lang w:val="en-US" w:bidi="ar"/>
              </w:rPr>
              <w:t>0.5</w:t>
            </w:r>
            <w:r>
              <w:rPr>
                <w:rFonts w:hint="eastAsia" w:ascii="宋体" w:hAnsi="宋体" w:eastAsia="宋体" w:cs="宋体"/>
                <w:color w:val="auto"/>
                <w:kern w:val="0"/>
                <w:szCs w:val="21"/>
                <w:highlight w:val="none"/>
                <w:lang w:bidi="ar"/>
              </w:rPr>
              <w:t>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87EAF5">
            <w:pPr>
              <w:widowControl/>
              <w:jc w:val="center"/>
              <w:textAlignment w:val="center"/>
              <w:rPr>
                <w:rFonts w:hint="eastAsia"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val="en-US" w:eastAsia="zh-CN" w:bidi="ar"/>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0974FA">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0890C0">
            <w:pPr>
              <w:jc w:val="center"/>
              <w:rPr>
                <w:rFonts w:ascii="宋体" w:hAnsi="宋体" w:eastAsia="宋体" w:cs="宋体"/>
                <w:color w:val="auto"/>
                <w:szCs w:val="21"/>
                <w:highlight w:val="none"/>
              </w:rPr>
            </w:pPr>
          </w:p>
        </w:tc>
      </w:tr>
      <w:tr w14:paraId="60053682">
        <w:tblPrEx>
          <w:tblCellMar>
            <w:top w:w="0" w:type="dxa"/>
            <w:left w:w="108" w:type="dxa"/>
            <w:bottom w:w="0" w:type="dxa"/>
            <w:right w:w="108" w:type="dxa"/>
          </w:tblCellMar>
        </w:tblPrEx>
        <w:trPr>
          <w:trHeight w:val="78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EDFB89">
            <w:pPr>
              <w:jc w:val="center"/>
              <w:rPr>
                <w:rFonts w:ascii="宋体" w:hAnsi="宋体" w:eastAsia="宋体" w:cs="宋体"/>
                <w:color w:val="auto"/>
                <w:szCs w:val="21"/>
                <w:highlight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3788339">
            <w:pPr>
              <w:jc w:val="center"/>
              <w:rPr>
                <w:rFonts w:ascii="宋体" w:hAnsi="宋体" w:eastAsia="宋体" w:cs="宋体"/>
                <w:color w:val="auto"/>
                <w:szCs w:val="21"/>
                <w:highlight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106BA1">
            <w:pPr>
              <w:jc w:val="center"/>
              <w:rPr>
                <w:rFonts w:ascii="宋体" w:hAnsi="宋体" w:eastAsia="宋体" w:cs="宋体"/>
                <w:color w:val="auto"/>
                <w:szCs w:val="21"/>
                <w:highlight w:val="none"/>
              </w:rPr>
            </w:pPr>
          </w:p>
        </w:tc>
        <w:tc>
          <w:tcPr>
            <w:tcW w:w="127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D8FF31">
            <w:pPr>
              <w:jc w:val="left"/>
              <w:rPr>
                <w:rFonts w:ascii="宋体" w:hAnsi="宋体" w:eastAsia="宋体" w:cs="宋体"/>
                <w:color w:val="auto"/>
                <w:szCs w:val="21"/>
                <w:highlight w:val="none"/>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A1D5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积尘、污渍或蜘蛛网的，每处扣1分，扣完为止。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DC7D2">
            <w:pPr>
              <w:widowControl/>
              <w:jc w:val="center"/>
              <w:textAlignment w:val="center"/>
              <w:rPr>
                <w:rFonts w:hint="default" w:ascii="宋体" w:hAnsi="宋体" w:eastAsia="宋体" w:cs="宋体"/>
                <w:color w:val="auto"/>
                <w:szCs w:val="21"/>
                <w:highlight w:val="none"/>
                <w:lang w:val="en-US" w:eastAsia="zh-CN"/>
              </w:rPr>
            </w:pPr>
            <w:r>
              <w:rPr>
                <w:rFonts w:hint="default" w:ascii="宋体" w:hAnsi="宋体" w:eastAsia="宋体" w:cs="宋体"/>
                <w:color w:val="auto"/>
                <w:kern w:val="0"/>
                <w:szCs w:val="21"/>
                <w:highlight w:val="none"/>
                <w:lang w:val="en-US" w:bidi="ar"/>
              </w:rPr>
              <w:t>10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DD137">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690D52">
            <w:pPr>
              <w:jc w:val="center"/>
              <w:rPr>
                <w:rFonts w:ascii="宋体" w:hAnsi="宋体" w:eastAsia="宋体" w:cs="宋体"/>
                <w:color w:val="auto"/>
                <w:szCs w:val="21"/>
                <w:highlight w:val="none"/>
              </w:rPr>
            </w:pPr>
          </w:p>
        </w:tc>
      </w:tr>
      <w:tr w14:paraId="79B4BBF7">
        <w:tblPrEx>
          <w:tblCellMar>
            <w:top w:w="0" w:type="dxa"/>
            <w:left w:w="108" w:type="dxa"/>
            <w:bottom w:w="0" w:type="dxa"/>
            <w:right w:w="108" w:type="dxa"/>
          </w:tblCellMar>
        </w:tblPrEx>
        <w:trPr>
          <w:trHeight w:val="1545"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18D16C">
            <w:pPr>
              <w:jc w:val="center"/>
              <w:rPr>
                <w:rFonts w:ascii="宋体" w:hAnsi="宋体" w:eastAsia="宋体" w:cs="宋体"/>
                <w:color w:val="auto"/>
                <w:szCs w:val="21"/>
                <w:highlight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E6E854E">
            <w:pPr>
              <w:jc w:val="center"/>
              <w:rPr>
                <w:rFonts w:ascii="宋体" w:hAnsi="宋体" w:eastAsia="宋体" w:cs="宋体"/>
                <w:color w:val="auto"/>
                <w:szCs w:val="21"/>
                <w:highlight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1BC0EBF">
            <w:pPr>
              <w:jc w:val="center"/>
              <w:rPr>
                <w:rFonts w:ascii="宋体" w:hAnsi="宋体" w:eastAsia="宋体" w:cs="宋体"/>
                <w:color w:val="auto"/>
                <w:szCs w:val="21"/>
                <w:highlight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F69C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路边的果皮箱垃圾要及时清理。垃圾桶表面要经常清洁，做到干净无积尘。</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CAE02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路边果皮箱内垃圾超过2/3的未及时清理，未更换垃圾袋的，或果皮箱表面有积尘污渍的，每个果皮箱扣0.5分，扣完为止。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67685">
            <w:pPr>
              <w:widowControl/>
              <w:jc w:val="center"/>
              <w:textAlignment w:val="center"/>
              <w:rPr>
                <w:rFonts w:hint="eastAsia" w:ascii="宋体" w:hAnsi="宋体" w:eastAsia="宋体" w:cs="宋体"/>
                <w:color w:val="auto"/>
                <w:szCs w:val="21"/>
                <w:highlight w:val="none"/>
                <w:lang w:eastAsia="zh-CN"/>
              </w:rPr>
            </w:pPr>
            <w:r>
              <w:rPr>
                <w:rFonts w:hint="default" w:ascii="宋体" w:hAnsi="宋体" w:eastAsia="宋体" w:cs="宋体"/>
                <w:color w:val="auto"/>
                <w:kern w:val="0"/>
                <w:szCs w:val="21"/>
                <w:highlight w:val="none"/>
                <w:lang w:val="en-US" w:bidi="ar"/>
              </w:rPr>
              <w:t>10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7C126C">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13F75">
            <w:pPr>
              <w:jc w:val="center"/>
              <w:rPr>
                <w:rFonts w:ascii="宋体" w:hAnsi="宋体" w:eastAsia="宋体" w:cs="宋体"/>
                <w:color w:val="auto"/>
                <w:szCs w:val="21"/>
                <w:highlight w:val="none"/>
              </w:rPr>
            </w:pPr>
          </w:p>
        </w:tc>
      </w:tr>
      <w:tr w14:paraId="36A805D5">
        <w:tblPrEx>
          <w:tblCellMar>
            <w:top w:w="0" w:type="dxa"/>
            <w:left w:w="108" w:type="dxa"/>
            <w:bottom w:w="0" w:type="dxa"/>
            <w:right w:w="108" w:type="dxa"/>
          </w:tblCellMar>
        </w:tblPrEx>
        <w:trPr>
          <w:trHeight w:val="1035"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43DB50">
            <w:pPr>
              <w:jc w:val="center"/>
              <w:rPr>
                <w:rFonts w:ascii="宋体" w:hAnsi="宋体" w:eastAsia="宋体" w:cs="宋体"/>
                <w:color w:val="auto"/>
                <w:szCs w:val="21"/>
                <w:highlight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916977">
            <w:pPr>
              <w:jc w:val="center"/>
              <w:rPr>
                <w:rFonts w:ascii="宋体" w:hAnsi="宋体" w:eastAsia="宋体" w:cs="宋体"/>
                <w:color w:val="auto"/>
                <w:szCs w:val="21"/>
                <w:highlight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2575B2">
            <w:pPr>
              <w:jc w:val="center"/>
              <w:rPr>
                <w:rFonts w:ascii="宋体" w:hAnsi="宋体" w:eastAsia="宋体" w:cs="宋体"/>
                <w:color w:val="auto"/>
                <w:szCs w:val="21"/>
                <w:highlight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80DD2A">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雨水井、排水明渠的垃圾、杂物和泥沙每月清理一次，防止堵塞。</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0C63B3">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雨水井、排水明渠未按期清理干净的，每处扣0.5分，扣完为止。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5244CD">
            <w:pPr>
              <w:widowControl/>
              <w:jc w:val="center"/>
              <w:textAlignment w:val="center"/>
              <w:rPr>
                <w:rFonts w:hint="eastAsia" w:ascii="宋体" w:hAnsi="宋体" w:eastAsia="宋体" w:cs="宋体"/>
                <w:color w:val="auto"/>
                <w:szCs w:val="21"/>
                <w:highlight w:val="none"/>
                <w:lang w:eastAsia="zh-CN"/>
              </w:rPr>
            </w:pPr>
            <w:r>
              <w:rPr>
                <w:rFonts w:hint="default" w:ascii="宋体" w:hAnsi="宋体" w:eastAsia="宋体" w:cs="宋体"/>
                <w:color w:val="auto"/>
                <w:kern w:val="0"/>
                <w:szCs w:val="21"/>
                <w:highlight w:val="none"/>
                <w:lang w:val="en-US" w:bidi="ar"/>
              </w:rPr>
              <w:t>10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227171">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60340B">
            <w:pPr>
              <w:jc w:val="center"/>
              <w:rPr>
                <w:rFonts w:ascii="宋体" w:hAnsi="宋体" w:eastAsia="宋体" w:cs="宋体"/>
                <w:color w:val="auto"/>
                <w:szCs w:val="21"/>
                <w:highlight w:val="none"/>
              </w:rPr>
            </w:pPr>
          </w:p>
        </w:tc>
      </w:tr>
      <w:tr w14:paraId="450B5566">
        <w:tblPrEx>
          <w:tblCellMar>
            <w:top w:w="0" w:type="dxa"/>
            <w:left w:w="108" w:type="dxa"/>
            <w:bottom w:w="0" w:type="dxa"/>
            <w:right w:w="108" w:type="dxa"/>
          </w:tblCellMar>
        </w:tblPrEx>
        <w:trPr>
          <w:trHeight w:val="1290" w:hRule="atLeast"/>
          <w:jc w:val="center"/>
        </w:trPr>
        <w:tc>
          <w:tcPr>
            <w:tcW w:w="39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87C4BF">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w:t>
            </w:r>
          </w:p>
        </w:tc>
        <w:tc>
          <w:tcPr>
            <w:tcW w:w="50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67FE004">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30分</w:t>
            </w:r>
          </w:p>
        </w:tc>
        <w:tc>
          <w:tcPr>
            <w:tcW w:w="72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46A8C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生产区</w:t>
            </w: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BA1AA1">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生产区的垃圾桶每天清洗、消毒，并摆放整齐。每天上下班必须及时清理各个出渣口的垃圾，不得溢出桶外。</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4B717">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垃圾桶未及时清洗消毒的或未摆放好，或出渣口的垃圾下班前未及时清理的，每处扣0.5分，扣完为止。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D6FCB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129EF">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BFD9EA">
            <w:pPr>
              <w:jc w:val="center"/>
              <w:rPr>
                <w:rFonts w:ascii="宋体" w:hAnsi="宋体" w:eastAsia="宋体" w:cs="宋体"/>
                <w:color w:val="auto"/>
                <w:szCs w:val="21"/>
                <w:highlight w:val="none"/>
              </w:rPr>
            </w:pPr>
          </w:p>
        </w:tc>
      </w:tr>
      <w:tr w14:paraId="6F2A7CE9">
        <w:tblPrEx>
          <w:tblCellMar>
            <w:top w:w="0" w:type="dxa"/>
            <w:left w:w="108" w:type="dxa"/>
            <w:bottom w:w="0" w:type="dxa"/>
            <w:right w:w="108" w:type="dxa"/>
          </w:tblCellMar>
        </w:tblPrEx>
        <w:trPr>
          <w:trHeight w:val="74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CD56E9">
            <w:pPr>
              <w:jc w:val="center"/>
              <w:rPr>
                <w:rFonts w:ascii="宋体" w:hAnsi="宋体" w:eastAsia="宋体" w:cs="宋体"/>
                <w:color w:val="auto"/>
                <w:szCs w:val="21"/>
                <w:highlight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E7EFB6">
            <w:pPr>
              <w:jc w:val="center"/>
              <w:rPr>
                <w:rFonts w:ascii="宋体" w:hAnsi="宋体" w:eastAsia="宋体" w:cs="宋体"/>
                <w:color w:val="auto"/>
                <w:szCs w:val="21"/>
                <w:highlight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63B032">
            <w:pPr>
              <w:jc w:val="center"/>
              <w:rPr>
                <w:rFonts w:ascii="宋体" w:hAnsi="宋体" w:eastAsia="宋体" w:cs="宋体"/>
                <w:color w:val="auto"/>
                <w:szCs w:val="21"/>
                <w:highlight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69235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絮凝池、沉淀池、砂滤池、泵房等生产区的楼梯、护栏、走道板要经常清洁，保持干净无蜘蛛网、积尘。</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81B2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楼梯、护栏及走道板未及时清洁有蜘蛛网、积尘的，每处扣0.5分，扣完为止。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588B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C1F11">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53CBEA">
            <w:pPr>
              <w:jc w:val="center"/>
              <w:rPr>
                <w:rFonts w:ascii="宋体" w:hAnsi="宋体" w:eastAsia="宋体" w:cs="宋体"/>
                <w:color w:val="auto"/>
                <w:szCs w:val="21"/>
                <w:highlight w:val="none"/>
              </w:rPr>
            </w:pPr>
          </w:p>
        </w:tc>
      </w:tr>
      <w:tr w14:paraId="5B901AFE">
        <w:tblPrEx>
          <w:tblCellMar>
            <w:top w:w="0" w:type="dxa"/>
            <w:left w:w="108" w:type="dxa"/>
            <w:bottom w:w="0" w:type="dxa"/>
            <w:right w:w="108" w:type="dxa"/>
          </w:tblCellMar>
        </w:tblPrEx>
        <w:trPr>
          <w:trHeight w:val="1035"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0CAC02">
            <w:pPr>
              <w:jc w:val="center"/>
              <w:rPr>
                <w:rFonts w:ascii="宋体" w:hAnsi="宋体" w:eastAsia="宋体" w:cs="宋体"/>
                <w:color w:val="auto"/>
                <w:szCs w:val="21"/>
                <w:highlight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D434DEC">
            <w:pPr>
              <w:jc w:val="center"/>
              <w:rPr>
                <w:rFonts w:ascii="宋体" w:hAnsi="宋体" w:eastAsia="宋体" w:cs="宋体"/>
                <w:color w:val="auto"/>
                <w:szCs w:val="21"/>
                <w:highlight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DE6B31D">
            <w:pPr>
              <w:jc w:val="center"/>
              <w:rPr>
                <w:rFonts w:ascii="宋体" w:hAnsi="宋体" w:eastAsia="宋体" w:cs="宋体"/>
                <w:color w:val="auto"/>
                <w:szCs w:val="21"/>
                <w:highlight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2BE57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絮凝池、沉淀池等池壁干净无附着的污泥、杂草等。</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88D74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生化池池壁未及时清理，有堆积的污泥的，每5米扣0.5分，扣完为止。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18D25A">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1BA1A5">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7922AD">
            <w:pPr>
              <w:jc w:val="center"/>
              <w:rPr>
                <w:rFonts w:ascii="宋体" w:hAnsi="宋体" w:eastAsia="宋体" w:cs="宋体"/>
                <w:color w:val="auto"/>
                <w:szCs w:val="21"/>
                <w:highlight w:val="none"/>
              </w:rPr>
            </w:pPr>
          </w:p>
        </w:tc>
      </w:tr>
      <w:tr w14:paraId="1E7958D9">
        <w:tblPrEx>
          <w:tblCellMar>
            <w:top w:w="0" w:type="dxa"/>
            <w:left w:w="108" w:type="dxa"/>
            <w:bottom w:w="0" w:type="dxa"/>
            <w:right w:w="108" w:type="dxa"/>
          </w:tblCellMar>
        </w:tblPrEx>
        <w:trPr>
          <w:trHeight w:val="1035"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271E62C">
            <w:pPr>
              <w:jc w:val="center"/>
              <w:rPr>
                <w:rFonts w:ascii="宋体" w:hAnsi="宋体" w:eastAsia="宋体" w:cs="宋体"/>
                <w:color w:val="auto"/>
                <w:szCs w:val="21"/>
                <w:highlight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83DE57">
            <w:pPr>
              <w:jc w:val="center"/>
              <w:rPr>
                <w:rFonts w:ascii="宋体" w:hAnsi="宋体" w:eastAsia="宋体" w:cs="宋体"/>
                <w:color w:val="auto"/>
                <w:szCs w:val="21"/>
                <w:highlight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34FD4F">
            <w:pPr>
              <w:jc w:val="center"/>
              <w:rPr>
                <w:rFonts w:ascii="宋体" w:hAnsi="宋体" w:eastAsia="宋体" w:cs="宋体"/>
                <w:color w:val="auto"/>
                <w:szCs w:val="21"/>
                <w:highlight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7EC606">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清洁沉淀池集水槽、砂滤池等，要求无青苔、污泥等附着。</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1EA1B5">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沉淀池集水槽、砂滤池等有青苔、污泥的，每平方米扣1分，扣完为止。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F31E29">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6CC1A4">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23FD8F">
            <w:pPr>
              <w:jc w:val="center"/>
              <w:rPr>
                <w:rFonts w:ascii="宋体" w:hAnsi="宋体" w:eastAsia="宋体" w:cs="宋体"/>
                <w:color w:val="auto"/>
                <w:szCs w:val="21"/>
                <w:highlight w:val="none"/>
              </w:rPr>
            </w:pPr>
          </w:p>
        </w:tc>
      </w:tr>
      <w:tr w14:paraId="2D24C1F3">
        <w:tblPrEx>
          <w:tblCellMar>
            <w:top w:w="0" w:type="dxa"/>
            <w:left w:w="108" w:type="dxa"/>
            <w:bottom w:w="0" w:type="dxa"/>
            <w:right w:w="108" w:type="dxa"/>
          </w:tblCellMar>
        </w:tblPrEx>
        <w:trPr>
          <w:trHeight w:val="78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EB3808">
            <w:pPr>
              <w:jc w:val="center"/>
              <w:rPr>
                <w:rFonts w:ascii="宋体" w:hAnsi="宋体" w:eastAsia="宋体" w:cs="宋体"/>
                <w:color w:val="auto"/>
                <w:szCs w:val="21"/>
                <w:highlight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4E185C">
            <w:pPr>
              <w:jc w:val="center"/>
              <w:rPr>
                <w:rFonts w:ascii="宋体" w:hAnsi="宋体" w:eastAsia="宋体" w:cs="宋体"/>
                <w:color w:val="auto"/>
                <w:szCs w:val="21"/>
                <w:highlight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4C5F45F">
            <w:pPr>
              <w:jc w:val="center"/>
              <w:rPr>
                <w:rFonts w:ascii="宋体" w:hAnsi="宋体" w:eastAsia="宋体" w:cs="宋体"/>
                <w:color w:val="auto"/>
                <w:szCs w:val="21"/>
                <w:highlight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8CD2D0">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排泥车支架应无蜘蛛网、水藻附着。</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54E0F9">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排泥车护栏有蜘蛛网、水藻的，每2米扣0.5分，扣完为止。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5721F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61497F">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1D597C">
            <w:pPr>
              <w:jc w:val="center"/>
              <w:rPr>
                <w:rFonts w:ascii="宋体" w:hAnsi="宋体" w:eastAsia="宋体" w:cs="宋体"/>
                <w:color w:val="auto"/>
                <w:szCs w:val="21"/>
                <w:highlight w:val="none"/>
              </w:rPr>
            </w:pPr>
          </w:p>
        </w:tc>
      </w:tr>
      <w:tr w14:paraId="194E91B9">
        <w:tblPrEx>
          <w:tblCellMar>
            <w:top w:w="0" w:type="dxa"/>
            <w:left w:w="108" w:type="dxa"/>
            <w:bottom w:w="0" w:type="dxa"/>
            <w:right w:w="108" w:type="dxa"/>
          </w:tblCellMar>
        </w:tblPrEx>
        <w:trPr>
          <w:trHeight w:val="780" w:hRule="atLeast"/>
          <w:jc w:val="center"/>
        </w:trPr>
        <w:tc>
          <w:tcPr>
            <w:tcW w:w="39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63FCDF">
            <w:pPr>
              <w:jc w:val="center"/>
              <w:rPr>
                <w:rFonts w:ascii="宋体" w:hAnsi="宋体" w:eastAsia="宋体" w:cs="宋体"/>
                <w:color w:val="auto"/>
                <w:szCs w:val="21"/>
                <w:highlight w:val="none"/>
              </w:rPr>
            </w:pPr>
          </w:p>
        </w:tc>
        <w:tc>
          <w:tcPr>
            <w:tcW w:w="50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FA6851">
            <w:pPr>
              <w:jc w:val="center"/>
              <w:rPr>
                <w:rFonts w:ascii="宋体" w:hAnsi="宋体" w:eastAsia="宋体" w:cs="宋体"/>
                <w:color w:val="auto"/>
                <w:szCs w:val="21"/>
                <w:highlight w:val="none"/>
              </w:rPr>
            </w:pPr>
          </w:p>
        </w:tc>
        <w:tc>
          <w:tcPr>
            <w:tcW w:w="72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1C8F69">
            <w:pPr>
              <w:jc w:val="center"/>
              <w:rPr>
                <w:rFonts w:ascii="宋体" w:hAnsi="宋体" w:eastAsia="宋体" w:cs="宋体"/>
                <w:color w:val="auto"/>
                <w:szCs w:val="21"/>
                <w:highlight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6E9FE8">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排水槽要保持干净无垃圾。</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192CF">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排水槽内有垃圾、杂物的，每个垃圾扣0.2分，扣完为止。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0473C">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E8FC3F">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4EE934">
            <w:pPr>
              <w:jc w:val="center"/>
              <w:rPr>
                <w:rFonts w:ascii="宋体" w:hAnsi="宋体" w:eastAsia="宋体" w:cs="宋体"/>
                <w:color w:val="auto"/>
                <w:szCs w:val="21"/>
                <w:highlight w:val="none"/>
              </w:rPr>
            </w:pPr>
          </w:p>
        </w:tc>
      </w:tr>
      <w:tr w14:paraId="34C8948C">
        <w:tblPrEx>
          <w:tblCellMar>
            <w:top w:w="0" w:type="dxa"/>
            <w:left w:w="108" w:type="dxa"/>
            <w:bottom w:w="0" w:type="dxa"/>
            <w:right w:w="108" w:type="dxa"/>
          </w:tblCellMar>
        </w:tblPrEx>
        <w:trPr>
          <w:trHeight w:val="1035" w:hRule="atLeast"/>
          <w:jc w:val="center"/>
        </w:trPr>
        <w:tc>
          <w:tcPr>
            <w:tcW w:w="393" w:type="pct"/>
            <w:vMerge w:val="restart"/>
            <w:tcBorders>
              <w:top w:val="single" w:color="000000" w:sz="4" w:space="0"/>
              <w:left w:val="single" w:color="000000" w:sz="4" w:space="0"/>
              <w:right w:val="single" w:color="000000" w:sz="4" w:space="0"/>
            </w:tcBorders>
            <w:shd w:val="clear" w:color="auto" w:fill="auto"/>
            <w:vAlign w:val="center"/>
          </w:tcPr>
          <w:p w14:paraId="2CA6685D">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4</w:t>
            </w:r>
          </w:p>
        </w:tc>
        <w:tc>
          <w:tcPr>
            <w:tcW w:w="503" w:type="pct"/>
            <w:vMerge w:val="restart"/>
            <w:tcBorders>
              <w:top w:val="single" w:color="000000" w:sz="4" w:space="0"/>
              <w:left w:val="single" w:color="000000" w:sz="4" w:space="0"/>
              <w:right w:val="single" w:color="000000" w:sz="4" w:space="0"/>
            </w:tcBorders>
            <w:shd w:val="clear" w:color="auto" w:fill="auto"/>
            <w:vAlign w:val="center"/>
          </w:tcPr>
          <w:p w14:paraId="2969DBD2">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1</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分</w:t>
            </w:r>
          </w:p>
        </w:tc>
        <w:tc>
          <w:tcPr>
            <w:tcW w:w="727" w:type="pct"/>
            <w:vMerge w:val="restart"/>
            <w:tcBorders>
              <w:top w:val="single" w:color="000000" w:sz="4" w:space="0"/>
              <w:left w:val="single" w:color="000000" w:sz="4" w:space="0"/>
              <w:right w:val="single" w:color="000000" w:sz="4" w:space="0"/>
            </w:tcBorders>
            <w:shd w:val="clear" w:color="auto" w:fill="auto"/>
            <w:vAlign w:val="center"/>
          </w:tcPr>
          <w:p w14:paraId="21E80C3B">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保洁人员</w:t>
            </w:r>
          </w:p>
        </w:tc>
        <w:tc>
          <w:tcPr>
            <w:tcW w:w="1274" w:type="pct"/>
            <w:vMerge w:val="restart"/>
            <w:tcBorders>
              <w:top w:val="single" w:color="000000" w:sz="4" w:space="0"/>
              <w:left w:val="single" w:color="000000" w:sz="4" w:space="0"/>
              <w:right w:val="single" w:color="000000" w:sz="4" w:space="0"/>
            </w:tcBorders>
            <w:shd w:val="clear" w:color="auto" w:fill="auto"/>
            <w:vAlign w:val="center"/>
          </w:tcPr>
          <w:p w14:paraId="4F5BE9ED">
            <w:pPr>
              <w:widowControl/>
              <w:jc w:val="left"/>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kern w:val="0"/>
                <w:szCs w:val="21"/>
                <w:highlight w:val="none"/>
                <w:lang w:bidi="ar"/>
              </w:rPr>
              <w:t>清理絮凝池、沉淀池等涉及水面的构筑物时必须穿救生衣，佩</w:t>
            </w:r>
            <w:r>
              <w:rPr>
                <w:rFonts w:hint="eastAsia" w:ascii="宋体" w:hAnsi="宋体" w:eastAsia="宋体" w:cs="宋体"/>
                <w:color w:val="auto"/>
                <w:kern w:val="0"/>
                <w:szCs w:val="21"/>
                <w:highlight w:val="none"/>
                <w:lang w:val="en-US" w:eastAsia="zh-CN" w:bidi="ar"/>
              </w:rPr>
              <w:t>戴</w:t>
            </w:r>
            <w:r>
              <w:rPr>
                <w:rFonts w:hint="eastAsia" w:ascii="宋体" w:hAnsi="宋体" w:eastAsia="宋体" w:cs="宋体"/>
                <w:color w:val="auto"/>
                <w:kern w:val="0"/>
                <w:szCs w:val="21"/>
                <w:highlight w:val="none"/>
                <w:lang w:bidi="ar"/>
              </w:rPr>
              <w:t>安全带以及其他劳动保护措施。</w:t>
            </w:r>
            <w:r>
              <w:rPr>
                <w:rFonts w:hint="eastAsia" w:ascii="宋体" w:hAnsi="宋体" w:eastAsia="宋体" w:cs="宋体"/>
                <w:color w:val="auto"/>
                <w:kern w:val="0"/>
                <w:szCs w:val="21"/>
                <w:highlight w:val="none"/>
                <w:lang w:val="en-US" w:eastAsia="zh-CN" w:bidi="ar"/>
              </w:rPr>
              <w:t>严格落实2人或2人以上为一组进行协同作业，不能单独作业，并按要求做好危险作业交底工作。</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91806C">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在作业时未穿戴救生衣、安全带的，每次每人扣</w:t>
            </w:r>
            <w:r>
              <w:rPr>
                <w:rFonts w:hint="eastAsia" w:ascii="宋体" w:hAnsi="宋体" w:eastAsia="宋体" w:cs="宋体"/>
                <w:color w:val="auto"/>
                <w:kern w:val="0"/>
                <w:szCs w:val="21"/>
                <w:highlight w:val="none"/>
                <w:lang w:val="en-US" w:eastAsia="zh-CN" w:bidi="ar"/>
              </w:rPr>
              <w:t>5</w:t>
            </w:r>
            <w:r>
              <w:rPr>
                <w:rFonts w:hint="eastAsia" w:ascii="宋体" w:hAnsi="宋体" w:eastAsia="宋体" w:cs="宋体"/>
                <w:color w:val="auto"/>
                <w:kern w:val="0"/>
                <w:szCs w:val="21"/>
                <w:highlight w:val="none"/>
                <w:lang w:bidi="ar"/>
              </w:rPr>
              <w:t>分，扣完为止。</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5946A">
            <w:pPr>
              <w:widowControl/>
              <w:jc w:val="center"/>
              <w:textAlignment w:val="center"/>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lang w:val="en-US" w:eastAsia="zh-CN"/>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5A1247">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8466D">
            <w:pPr>
              <w:jc w:val="center"/>
              <w:rPr>
                <w:rFonts w:ascii="宋体" w:hAnsi="宋体" w:eastAsia="宋体" w:cs="宋体"/>
                <w:color w:val="auto"/>
                <w:szCs w:val="21"/>
                <w:highlight w:val="none"/>
              </w:rPr>
            </w:pPr>
          </w:p>
        </w:tc>
      </w:tr>
      <w:tr w14:paraId="5D891096">
        <w:tblPrEx>
          <w:tblCellMar>
            <w:top w:w="0" w:type="dxa"/>
            <w:left w:w="108" w:type="dxa"/>
            <w:bottom w:w="0" w:type="dxa"/>
            <w:right w:w="108" w:type="dxa"/>
          </w:tblCellMar>
        </w:tblPrEx>
        <w:trPr>
          <w:trHeight w:val="1035" w:hRule="atLeast"/>
          <w:jc w:val="center"/>
        </w:trPr>
        <w:tc>
          <w:tcPr>
            <w:tcW w:w="393" w:type="pct"/>
            <w:vMerge w:val="continue"/>
            <w:tcBorders>
              <w:left w:val="single" w:color="000000" w:sz="4" w:space="0"/>
              <w:bottom w:val="single" w:color="auto" w:sz="4" w:space="0"/>
              <w:right w:val="single" w:color="000000" w:sz="4" w:space="0"/>
            </w:tcBorders>
            <w:shd w:val="clear" w:color="auto" w:fill="auto"/>
            <w:vAlign w:val="center"/>
          </w:tcPr>
          <w:p w14:paraId="41E6237D">
            <w:pPr>
              <w:widowControl/>
              <w:jc w:val="center"/>
              <w:textAlignment w:val="center"/>
              <w:rPr>
                <w:rFonts w:hint="eastAsia" w:ascii="宋体" w:hAnsi="宋体" w:eastAsia="宋体" w:cs="宋体"/>
                <w:color w:val="auto"/>
                <w:kern w:val="0"/>
                <w:szCs w:val="21"/>
                <w:highlight w:val="none"/>
                <w:lang w:bidi="ar"/>
              </w:rPr>
            </w:pPr>
          </w:p>
        </w:tc>
        <w:tc>
          <w:tcPr>
            <w:tcW w:w="503" w:type="pct"/>
            <w:vMerge w:val="continue"/>
            <w:tcBorders>
              <w:left w:val="single" w:color="000000" w:sz="4" w:space="0"/>
              <w:bottom w:val="single" w:color="auto" w:sz="4" w:space="0"/>
              <w:right w:val="single" w:color="000000" w:sz="4" w:space="0"/>
            </w:tcBorders>
            <w:shd w:val="clear" w:color="auto" w:fill="auto"/>
            <w:vAlign w:val="center"/>
          </w:tcPr>
          <w:p w14:paraId="4BB01035">
            <w:pPr>
              <w:widowControl/>
              <w:jc w:val="center"/>
              <w:textAlignment w:val="center"/>
              <w:rPr>
                <w:rFonts w:hint="eastAsia" w:ascii="宋体" w:hAnsi="宋体" w:eastAsia="宋体" w:cs="宋体"/>
                <w:color w:val="auto"/>
                <w:kern w:val="0"/>
                <w:szCs w:val="21"/>
                <w:highlight w:val="none"/>
                <w:lang w:bidi="ar"/>
              </w:rPr>
            </w:pPr>
          </w:p>
        </w:tc>
        <w:tc>
          <w:tcPr>
            <w:tcW w:w="727" w:type="pct"/>
            <w:vMerge w:val="continue"/>
            <w:tcBorders>
              <w:left w:val="single" w:color="000000" w:sz="4" w:space="0"/>
              <w:bottom w:val="single" w:color="auto" w:sz="4" w:space="0"/>
              <w:right w:val="single" w:color="000000" w:sz="4" w:space="0"/>
            </w:tcBorders>
            <w:shd w:val="clear" w:color="auto" w:fill="auto"/>
            <w:vAlign w:val="center"/>
          </w:tcPr>
          <w:p w14:paraId="75ECFB71">
            <w:pPr>
              <w:widowControl/>
              <w:jc w:val="center"/>
              <w:textAlignment w:val="center"/>
              <w:rPr>
                <w:rFonts w:hint="eastAsia" w:ascii="宋体" w:hAnsi="宋体" w:eastAsia="宋体" w:cs="宋体"/>
                <w:color w:val="auto"/>
                <w:kern w:val="0"/>
                <w:szCs w:val="21"/>
                <w:highlight w:val="none"/>
                <w:lang w:bidi="ar"/>
              </w:rPr>
            </w:pPr>
          </w:p>
        </w:tc>
        <w:tc>
          <w:tcPr>
            <w:tcW w:w="1274" w:type="pct"/>
            <w:vMerge w:val="continue"/>
            <w:tcBorders>
              <w:left w:val="single" w:color="000000" w:sz="4" w:space="0"/>
              <w:bottom w:val="single" w:color="000000" w:sz="4" w:space="0"/>
              <w:right w:val="single" w:color="000000" w:sz="4" w:space="0"/>
            </w:tcBorders>
            <w:shd w:val="clear" w:color="auto" w:fill="auto"/>
            <w:vAlign w:val="center"/>
          </w:tcPr>
          <w:p w14:paraId="01D5594D">
            <w:pPr>
              <w:widowControl/>
              <w:jc w:val="left"/>
              <w:textAlignment w:val="center"/>
              <w:rPr>
                <w:rFonts w:hint="eastAsia" w:ascii="宋体" w:hAnsi="宋体" w:eastAsia="宋体" w:cs="宋体"/>
                <w:color w:val="auto"/>
                <w:kern w:val="0"/>
                <w:szCs w:val="21"/>
                <w:highlight w:val="none"/>
                <w:lang w:bidi="ar"/>
              </w:rPr>
            </w:pP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01EA95">
            <w:pPr>
              <w:widowControl/>
              <w:jc w:val="left"/>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未落实2人或2人以上为一组进行协同作业，未按要求做好危险作业交底工作的，每次扣10分</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A5B7A1">
            <w:pPr>
              <w:widowControl/>
              <w:jc w:val="center"/>
              <w:textAlignment w:val="center"/>
              <w:rPr>
                <w:rFonts w:hint="default" w:ascii="宋体" w:hAnsi="宋体" w:eastAsia="宋体" w:cs="宋体"/>
                <w:color w:val="auto"/>
                <w:szCs w:val="21"/>
                <w:highlight w:val="none"/>
                <w:lang w:val="en-US" w:eastAsia="zh-CN"/>
              </w:rPr>
            </w:pPr>
            <w:r>
              <w:rPr>
                <w:rFonts w:hint="eastAsia" w:ascii="宋体" w:hAnsi="宋体" w:eastAsia="宋体" w:cs="宋体"/>
                <w:color w:val="auto"/>
                <w:szCs w:val="21"/>
                <w:highlight w:val="none"/>
                <w:lang w:val="en-US" w:eastAsia="zh-CN"/>
              </w:rPr>
              <w:t>10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05963E">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9C13D">
            <w:pPr>
              <w:jc w:val="center"/>
              <w:rPr>
                <w:rFonts w:ascii="宋体" w:hAnsi="宋体" w:eastAsia="宋体" w:cs="宋体"/>
                <w:color w:val="auto"/>
                <w:szCs w:val="21"/>
                <w:highlight w:val="none"/>
              </w:rPr>
            </w:pPr>
          </w:p>
        </w:tc>
      </w:tr>
      <w:tr w14:paraId="47CE4A36">
        <w:tblPrEx>
          <w:tblCellMar>
            <w:top w:w="0" w:type="dxa"/>
            <w:left w:w="108" w:type="dxa"/>
            <w:bottom w:w="0" w:type="dxa"/>
            <w:right w:w="108" w:type="dxa"/>
          </w:tblCellMar>
        </w:tblPrEx>
        <w:trPr>
          <w:trHeight w:val="1290" w:hRule="atLeast"/>
          <w:jc w:val="center"/>
        </w:trPr>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5EF8BADE">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5</w:t>
            </w:r>
          </w:p>
        </w:tc>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5408DA4C">
            <w:pPr>
              <w:widowControl/>
              <w:jc w:val="center"/>
              <w:textAlignment w:val="center"/>
              <w:rPr>
                <w:rFonts w:ascii="宋体" w:hAnsi="宋体" w:eastAsia="宋体" w:cs="宋体"/>
                <w:color w:val="auto"/>
                <w:szCs w:val="21"/>
                <w:highlight w:val="none"/>
              </w:rPr>
            </w:pPr>
            <w:r>
              <w:rPr>
                <w:rFonts w:hint="default" w:ascii="宋体" w:hAnsi="宋体" w:eastAsia="宋体" w:cs="宋体"/>
                <w:color w:val="auto"/>
                <w:kern w:val="0"/>
                <w:szCs w:val="21"/>
                <w:highlight w:val="none"/>
                <w:lang w:val="en-US" w:bidi="ar"/>
              </w:rPr>
              <w:t>5</w:t>
            </w:r>
            <w:r>
              <w:rPr>
                <w:rFonts w:hint="eastAsia" w:ascii="宋体" w:hAnsi="宋体" w:eastAsia="宋体" w:cs="宋体"/>
                <w:color w:val="auto"/>
                <w:kern w:val="0"/>
                <w:szCs w:val="21"/>
                <w:highlight w:val="none"/>
                <w:lang w:bidi="ar"/>
              </w:rPr>
              <w:t>分</w:t>
            </w:r>
          </w:p>
        </w:tc>
        <w:tc>
          <w:tcPr>
            <w:tcW w:w="727" w:type="pct"/>
            <w:tcBorders>
              <w:top w:val="single" w:color="auto" w:sz="4" w:space="0"/>
              <w:left w:val="single" w:color="auto" w:sz="4" w:space="0"/>
              <w:bottom w:val="single" w:color="auto" w:sz="4" w:space="0"/>
              <w:right w:val="single" w:color="auto" w:sz="4" w:space="0"/>
            </w:tcBorders>
            <w:shd w:val="clear" w:color="auto" w:fill="auto"/>
            <w:vAlign w:val="center"/>
          </w:tcPr>
          <w:p w14:paraId="0578A753">
            <w:pPr>
              <w:widowControl/>
              <w:jc w:val="center"/>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bidi="ar"/>
              </w:rPr>
              <w:t>其它要求</w:t>
            </w:r>
          </w:p>
        </w:tc>
        <w:tc>
          <w:tcPr>
            <w:tcW w:w="1274" w:type="pct"/>
            <w:tcBorders>
              <w:top w:val="single" w:color="000000" w:sz="4" w:space="0"/>
              <w:left w:val="single" w:color="auto" w:sz="4" w:space="0"/>
              <w:bottom w:val="single" w:color="000000" w:sz="4" w:space="0"/>
              <w:right w:val="single" w:color="000000" w:sz="4" w:space="0"/>
            </w:tcBorders>
            <w:shd w:val="clear" w:color="auto" w:fill="auto"/>
            <w:vAlign w:val="center"/>
          </w:tcPr>
          <w:p w14:paraId="6A83D272">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服从甲方突击性任务、迎检活动安排、紧急服务等工作要求。</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1BF71D">
            <w:pPr>
              <w:widowControl/>
              <w:jc w:val="left"/>
              <w:textAlignment w:val="center"/>
              <w:rPr>
                <w:rFonts w:ascii="宋体" w:hAnsi="宋体" w:eastAsia="宋体" w:cs="宋体"/>
                <w:color w:val="auto"/>
                <w:szCs w:val="21"/>
                <w:highlight w:val="none"/>
              </w:rPr>
            </w:pPr>
            <w:r>
              <w:rPr>
                <w:rFonts w:hint="eastAsia" w:ascii="宋体" w:hAnsi="宋体" w:eastAsia="宋体" w:cs="宋体"/>
                <w:color w:val="auto"/>
                <w:kern w:val="0"/>
                <w:szCs w:val="21"/>
                <w:highlight w:val="none"/>
                <w:lang w:val="en-US" w:eastAsia="zh-CN" w:bidi="ar"/>
              </w:rPr>
              <w:t>无正当理由拒不服从的，每次扣5分。</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D35FF9">
            <w:pPr>
              <w:widowControl/>
              <w:jc w:val="center"/>
              <w:textAlignment w:val="center"/>
              <w:rPr>
                <w:rFonts w:hint="eastAsia" w:ascii="宋体" w:hAnsi="宋体" w:eastAsia="宋体" w:cs="宋体"/>
                <w:color w:val="auto"/>
                <w:szCs w:val="21"/>
                <w:highlight w:val="none"/>
                <w:lang w:val="en-US" w:eastAsia="zh-CN"/>
              </w:rPr>
            </w:pPr>
            <w:r>
              <w:rPr>
                <w:rFonts w:hint="default" w:ascii="宋体" w:hAnsi="宋体" w:eastAsia="宋体" w:cs="宋体"/>
                <w:color w:val="auto"/>
                <w:kern w:val="0"/>
                <w:szCs w:val="21"/>
                <w:highlight w:val="none"/>
                <w:lang w:val="en-US" w:bidi="ar"/>
              </w:rPr>
              <w:t>5</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28CCB">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3149D1">
            <w:pPr>
              <w:jc w:val="center"/>
              <w:rPr>
                <w:rFonts w:ascii="宋体" w:hAnsi="宋体" w:eastAsia="宋体" w:cs="宋体"/>
                <w:color w:val="auto"/>
                <w:szCs w:val="21"/>
                <w:highlight w:val="none"/>
              </w:rPr>
            </w:pPr>
          </w:p>
        </w:tc>
      </w:tr>
      <w:tr w14:paraId="10EA7E35">
        <w:tblPrEx>
          <w:tblCellMar>
            <w:top w:w="0" w:type="dxa"/>
            <w:left w:w="108" w:type="dxa"/>
            <w:bottom w:w="0" w:type="dxa"/>
            <w:right w:w="108" w:type="dxa"/>
          </w:tblCellMar>
        </w:tblPrEx>
        <w:trPr>
          <w:trHeight w:val="1290" w:hRule="atLeast"/>
          <w:jc w:val="center"/>
        </w:trPr>
        <w:tc>
          <w:tcPr>
            <w:tcW w:w="393" w:type="pct"/>
            <w:tcBorders>
              <w:top w:val="single" w:color="auto" w:sz="4" w:space="0"/>
              <w:left w:val="single" w:color="auto" w:sz="4" w:space="0"/>
              <w:bottom w:val="single" w:color="auto" w:sz="4" w:space="0"/>
              <w:right w:val="single" w:color="auto" w:sz="4" w:space="0"/>
            </w:tcBorders>
            <w:shd w:val="clear" w:color="auto" w:fill="auto"/>
            <w:vAlign w:val="center"/>
          </w:tcPr>
          <w:p w14:paraId="2554285E">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6</w:t>
            </w:r>
          </w:p>
        </w:tc>
        <w:tc>
          <w:tcPr>
            <w:tcW w:w="123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881A6A6">
            <w:pPr>
              <w:widowControl/>
              <w:jc w:val="center"/>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扣分项</w:t>
            </w:r>
          </w:p>
        </w:tc>
        <w:tc>
          <w:tcPr>
            <w:tcW w:w="1274" w:type="pct"/>
            <w:tcBorders>
              <w:top w:val="single" w:color="000000" w:sz="4" w:space="0"/>
              <w:left w:val="single" w:color="auto" w:sz="4" w:space="0"/>
              <w:bottom w:val="single" w:color="000000" w:sz="4" w:space="0"/>
              <w:right w:val="single" w:color="000000" w:sz="4" w:space="0"/>
            </w:tcBorders>
            <w:shd w:val="clear" w:color="auto" w:fill="auto"/>
            <w:vAlign w:val="center"/>
          </w:tcPr>
          <w:p w14:paraId="36639695">
            <w:pPr>
              <w:widowControl/>
              <w:jc w:val="left"/>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未在合同约定期限内更换或补充甲方所需人员的。</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36D8">
            <w:pPr>
              <w:widowControl/>
              <w:jc w:val="left"/>
              <w:textAlignment w:val="center"/>
              <w:rPr>
                <w:rFonts w:hint="default"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每违反一次</w:t>
            </w:r>
            <w:r>
              <w:rPr>
                <w:rFonts w:hint="default" w:ascii="宋体" w:hAnsi="宋体" w:eastAsia="宋体" w:cs="宋体"/>
                <w:color w:val="auto"/>
                <w:kern w:val="0"/>
                <w:szCs w:val="21"/>
                <w:highlight w:val="none"/>
                <w:lang w:val="en-US" w:eastAsia="zh-CN" w:bidi="ar"/>
              </w:rPr>
              <w:t>扣</w:t>
            </w:r>
            <w:r>
              <w:rPr>
                <w:rFonts w:hint="eastAsia" w:ascii="宋体" w:hAnsi="宋体" w:eastAsia="宋体" w:cs="宋体"/>
                <w:color w:val="auto"/>
                <w:kern w:val="0"/>
                <w:szCs w:val="21"/>
                <w:highlight w:val="none"/>
                <w:lang w:val="en-US" w:eastAsia="zh-CN" w:bidi="ar"/>
              </w:rPr>
              <w:t>10</w:t>
            </w:r>
            <w:r>
              <w:rPr>
                <w:rFonts w:hint="default" w:ascii="宋体" w:hAnsi="宋体" w:eastAsia="宋体" w:cs="宋体"/>
                <w:color w:val="auto"/>
                <w:kern w:val="0"/>
                <w:szCs w:val="21"/>
                <w:highlight w:val="none"/>
                <w:lang w:val="en-US" w:eastAsia="zh-CN" w:bidi="ar"/>
              </w:rPr>
              <w:t>分。</w:t>
            </w: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BC6516">
            <w:pPr>
              <w:widowControl/>
              <w:jc w:val="center"/>
              <w:textAlignment w:val="center"/>
              <w:rPr>
                <w:rFonts w:hint="eastAsia" w:ascii="宋体" w:hAnsi="宋体" w:eastAsia="宋体" w:cs="宋体"/>
                <w:color w:val="auto"/>
                <w:kern w:val="0"/>
                <w:szCs w:val="21"/>
                <w:highlight w:val="none"/>
                <w:lang w:val="en-US" w:eastAsia="zh-CN" w:bidi="ar"/>
              </w:rPr>
            </w:pPr>
            <w:r>
              <w:rPr>
                <w:rFonts w:hint="eastAsia" w:ascii="宋体" w:hAnsi="宋体" w:eastAsia="宋体" w:cs="宋体"/>
                <w:color w:val="auto"/>
                <w:kern w:val="0"/>
                <w:szCs w:val="21"/>
                <w:highlight w:val="none"/>
                <w:lang w:val="en-US" w:eastAsia="zh-CN" w:bidi="ar"/>
              </w:rPr>
              <w:t>0</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E95FB6">
            <w:pPr>
              <w:jc w:val="center"/>
              <w:rPr>
                <w:rFonts w:ascii="宋体" w:hAnsi="宋体" w:eastAsia="宋体" w:cs="宋体"/>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BE21A">
            <w:pPr>
              <w:jc w:val="center"/>
              <w:rPr>
                <w:rFonts w:ascii="宋体" w:hAnsi="宋体" w:eastAsia="宋体" w:cs="宋体"/>
                <w:color w:val="auto"/>
                <w:szCs w:val="21"/>
                <w:highlight w:val="none"/>
              </w:rPr>
            </w:pPr>
          </w:p>
        </w:tc>
      </w:tr>
      <w:tr w14:paraId="1FAE76B1">
        <w:tblPrEx>
          <w:tblCellMar>
            <w:top w:w="0" w:type="dxa"/>
            <w:left w:w="108" w:type="dxa"/>
            <w:bottom w:w="0" w:type="dxa"/>
            <w:right w:w="108" w:type="dxa"/>
          </w:tblCellMar>
        </w:tblPrEx>
        <w:trPr>
          <w:trHeight w:val="421" w:hRule="atLeast"/>
          <w:jc w:val="center"/>
        </w:trPr>
        <w:tc>
          <w:tcPr>
            <w:tcW w:w="3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CCE198">
            <w:pPr>
              <w:widowControl/>
              <w:jc w:val="left"/>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合计</w:t>
            </w:r>
          </w:p>
        </w:tc>
        <w:tc>
          <w:tcPr>
            <w:tcW w:w="3829"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076833D5">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100分</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4C22074">
            <w:pPr>
              <w:jc w:val="center"/>
              <w:rPr>
                <w:rFonts w:ascii="宋体" w:hAnsi="宋体" w:eastAsia="宋体" w:cs="宋体"/>
                <w:b/>
                <w:bCs/>
                <w:color w:val="auto"/>
                <w:szCs w:val="21"/>
                <w:highlight w:val="none"/>
              </w:rPr>
            </w:pPr>
          </w:p>
        </w:tc>
        <w:tc>
          <w:tcPr>
            <w:tcW w:w="40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CF32FF">
            <w:pPr>
              <w:jc w:val="center"/>
              <w:rPr>
                <w:rFonts w:ascii="宋体" w:hAnsi="宋体" w:eastAsia="宋体" w:cs="宋体"/>
                <w:b/>
                <w:bCs/>
                <w:color w:val="auto"/>
                <w:szCs w:val="21"/>
                <w:highlight w:val="none"/>
              </w:rPr>
            </w:pPr>
          </w:p>
        </w:tc>
      </w:tr>
      <w:tr w14:paraId="7678C63C">
        <w:tblPrEx>
          <w:tblCellMar>
            <w:top w:w="0" w:type="dxa"/>
            <w:left w:w="108" w:type="dxa"/>
            <w:bottom w:w="0" w:type="dxa"/>
            <w:right w:w="108" w:type="dxa"/>
          </w:tblCellMar>
        </w:tblPrEx>
        <w:trPr>
          <w:trHeight w:val="480" w:hRule="atLeast"/>
          <w:jc w:val="center"/>
        </w:trPr>
        <w:tc>
          <w:tcPr>
            <w:tcW w:w="89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B384B86">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考核结果</w:t>
            </w:r>
          </w:p>
        </w:tc>
        <w:tc>
          <w:tcPr>
            <w:tcW w:w="7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25DDEF">
            <w:pPr>
              <w:jc w:val="center"/>
              <w:rPr>
                <w:rFonts w:ascii="宋体" w:hAnsi="宋体" w:eastAsia="宋体" w:cs="宋体"/>
                <w:b/>
                <w:bCs/>
                <w:color w:val="auto"/>
                <w:szCs w:val="21"/>
                <w:highlight w:val="none"/>
              </w:rPr>
            </w:pPr>
          </w:p>
        </w:tc>
        <w:tc>
          <w:tcPr>
            <w:tcW w:w="127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FFA51B">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合格</w:t>
            </w:r>
          </w:p>
        </w:tc>
        <w:tc>
          <w:tcPr>
            <w:tcW w:w="8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397BCB">
            <w:pPr>
              <w:jc w:val="center"/>
              <w:rPr>
                <w:rFonts w:ascii="宋体" w:hAnsi="宋体" w:eastAsia="宋体" w:cs="宋体"/>
                <w:b/>
                <w:bCs/>
                <w:color w:val="auto"/>
                <w:szCs w:val="21"/>
                <w:highlight w:val="none"/>
              </w:rPr>
            </w:pPr>
          </w:p>
        </w:tc>
        <w:tc>
          <w:tcPr>
            <w:tcW w:w="4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B067B">
            <w:pPr>
              <w:widowControl/>
              <w:jc w:val="center"/>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不合格</w:t>
            </w:r>
          </w:p>
        </w:tc>
        <w:tc>
          <w:tcPr>
            <w:tcW w:w="77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8F1285">
            <w:pPr>
              <w:jc w:val="center"/>
              <w:rPr>
                <w:rFonts w:ascii="宋体" w:hAnsi="宋体" w:eastAsia="宋体" w:cs="宋体"/>
                <w:b/>
                <w:bCs/>
                <w:color w:val="auto"/>
                <w:szCs w:val="21"/>
                <w:highlight w:val="none"/>
              </w:rPr>
            </w:pPr>
          </w:p>
        </w:tc>
      </w:tr>
      <w:tr w14:paraId="504BB42B">
        <w:tblPrEx>
          <w:tblCellMar>
            <w:top w:w="0" w:type="dxa"/>
            <w:left w:w="108" w:type="dxa"/>
            <w:bottom w:w="0" w:type="dxa"/>
            <w:right w:w="108" w:type="dxa"/>
          </w:tblCellMar>
        </w:tblPrEx>
        <w:trPr>
          <w:trHeight w:val="1009" w:hRule="atLeast"/>
          <w:jc w:val="center"/>
        </w:trPr>
        <w:tc>
          <w:tcPr>
            <w:tcW w:w="5000"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0CA7C36C">
            <w:pPr>
              <w:widowControl/>
              <w:textAlignment w:val="center"/>
              <w:rPr>
                <w:rFonts w:ascii="宋体" w:hAnsi="宋体" w:eastAsia="宋体" w:cs="宋体"/>
                <w:b/>
                <w:bCs/>
                <w:color w:val="auto"/>
                <w:szCs w:val="21"/>
                <w:highlight w:val="none"/>
              </w:rPr>
            </w:pPr>
            <w:r>
              <w:rPr>
                <w:rFonts w:hint="eastAsia" w:ascii="宋体" w:hAnsi="宋体" w:eastAsia="宋体" w:cs="宋体"/>
                <w:b/>
                <w:bCs/>
                <w:color w:val="auto"/>
                <w:kern w:val="0"/>
                <w:szCs w:val="21"/>
                <w:highlight w:val="none"/>
                <w:lang w:bidi="ar"/>
              </w:rPr>
              <w:t>意见及建议</w:t>
            </w:r>
          </w:p>
        </w:tc>
      </w:tr>
    </w:tbl>
    <w:p w14:paraId="77EAA01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21"/>
          <w:szCs w:val="21"/>
          <w:highlight w:val="none"/>
          <w:lang w:bidi="ar"/>
        </w:rPr>
      </w:pPr>
    </w:p>
    <w:p w14:paraId="26398D4E">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宋体"/>
          <w:szCs w:val="21"/>
          <w:highlight w:val="none"/>
        </w:rPr>
      </w:pPr>
      <w:r>
        <w:rPr>
          <w:rFonts w:hint="eastAsia" w:ascii="宋体" w:hAnsi="宋体" w:eastAsia="宋体" w:cs="宋体"/>
          <w:kern w:val="0"/>
          <w:sz w:val="21"/>
          <w:szCs w:val="21"/>
          <w:highlight w:val="none"/>
          <w:lang w:bidi="ar"/>
        </w:rPr>
        <w:t>考核单位：                     考核人：                        考核时间：</w:t>
      </w:r>
    </w:p>
    <w:p w14:paraId="654857C2">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21"/>
          <w:szCs w:val="21"/>
          <w:highlight w:val="none"/>
          <w:lang w:bidi="ar"/>
        </w:rPr>
      </w:pPr>
    </w:p>
    <w:p w14:paraId="70EDB85C">
      <w:pPr>
        <w:keepNext w:val="0"/>
        <w:keepLines w:val="0"/>
        <w:pageBreakBefore w:val="0"/>
        <w:widowControl w:val="0"/>
        <w:kinsoku/>
        <w:wordWrap/>
        <w:overflowPunct/>
        <w:topLinePunct w:val="0"/>
        <w:autoSpaceDE w:val="0"/>
        <w:autoSpaceDN w:val="0"/>
        <w:bidi w:val="0"/>
        <w:adjustRightInd w:val="0"/>
        <w:snapToGrid w:val="0"/>
        <w:spacing w:line="360" w:lineRule="auto"/>
        <w:ind w:firstLine="0" w:firstLineChars="0"/>
        <w:jc w:val="left"/>
        <w:textAlignment w:val="auto"/>
        <w:rPr>
          <w:rFonts w:ascii="宋体" w:hAnsi="宋体" w:eastAsia="宋体" w:cs="宋体"/>
          <w:szCs w:val="21"/>
          <w:highlight w:val="none"/>
        </w:rPr>
      </w:pPr>
      <w:r>
        <w:rPr>
          <w:rFonts w:hint="eastAsia" w:ascii="宋体" w:hAnsi="宋体" w:eastAsia="宋体" w:cs="宋体"/>
          <w:kern w:val="0"/>
          <w:sz w:val="21"/>
          <w:szCs w:val="21"/>
          <w:highlight w:val="none"/>
          <w:lang w:bidi="ar"/>
        </w:rPr>
        <w:t>注：1、本考核评比实行百分制,与实际服务费挂钩。</w:t>
      </w:r>
    </w:p>
    <w:p w14:paraId="68ABE4E1">
      <w:pPr>
        <w:keepNext w:val="0"/>
        <w:keepLines w:val="0"/>
        <w:pageBreakBefore w:val="0"/>
        <w:widowControl w:val="0"/>
        <w:kinsoku/>
        <w:wordWrap/>
        <w:overflowPunct/>
        <w:topLinePunct w:val="0"/>
        <w:autoSpaceDE w:val="0"/>
        <w:autoSpaceDN w:val="0"/>
        <w:bidi w:val="0"/>
        <w:adjustRightInd w:val="0"/>
        <w:snapToGrid w:val="0"/>
        <w:spacing w:line="360" w:lineRule="auto"/>
        <w:ind w:firstLine="424" w:firstLineChars="202"/>
        <w:jc w:val="left"/>
        <w:textAlignment w:val="auto"/>
        <w:rPr>
          <w:rFonts w:ascii="宋体" w:hAnsi="宋体" w:eastAsia="宋体" w:cs="宋体"/>
          <w:szCs w:val="21"/>
          <w:highlight w:val="none"/>
        </w:rPr>
      </w:pPr>
      <w:r>
        <w:rPr>
          <w:rFonts w:hint="eastAsia" w:ascii="宋体" w:hAnsi="宋体" w:eastAsia="宋体" w:cs="宋体"/>
          <w:kern w:val="0"/>
          <w:sz w:val="21"/>
          <w:szCs w:val="21"/>
          <w:highlight w:val="none"/>
          <w:lang w:bidi="ar"/>
        </w:rPr>
        <w:t>2、每项考评对应无扣分的，实得分等于应得分。</w:t>
      </w:r>
    </w:p>
    <w:p w14:paraId="28E43241">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bidi="ar"/>
        </w:rPr>
        <w:t>3、</w:t>
      </w:r>
      <w:r>
        <w:rPr>
          <w:rFonts w:hint="eastAsia" w:ascii="宋体" w:hAnsi="宋体" w:eastAsia="宋体" w:cs="宋体"/>
          <w:kern w:val="0"/>
          <w:sz w:val="21"/>
          <w:szCs w:val="21"/>
          <w:highlight w:val="none"/>
          <w:lang w:val="en-US" w:eastAsia="zh-CN" w:bidi="ar"/>
        </w:rPr>
        <w:t>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每月根据考评结果情况支付实际服务费给</w:t>
      </w:r>
      <w:r>
        <w:rPr>
          <w:rFonts w:hint="eastAsia" w:ascii="宋体" w:hAnsi="宋体" w:eastAsia="宋体" w:cs="宋体"/>
          <w:kern w:val="0"/>
          <w:sz w:val="21"/>
          <w:szCs w:val="21"/>
          <w:highlight w:val="none"/>
          <w:lang w:val="en-US" w:eastAsia="zh-CN" w:bidi="ar"/>
        </w:rPr>
        <w:t>乙方</w:t>
      </w:r>
      <w:r>
        <w:rPr>
          <w:rFonts w:hint="eastAsia" w:ascii="宋体" w:hAnsi="宋体" w:eastAsia="宋体" w:cs="宋体"/>
          <w:kern w:val="0"/>
          <w:sz w:val="21"/>
          <w:szCs w:val="21"/>
          <w:highlight w:val="none"/>
          <w:lang w:eastAsia="zh-CN" w:bidi="ar"/>
        </w:rPr>
        <w:t>：</w:t>
      </w:r>
    </w:p>
    <w:p w14:paraId="70DE9597">
      <w:pPr>
        <w:autoSpaceDE w:val="0"/>
        <w:autoSpaceDN w:val="0"/>
        <w:adjustRightInd w:val="0"/>
        <w:snapToGrid w:val="0"/>
        <w:spacing w:line="360" w:lineRule="auto"/>
        <w:ind w:firstLine="420" w:firstLineChars="200"/>
        <w:jc w:val="left"/>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1</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当实际考核项目总分满分为100分，</w:t>
      </w:r>
      <w:r>
        <w:rPr>
          <w:rFonts w:hint="eastAsia" w:ascii="宋体" w:hAnsi="宋体" w:eastAsia="宋体" w:cs="宋体"/>
          <w:kern w:val="0"/>
          <w:sz w:val="21"/>
          <w:szCs w:val="21"/>
          <w:highlight w:val="none"/>
          <w:lang w:bidi="ar"/>
        </w:rPr>
        <w:t>如</w:t>
      </w:r>
      <w:r>
        <w:rPr>
          <w:rFonts w:hint="eastAsia" w:ascii="宋体" w:hAnsi="宋体" w:eastAsia="宋体" w:cs="宋体"/>
          <w:kern w:val="0"/>
          <w:sz w:val="21"/>
          <w:szCs w:val="21"/>
          <w:highlight w:val="none"/>
          <w:lang w:val="en-US" w:eastAsia="zh-CN" w:bidi="ar"/>
        </w:rPr>
        <w:t>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对</w:t>
      </w:r>
      <w:r>
        <w:rPr>
          <w:rFonts w:hint="eastAsia" w:ascii="宋体" w:hAnsi="宋体" w:eastAsia="宋体" w:cs="宋体"/>
          <w:kern w:val="0"/>
          <w:sz w:val="21"/>
          <w:szCs w:val="21"/>
          <w:highlight w:val="none"/>
          <w:lang w:val="en-US" w:eastAsia="zh-CN" w:bidi="ar"/>
        </w:rPr>
        <w:t>乙方</w:t>
      </w:r>
      <w:r>
        <w:rPr>
          <w:rFonts w:hint="eastAsia" w:ascii="宋体" w:hAnsi="宋体" w:eastAsia="宋体" w:cs="宋体"/>
          <w:kern w:val="0"/>
          <w:sz w:val="21"/>
          <w:szCs w:val="21"/>
          <w:highlight w:val="none"/>
          <w:lang w:bidi="ar"/>
        </w:rPr>
        <w:t>的服务考核评分达到90分或以上的，该月服务费全额支付；如</w:t>
      </w:r>
      <w:r>
        <w:rPr>
          <w:rFonts w:hint="eastAsia" w:ascii="宋体" w:hAnsi="宋体" w:eastAsia="宋体" w:cs="宋体"/>
          <w:kern w:val="0"/>
          <w:sz w:val="21"/>
          <w:szCs w:val="21"/>
          <w:highlight w:val="none"/>
          <w:lang w:val="en-US" w:eastAsia="zh-CN" w:bidi="ar"/>
        </w:rPr>
        <w:t>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对</w:t>
      </w:r>
      <w:r>
        <w:rPr>
          <w:rFonts w:hint="eastAsia" w:ascii="宋体" w:hAnsi="宋体" w:eastAsia="宋体" w:cs="宋体"/>
          <w:kern w:val="0"/>
          <w:sz w:val="21"/>
          <w:szCs w:val="21"/>
          <w:highlight w:val="none"/>
          <w:lang w:val="en-US" w:eastAsia="zh-CN" w:bidi="ar"/>
        </w:rPr>
        <w:t>乙方</w:t>
      </w:r>
      <w:r>
        <w:rPr>
          <w:rFonts w:hint="eastAsia" w:ascii="宋体" w:hAnsi="宋体" w:eastAsia="宋体" w:cs="宋体"/>
          <w:kern w:val="0"/>
          <w:sz w:val="21"/>
          <w:szCs w:val="21"/>
          <w:highlight w:val="none"/>
          <w:lang w:bidi="ar"/>
        </w:rPr>
        <w:t>的服务考核评分不足90分的，该月实际支付的服务费=该月应支付服务费×当月考核评分占比；如发现累计两个月未达到60分时，</w:t>
      </w:r>
      <w:r>
        <w:rPr>
          <w:rFonts w:hint="eastAsia" w:ascii="宋体" w:hAnsi="宋体" w:eastAsia="宋体" w:cs="宋体"/>
          <w:kern w:val="0"/>
          <w:szCs w:val="21"/>
          <w:highlight w:val="none"/>
          <w:lang w:bidi="ar"/>
        </w:rPr>
        <w:t>且</w:t>
      </w:r>
      <w:r>
        <w:rPr>
          <w:rFonts w:hint="eastAsia" w:ascii="宋体" w:hAnsi="宋体" w:eastAsia="宋体" w:cs="宋体"/>
          <w:kern w:val="0"/>
          <w:szCs w:val="21"/>
          <w:highlight w:val="none"/>
          <w:lang w:val="en-US" w:eastAsia="zh-CN" w:bidi="ar"/>
        </w:rPr>
        <w:t>乙方</w:t>
      </w:r>
      <w:r>
        <w:rPr>
          <w:rFonts w:hint="eastAsia" w:ascii="宋体" w:hAnsi="宋体" w:eastAsia="宋体" w:cs="宋体"/>
          <w:kern w:val="0"/>
          <w:szCs w:val="21"/>
          <w:highlight w:val="none"/>
          <w:lang w:bidi="ar"/>
        </w:rPr>
        <w:t>没有提供令</w:t>
      </w:r>
      <w:r>
        <w:rPr>
          <w:rFonts w:hint="eastAsia" w:ascii="宋体" w:hAnsi="宋体" w:eastAsia="宋体" w:cs="宋体"/>
          <w:color w:val="auto"/>
          <w:kern w:val="0"/>
          <w:sz w:val="21"/>
          <w:szCs w:val="21"/>
          <w:highlight w:val="none"/>
          <w:lang w:val="en-US" w:eastAsia="zh-CN" w:bidi="ar"/>
        </w:rPr>
        <w:t>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Cs w:val="21"/>
          <w:highlight w:val="none"/>
          <w:lang w:bidi="ar"/>
        </w:rPr>
        <w:t>认可的整改方案的</w:t>
      </w:r>
      <w:r>
        <w:rPr>
          <w:rFonts w:hint="eastAsia" w:ascii="宋体" w:hAnsi="宋体" w:eastAsia="宋体" w:cs="宋体"/>
          <w:kern w:val="0"/>
          <w:szCs w:val="21"/>
          <w:highlight w:val="none"/>
          <w:lang w:eastAsia="zh-CN" w:bidi="ar"/>
        </w:rPr>
        <w:t>，</w:t>
      </w:r>
      <w:r>
        <w:rPr>
          <w:rFonts w:hint="eastAsia" w:ascii="宋体" w:hAnsi="宋体" w:eastAsia="宋体" w:cs="宋体"/>
          <w:kern w:val="0"/>
          <w:sz w:val="21"/>
          <w:szCs w:val="21"/>
          <w:highlight w:val="none"/>
          <w:lang w:val="en-US" w:eastAsia="zh-CN" w:bidi="ar"/>
        </w:rPr>
        <w:t>甲方</w:t>
      </w:r>
      <w:r>
        <w:rPr>
          <w:rFonts w:hint="eastAsia" w:ascii="宋体" w:hAnsi="宋体" w:eastAsia="宋体" w:cs="宋体"/>
          <w:kern w:val="0"/>
          <w:sz w:val="21"/>
          <w:szCs w:val="21"/>
          <w:highlight w:val="none"/>
          <w:lang w:bidi="ar"/>
        </w:rPr>
        <w:t>有权单方解除合同。</w:t>
      </w:r>
    </w:p>
    <w:p w14:paraId="5962F678">
      <w:pPr>
        <w:autoSpaceDE w:val="0"/>
        <w:autoSpaceDN w:val="0"/>
        <w:adjustRightInd w:val="0"/>
        <w:snapToGrid w:val="0"/>
        <w:spacing w:line="360" w:lineRule="auto"/>
        <w:ind w:firstLine="420" w:firstLineChars="200"/>
        <w:jc w:val="left"/>
        <w:rPr>
          <w:rFonts w:ascii="宋体" w:hAnsi="宋体" w:eastAsia="宋体" w:cs="宋体"/>
          <w:b/>
          <w:highlight w:val="none"/>
        </w:rPr>
      </w:pP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当实际考核项目总分满分不足100分，将考核分数按百分制进行折算（折算分数=实际得分/满分</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100），折算后高于90%</w:t>
      </w:r>
      <w:r>
        <w:rPr>
          <w:rFonts w:hint="eastAsia" w:ascii="宋体" w:hAnsi="宋体" w:eastAsia="宋体" w:cs="宋体"/>
          <w:kern w:val="0"/>
          <w:sz w:val="21"/>
          <w:szCs w:val="21"/>
          <w:highlight w:val="none"/>
          <w:lang w:bidi="ar"/>
        </w:rPr>
        <w:t>或以上的，该月服务费全额支付；如甲方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对乙方的服务考核评分</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不足90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的，该月实际支付的服务费=该月应支付服务费×</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折算分数/100</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；如发现累计两个月</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未达到60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时，</w:t>
      </w:r>
      <w:r>
        <w:rPr>
          <w:rFonts w:hint="eastAsia" w:ascii="宋体" w:hAnsi="宋体" w:eastAsia="宋体" w:cs="宋体"/>
          <w:kern w:val="0"/>
          <w:szCs w:val="21"/>
          <w:highlight w:val="none"/>
          <w:lang w:bidi="ar"/>
        </w:rPr>
        <w:t>且</w:t>
      </w:r>
      <w:r>
        <w:rPr>
          <w:rFonts w:hint="eastAsia" w:ascii="宋体" w:hAnsi="宋体" w:eastAsia="宋体" w:cs="宋体"/>
          <w:kern w:val="0"/>
          <w:szCs w:val="21"/>
          <w:highlight w:val="none"/>
          <w:lang w:val="en-US" w:eastAsia="zh-CN" w:bidi="ar"/>
        </w:rPr>
        <w:t>乙方</w:t>
      </w:r>
      <w:r>
        <w:rPr>
          <w:rFonts w:hint="eastAsia" w:ascii="宋体" w:hAnsi="宋体" w:eastAsia="宋体" w:cs="宋体"/>
          <w:kern w:val="0"/>
          <w:szCs w:val="21"/>
          <w:highlight w:val="none"/>
          <w:lang w:bidi="ar"/>
        </w:rPr>
        <w:t>没有提供令</w:t>
      </w:r>
      <w:r>
        <w:rPr>
          <w:rFonts w:hint="eastAsia" w:ascii="宋体" w:hAnsi="宋体" w:eastAsia="宋体" w:cs="宋体"/>
          <w:color w:val="auto"/>
          <w:kern w:val="0"/>
          <w:sz w:val="21"/>
          <w:szCs w:val="21"/>
          <w:highlight w:val="none"/>
          <w:lang w:val="en-US" w:eastAsia="zh-CN" w:bidi="ar"/>
        </w:rPr>
        <w:t>甲方</w:t>
      </w:r>
      <w:r>
        <w:rPr>
          <w:rFonts w:hint="eastAsia" w:ascii="宋体" w:hAnsi="宋体" w:eastAsia="宋体" w:cs="宋体"/>
          <w:kern w:val="0"/>
          <w:sz w:val="21"/>
          <w:szCs w:val="21"/>
          <w:highlight w:val="none"/>
          <w:lang w:bidi="ar"/>
        </w:rPr>
        <w:t>或其权属分公司</w:t>
      </w:r>
      <w:r>
        <w:rPr>
          <w:rFonts w:hint="eastAsia" w:ascii="宋体" w:hAnsi="宋体" w:eastAsia="宋体" w:cs="宋体"/>
          <w:kern w:val="0"/>
          <w:szCs w:val="21"/>
          <w:highlight w:val="none"/>
          <w:lang w:bidi="ar"/>
        </w:rPr>
        <w:t>认可的整改方案的</w:t>
      </w:r>
      <w:r>
        <w:rPr>
          <w:rFonts w:hint="eastAsia" w:ascii="宋体" w:hAnsi="宋体" w:eastAsia="宋体" w:cs="宋体"/>
          <w:kern w:val="0"/>
          <w:szCs w:val="21"/>
          <w:highlight w:val="none"/>
          <w:lang w:eastAsia="zh-CN" w:bidi="ar"/>
        </w:rPr>
        <w:t>，</w:t>
      </w:r>
      <w:r>
        <w:rPr>
          <w:rFonts w:hint="eastAsia" w:ascii="宋体" w:hAnsi="宋体" w:eastAsia="宋体" w:cs="宋体"/>
          <w:kern w:val="0"/>
          <w:sz w:val="21"/>
          <w:szCs w:val="21"/>
          <w:highlight w:val="none"/>
          <w:lang w:bidi="ar"/>
        </w:rPr>
        <w:t>甲方有权单方解除合同。</w:t>
      </w:r>
      <w:r>
        <w:rPr>
          <w:rFonts w:hint="eastAsia" w:ascii="宋体" w:hAnsi="宋体" w:eastAsia="宋体" w:cs="宋体"/>
          <w:b/>
          <w:kern w:val="0"/>
          <w:sz w:val="24"/>
          <w:szCs w:val="24"/>
          <w:highlight w:val="none"/>
          <w:lang w:bidi="ar"/>
        </w:rPr>
        <w:br w:type="page"/>
      </w:r>
    </w:p>
    <w:p w14:paraId="1B8AD3FF">
      <w:pPr>
        <w:autoSpaceDE w:val="0"/>
        <w:autoSpaceDN w:val="0"/>
        <w:adjustRightInd w:val="0"/>
        <w:spacing w:line="360" w:lineRule="auto"/>
        <w:jc w:val="center"/>
        <w:rPr>
          <w:rFonts w:ascii="宋体" w:hAnsi="宋体" w:eastAsia="宋体" w:cs="宋体"/>
          <w:b/>
          <w:szCs w:val="21"/>
          <w:highlight w:val="none"/>
        </w:rPr>
      </w:pPr>
      <w:r>
        <w:rPr>
          <w:rFonts w:hint="eastAsia" w:ascii="宋体" w:hAnsi="宋体" w:eastAsia="宋体" w:cs="宋体"/>
          <w:b/>
          <w:kern w:val="0"/>
          <w:sz w:val="21"/>
          <w:szCs w:val="21"/>
          <w:highlight w:val="none"/>
          <w:lang w:bidi="ar"/>
        </w:rPr>
        <w:t>2.3 《</w:t>
      </w:r>
      <w:r>
        <w:rPr>
          <w:rFonts w:hint="eastAsia" w:ascii="宋体" w:hAnsi="宋体" w:eastAsia="宋体" w:cs="宋体"/>
          <w:b/>
          <w:kern w:val="0"/>
          <w:sz w:val="21"/>
          <w:szCs w:val="21"/>
          <w:highlight w:val="none"/>
          <w:lang w:eastAsia="zh-CN" w:bidi="ar"/>
        </w:rPr>
        <w:t>东莞市水务环境投资控股集团供水有限公司</w:t>
      </w:r>
      <w:r>
        <w:rPr>
          <w:rFonts w:hint="eastAsia" w:ascii="宋体" w:hAnsi="宋体" w:eastAsia="宋体" w:cs="宋体"/>
          <w:b/>
          <w:kern w:val="0"/>
          <w:sz w:val="21"/>
          <w:szCs w:val="21"/>
          <w:highlight w:val="none"/>
          <w:lang w:bidi="ar"/>
        </w:rPr>
        <w:t>清洁保洁、绿化养护、除“四害”及灭蚁防治考核评分标准（适用于二级绿化养护项目）》</w:t>
      </w:r>
    </w:p>
    <w:tbl>
      <w:tblPr>
        <w:tblStyle w:val="37"/>
        <w:tblW w:w="497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67"/>
        <w:gridCol w:w="887"/>
        <w:gridCol w:w="895"/>
        <w:gridCol w:w="2659"/>
        <w:gridCol w:w="1891"/>
        <w:gridCol w:w="915"/>
        <w:gridCol w:w="885"/>
        <w:gridCol w:w="921"/>
      </w:tblGrid>
      <w:tr w14:paraId="3441F0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EE85C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238"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6949C48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现场考核</w:t>
            </w:r>
          </w:p>
        </w:tc>
        <w:tc>
          <w:tcPr>
            <w:tcW w:w="95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0A8AC1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扣分办法</w:t>
            </w:r>
          </w:p>
        </w:tc>
        <w:tc>
          <w:tcPr>
            <w:tcW w:w="46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10FBE6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应得分</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6870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检查扣分</w:t>
            </w:r>
          </w:p>
        </w:tc>
        <w:tc>
          <w:tcPr>
            <w:tcW w:w="462"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7C3C3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实得分</w:t>
            </w:r>
          </w:p>
        </w:tc>
      </w:tr>
      <w:tr w14:paraId="54D47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8D84F7">
            <w:pPr>
              <w:jc w:val="center"/>
              <w:rPr>
                <w:rFonts w:hint="eastAsia" w:ascii="宋体" w:hAnsi="宋体" w:eastAsia="宋体" w:cs="宋体"/>
                <w:i w:val="0"/>
                <w:iCs w:val="0"/>
                <w:color w:val="auto"/>
                <w:sz w:val="21"/>
                <w:szCs w:val="21"/>
                <w:highlight w:val="none"/>
                <w:u w:val="none"/>
              </w:rPr>
            </w:pP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B66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满分值</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DAC0F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0AEC9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评价依据及检查方法</w:t>
            </w:r>
          </w:p>
        </w:tc>
        <w:tc>
          <w:tcPr>
            <w:tcW w:w="95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271920F">
            <w:pPr>
              <w:jc w:val="center"/>
              <w:rPr>
                <w:rFonts w:hint="eastAsia" w:ascii="宋体" w:hAnsi="宋体" w:eastAsia="宋体" w:cs="宋体"/>
                <w:i w:val="0"/>
                <w:iCs w:val="0"/>
                <w:color w:val="auto"/>
                <w:sz w:val="21"/>
                <w:szCs w:val="21"/>
                <w:highlight w:val="none"/>
                <w:u w:val="none"/>
              </w:rPr>
            </w:pPr>
          </w:p>
        </w:tc>
        <w:tc>
          <w:tcPr>
            <w:tcW w:w="46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3C1D2D3">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479E76B">
            <w:pPr>
              <w:jc w:val="center"/>
              <w:rPr>
                <w:rFonts w:hint="eastAsia" w:ascii="宋体" w:hAnsi="宋体" w:eastAsia="宋体" w:cs="宋体"/>
                <w:i w:val="0"/>
                <w:iCs w:val="0"/>
                <w:color w:val="auto"/>
                <w:sz w:val="21"/>
                <w:szCs w:val="21"/>
                <w:highlight w:val="none"/>
                <w:u w:val="none"/>
              </w:rPr>
            </w:pPr>
          </w:p>
        </w:tc>
        <w:tc>
          <w:tcPr>
            <w:tcW w:w="462"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7BD3AE">
            <w:pPr>
              <w:jc w:val="center"/>
              <w:rPr>
                <w:rFonts w:hint="eastAsia" w:ascii="宋体" w:hAnsi="宋体" w:eastAsia="宋体" w:cs="宋体"/>
                <w:i w:val="0"/>
                <w:iCs w:val="0"/>
                <w:color w:val="auto"/>
                <w:sz w:val="21"/>
                <w:szCs w:val="21"/>
                <w:highlight w:val="none"/>
                <w:u w:val="none"/>
              </w:rPr>
            </w:pPr>
          </w:p>
        </w:tc>
      </w:tr>
      <w:tr w14:paraId="6C99C22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537D19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26767C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9分</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464AE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日常制度</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D9636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在甲方提出的绿化养护方面存在工作疏忽而没按要求及时整改反馈的。</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6BD10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没及时整改处理的，每次扣2分，扣完为止。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5C0A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111BB7">
            <w:pPr>
              <w:jc w:val="center"/>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CBEB77">
            <w:pPr>
              <w:jc w:val="center"/>
              <w:rPr>
                <w:rFonts w:hint="eastAsia" w:ascii="宋体" w:hAnsi="宋体" w:eastAsia="宋体" w:cs="宋体"/>
                <w:i w:val="0"/>
                <w:iCs w:val="0"/>
                <w:color w:val="auto"/>
                <w:sz w:val="21"/>
                <w:szCs w:val="21"/>
                <w:highlight w:val="none"/>
                <w:u w:val="none"/>
              </w:rPr>
            </w:pPr>
          </w:p>
        </w:tc>
      </w:tr>
      <w:tr w14:paraId="65DDA50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CA6A0E">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D1CCEF">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1DFB715">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8A88D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穿统一工作服，不能出现如穿拖鞋、高跟鞋、着装不整齐者等。</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D955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val="en-US" w:eastAsia="zh-CN" w:bidi="ar"/>
              </w:rPr>
              <w:t>未按要求</w:t>
            </w:r>
            <w:r>
              <w:rPr>
                <w:rFonts w:hint="eastAsia" w:ascii="宋体" w:hAnsi="宋体" w:eastAsia="宋体" w:cs="宋体"/>
                <w:i w:val="0"/>
                <w:iCs w:val="0"/>
                <w:color w:val="auto"/>
                <w:kern w:val="0"/>
                <w:sz w:val="21"/>
                <w:szCs w:val="21"/>
                <w:highlight w:val="none"/>
                <w:u w:val="none"/>
                <w:lang w:val="en-US" w:eastAsia="zh-CN" w:bidi="ar"/>
              </w:rPr>
              <w:t>着装者，每人次扣1分，扣完为止。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62A65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071468">
            <w:pPr>
              <w:jc w:val="center"/>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10CC5">
            <w:pPr>
              <w:jc w:val="center"/>
              <w:rPr>
                <w:rFonts w:hint="eastAsia" w:ascii="宋体" w:hAnsi="宋体" w:eastAsia="宋体" w:cs="宋体"/>
                <w:i w:val="0"/>
                <w:iCs w:val="0"/>
                <w:color w:val="auto"/>
                <w:sz w:val="21"/>
                <w:szCs w:val="21"/>
                <w:highlight w:val="none"/>
                <w:u w:val="none"/>
              </w:rPr>
            </w:pPr>
          </w:p>
        </w:tc>
      </w:tr>
      <w:tr w14:paraId="57356D8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199247E">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297D2E">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DE35FFE">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18FDB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现场负责人要向甲方对应管理部门书面请假批准后才能离岗。</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BF621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擅自离岗者，每人次扣1分,扣完为止。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71ECE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34CA12">
            <w:pPr>
              <w:jc w:val="center"/>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0345F">
            <w:pPr>
              <w:jc w:val="both"/>
              <w:rPr>
                <w:rFonts w:hint="eastAsia" w:ascii="宋体" w:hAnsi="宋体" w:eastAsia="宋体" w:cs="宋体"/>
                <w:i w:val="0"/>
                <w:iCs w:val="0"/>
                <w:color w:val="auto"/>
                <w:sz w:val="22"/>
                <w:szCs w:val="22"/>
                <w:highlight w:val="none"/>
                <w:u w:val="none"/>
              </w:rPr>
            </w:pPr>
          </w:p>
        </w:tc>
      </w:tr>
      <w:tr w14:paraId="788B9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8A0EE1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B98CF9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13分</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1C12A3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绿地清洁卫生</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576D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天6：30、14：00时完成绿地清洁工作，做好保洁（日常保洁时段为6：30—18：30，重要情况保洁时间另行安排），抽查草地每100平方米、分车道绿化带每100米长度范围内有纸屑、胶袋、石块、杂物等（规格3cm×3cm），要求≤4单位。</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6C6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超过每单位扣1分，扣完为止。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9D8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7CC58">
            <w:pPr>
              <w:jc w:val="center"/>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A48321A">
            <w:pPr>
              <w:jc w:val="both"/>
              <w:rPr>
                <w:rFonts w:hint="eastAsia" w:ascii="宋体" w:hAnsi="宋体" w:eastAsia="宋体" w:cs="宋体"/>
                <w:i w:val="0"/>
                <w:iCs w:val="0"/>
                <w:color w:val="auto"/>
                <w:sz w:val="22"/>
                <w:szCs w:val="22"/>
                <w:highlight w:val="none"/>
                <w:u w:val="none"/>
              </w:rPr>
            </w:pPr>
          </w:p>
        </w:tc>
      </w:tr>
      <w:tr w14:paraId="5DAC94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2CD814">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7CE31C3">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56CA6E">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7FEE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未发现垃圾连片（面积≥6cm×6cm）的地方（特别是花生壳、瓜子壳、白色垃圾等）。</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2ADF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发现一处扣1分，扣完为止。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1DE09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2B4364">
            <w:pPr>
              <w:jc w:val="center"/>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E4845C">
            <w:pPr>
              <w:jc w:val="both"/>
              <w:rPr>
                <w:rFonts w:hint="eastAsia" w:ascii="宋体" w:hAnsi="宋体" w:eastAsia="宋体" w:cs="宋体"/>
                <w:i w:val="0"/>
                <w:iCs w:val="0"/>
                <w:color w:val="auto"/>
                <w:sz w:val="22"/>
                <w:szCs w:val="22"/>
                <w:highlight w:val="none"/>
                <w:u w:val="none"/>
              </w:rPr>
            </w:pPr>
          </w:p>
        </w:tc>
      </w:tr>
      <w:tr w14:paraId="3DA902E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5191A77">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9C1F4B">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467D6C">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86FF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在绿地区内未发现焚烧杂物；</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2B121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绿地发生焚烧杂物的，每处扣0.5分；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0ABC9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CD3135">
            <w:pPr>
              <w:jc w:val="center"/>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2BE9AA">
            <w:pPr>
              <w:jc w:val="both"/>
              <w:rPr>
                <w:rFonts w:hint="eastAsia" w:ascii="宋体" w:hAnsi="宋体" w:eastAsia="宋体" w:cs="宋体"/>
                <w:i w:val="0"/>
                <w:iCs w:val="0"/>
                <w:color w:val="auto"/>
                <w:sz w:val="22"/>
                <w:szCs w:val="22"/>
                <w:highlight w:val="none"/>
                <w:u w:val="none"/>
              </w:rPr>
            </w:pPr>
          </w:p>
        </w:tc>
      </w:tr>
      <w:tr w14:paraId="15BF1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423AD7E">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241AD10">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94B078">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724E7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绿化修剪后的枯枝干叶等，要在修剪当天及时清理运走；落叶要及时清扫保洁（绿地内水体水面上的枯枝烂叶、生活垃圾及其他漂浮物要及时清理）。</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32B60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未能及时运走和清扫保洁的以10平方米为单位，每单位扣1分，扣完为止。</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3D488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38AB6">
            <w:pPr>
              <w:jc w:val="center"/>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84A2ED">
            <w:pPr>
              <w:jc w:val="both"/>
              <w:rPr>
                <w:rFonts w:hint="eastAsia" w:ascii="宋体" w:hAnsi="宋体" w:eastAsia="宋体" w:cs="宋体"/>
                <w:i w:val="0"/>
                <w:iCs w:val="0"/>
                <w:color w:val="auto"/>
                <w:sz w:val="22"/>
                <w:szCs w:val="22"/>
                <w:highlight w:val="none"/>
                <w:u w:val="none"/>
              </w:rPr>
            </w:pPr>
          </w:p>
        </w:tc>
      </w:tr>
      <w:tr w14:paraId="5B3F9B2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3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1CD7A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CC274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18分</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C646B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乔木、花灌木、行道树及其它树木</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861CA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乔木树冠基本完整，基本无死株、缺株。人行道树的体量、高度基本保持一致，乔木树杆无铁钉、木板等附着物。</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CA812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死株、缺株应≤2.5%,每超出1%扣1分、有铁钉、木板等附着物每处扣1分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6687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3FB7C">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AB57A0">
            <w:pPr>
              <w:jc w:val="left"/>
              <w:rPr>
                <w:rFonts w:hint="eastAsia" w:ascii="宋体" w:hAnsi="宋体" w:eastAsia="宋体" w:cs="宋体"/>
                <w:i w:val="0"/>
                <w:iCs w:val="0"/>
                <w:color w:val="auto"/>
                <w:sz w:val="21"/>
                <w:szCs w:val="21"/>
                <w:highlight w:val="none"/>
                <w:u w:val="none"/>
              </w:rPr>
            </w:pPr>
          </w:p>
        </w:tc>
      </w:tr>
      <w:tr w14:paraId="24E1054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514A96">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C5DDC">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9F5E835">
            <w:pPr>
              <w:jc w:val="center"/>
              <w:rPr>
                <w:rFonts w:hint="eastAsia" w:ascii="宋体" w:hAnsi="宋体" w:eastAsia="宋体" w:cs="宋体"/>
                <w:i w:val="0"/>
                <w:iCs w:val="0"/>
                <w:color w:val="auto"/>
                <w:sz w:val="21"/>
                <w:szCs w:val="21"/>
                <w:highlight w:val="none"/>
                <w:u w:val="none"/>
              </w:rPr>
            </w:pPr>
          </w:p>
        </w:tc>
        <w:tc>
          <w:tcPr>
            <w:tcW w:w="1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F74706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花灌木生长正常，开花正常，木本地被植物生长正常，覆盖率达到 97%以上，基本无杂草，无死株、缺株。</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025C9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花灌木、木本地被植物覆盖率低于97%，以上情况出现每少1%扣1分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21BDE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43086">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3B7533">
            <w:pPr>
              <w:jc w:val="left"/>
              <w:rPr>
                <w:rFonts w:hint="eastAsia" w:ascii="宋体" w:hAnsi="宋体" w:eastAsia="宋体" w:cs="宋体"/>
                <w:i w:val="0"/>
                <w:iCs w:val="0"/>
                <w:color w:val="auto"/>
                <w:sz w:val="21"/>
                <w:szCs w:val="21"/>
                <w:highlight w:val="none"/>
                <w:u w:val="none"/>
              </w:rPr>
            </w:pPr>
          </w:p>
        </w:tc>
      </w:tr>
      <w:tr w14:paraId="6B2186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8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1A472B">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1D9C07">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C485422">
            <w:pPr>
              <w:jc w:val="center"/>
              <w:rPr>
                <w:rFonts w:hint="eastAsia" w:ascii="宋体" w:hAnsi="宋体" w:eastAsia="宋体" w:cs="宋体"/>
                <w:i w:val="0"/>
                <w:iCs w:val="0"/>
                <w:color w:val="auto"/>
                <w:sz w:val="21"/>
                <w:szCs w:val="21"/>
                <w:highlight w:val="none"/>
                <w:u w:val="none"/>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E6BC5D">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BFDB0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花灌木、木本地被植物存在杂草、死株、缺株≥2.5%，以上情况出现每多1%扣1分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D4622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E440D">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48B19B">
            <w:pPr>
              <w:jc w:val="left"/>
              <w:rPr>
                <w:rFonts w:hint="eastAsia" w:ascii="宋体" w:hAnsi="宋体" w:eastAsia="宋体" w:cs="宋体"/>
                <w:i w:val="0"/>
                <w:iCs w:val="0"/>
                <w:color w:val="auto"/>
                <w:sz w:val="21"/>
                <w:szCs w:val="21"/>
                <w:highlight w:val="none"/>
                <w:u w:val="none"/>
              </w:rPr>
            </w:pPr>
          </w:p>
        </w:tc>
      </w:tr>
      <w:tr w14:paraId="7B810B1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1E90FF">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F9ABE2">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AB68AF">
            <w:pPr>
              <w:jc w:val="center"/>
              <w:rPr>
                <w:rFonts w:hint="eastAsia" w:ascii="宋体" w:hAnsi="宋体" w:eastAsia="宋体" w:cs="宋体"/>
                <w:i w:val="0"/>
                <w:iCs w:val="0"/>
                <w:color w:val="auto"/>
                <w:sz w:val="21"/>
                <w:szCs w:val="21"/>
                <w:highlight w:val="none"/>
                <w:u w:val="none"/>
              </w:rPr>
            </w:pPr>
          </w:p>
        </w:tc>
        <w:tc>
          <w:tcPr>
            <w:tcW w:w="1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D14000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绿篱生长旺盛，无死株，无明显断垄，无高草杂草，无明显病虫害发生。</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2E38D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绿篱存在死株、明显断垄，每处扣1分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D6ACC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BB7658">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09DC7E">
            <w:pPr>
              <w:jc w:val="left"/>
              <w:rPr>
                <w:rFonts w:hint="eastAsia" w:ascii="宋体" w:hAnsi="宋体" w:eastAsia="宋体" w:cs="宋体"/>
                <w:i w:val="0"/>
                <w:iCs w:val="0"/>
                <w:color w:val="auto"/>
                <w:sz w:val="21"/>
                <w:szCs w:val="21"/>
                <w:highlight w:val="none"/>
                <w:u w:val="none"/>
              </w:rPr>
            </w:pPr>
          </w:p>
        </w:tc>
      </w:tr>
      <w:tr w14:paraId="6438A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1BE651">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C66E056">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6C0B8B">
            <w:pPr>
              <w:jc w:val="center"/>
              <w:rPr>
                <w:rFonts w:hint="eastAsia" w:ascii="宋体" w:hAnsi="宋体" w:eastAsia="宋体" w:cs="宋体"/>
                <w:i w:val="0"/>
                <w:iCs w:val="0"/>
                <w:color w:val="auto"/>
                <w:sz w:val="21"/>
                <w:szCs w:val="21"/>
                <w:highlight w:val="none"/>
                <w:u w:val="none"/>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94B2F6">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87C66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发生病虫害，每处扣1分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E3654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19B2A8">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CFD4FA">
            <w:pPr>
              <w:jc w:val="left"/>
              <w:rPr>
                <w:rFonts w:hint="eastAsia" w:ascii="宋体" w:hAnsi="宋体" w:eastAsia="宋体" w:cs="宋体"/>
                <w:i w:val="0"/>
                <w:iCs w:val="0"/>
                <w:color w:val="auto"/>
                <w:sz w:val="21"/>
                <w:szCs w:val="21"/>
                <w:highlight w:val="none"/>
                <w:u w:val="none"/>
              </w:rPr>
            </w:pPr>
          </w:p>
        </w:tc>
      </w:tr>
      <w:tr w14:paraId="52A4583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F21B41">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8A62B6">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57327D7">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08E6A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藤本植物生长正常，视攀缘植物生长习性，覆盖率不低于85%。</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8387F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藤本植物覆盖率低于85%，以上情况出现每低10%扣1分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3BE42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A05D5C">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639340">
            <w:pPr>
              <w:jc w:val="left"/>
              <w:rPr>
                <w:rFonts w:hint="eastAsia" w:ascii="宋体" w:hAnsi="宋体" w:eastAsia="宋体" w:cs="宋体"/>
                <w:i w:val="0"/>
                <w:iCs w:val="0"/>
                <w:color w:val="auto"/>
                <w:sz w:val="21"/>
                <w:szCs w:val="21"/>
                <w:highlight w:val="none"/>
                <w:u w:val="none"/>
              </w:rPr>
            </w:pPr>
          </w:p>
        </w:tc>
      </w:tr>
      <w:tr w14:paraId="21142B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3754D2">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F9C1AE">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939F29B">
            <w:pPr>
              <w:jc w:val="center"/>
              <w:rPr>
                <w:rFonts w:hint="eastAsia" w:ascii="宋体" w:hAnsi="宋体" w:eastAsia="宋体" w:cs="宋体"/>
                <w:i w:val="0"/>
                <w:iCs w:val="0"/>
                <w:color w:val="auto"/>
                <w:sz w:val="21"/>
                <w:szCs w:val="21"/>
                <w:highlight w:val="none"/>
                <w:u w:val="none"/>
              </w:rPr>
            </w:pPr>
          </w:p>
        </w:tc>
        <w:tc>
          <w:tcPr>
            <w:tcW w:w="1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07DF4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补植、改植于5天内完成</w:t>
            </w:r>
          </w:p>
          <w:p w14:paraId="0FCD8E4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草坪补植或改植后一个月内覆盖率达到95%以上其他植物补植或改植的成活率达到98%以上</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407F3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未能在5天内及时补植的，每处扣1分，对已要求补植但仍不按要求补植的，扣2分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CD067">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E4A536">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66E776">
            <w:pPr>
              <w:jc w:val="left"/>
              <w:rPr>
                <w:rFonts w:hint="eastAsia" w:ascii="宋体" w:hAnsi="宋体" w:eastAsia="宋体" w:cs="宋体"/>
                <w:i w:val="0"/>
                <w:iCs w:val="0"/>
                <w:color w:val="auto"/>
                <w:sz w:val="21"/>
                <w:szCs w:val="21"/>
                <w:highlight w:val="none"/>
                <w:u w:val="none"/>
              </w:rPr>
            </w:pPr>
          </w:p>
        </w:tc>
      </w:tr>
      <w:tr w14:paraId="609BD9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4FAD1">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7FBC5">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44585F">
            <w:pPr>
              <w:jc w:val="center"/>
              <w:rPr>
                <w:rFonts w:hint="eastAsia" w:ascii="宋体" w:hAnsi="宋体" w:eastAsia="宋体" w:cs="宋体"/>
                <w:i w:val="0"/>
                <w:iCs w:val="0"/>
                <w:color w:val="auto"/>
                <w:sz w:val="21"/>
                <w:szCs w:val="21"/>
                <w:highlight w:val="none"/>
                <w:u w:val="none"/>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8D3359">
            <w:pPr>
              <w:jc w:val="left"/>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F601D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草坪补植或改植后一个月内覆盖率达到95%以上，每少1%扣1分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3435DE">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AF8F49">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0DBF5C">
            <w:pPr>
              <w:jc w:val="left"/>
              <w:rPr>
                <w:rFonts w:hint="eastAsia" w:ascii="宋体" w:hAnsi="宋体" w:eastAsia="宋体" w:cs="宋体"/>
                <w:i w:val="0"/>
                <w:iCs w:val="0"/>
                <w:color w:val="auto"/>
                <w:sz w:val="21"/>
                <w:szCs w:val="21"/>
                <w:highlight w:val="none"/>
                <w:u w:val="none"/>
              </w:rPr>
            </w:pPr>
          </w:p>
        </w:tc>
      </w:tr>
      <w:tr w14:paraId="76308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0E75AB">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091170">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ADC0316">
            <w:pPr>
              <w:jc w:val="center"/>
              <w:rPr>
                <w:rFonts w:hint="eastAsia" w:ascii="宋体" w:hAnsi="宋体" w:eastAsia="宋体" w:cs="宋体"/>
                <w:i w:val="0"/>
                <w:iCs w:val="0"/>
                <w:color w:val="auto"/>
                <w:sz w:val="21"/>
                <w:szCs w:val="21"/>
                <w:highlight w:val="none"/>
                <w:u w:val="none"/>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F4997E0">
            <w:pPr>
              <w:jc w:val="left"/>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C3DD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其他植物补植或改植的成活率达到 98%以上，每少1%扣1分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2522A2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2FAEE">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25EDA2">
            <w:pPr>
              <w:jc w:val="left"/>
              <w:rPr>
                <w:rFonts w:hint="eastAsia" w:ascii="宋体" w:hAnsi="宋体" w:eastAsia="宋体" w:cs="宋体"/>
                <w:i w:val="0"/>
                <w:iCs w:val="0"/>
                <w:color w:val="auto"/>
                <w:sz w:val="21"/>
                <w:szCs w:val="21"/>
                <w:highlight w:val="none"/>
                <w:u w:val="none"/>
              </w:rPr>
            </w:pPr>
          </w:p>
        </w:tc>
      </w:tr>
      <w:tr w14:paraId="504C565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2D9B1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6D58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16分</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A2637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花卉、地被、草坪</w:t>
            </w:r>
          </w:p>
        </w:tc>
        <w:tc>
          <w:tcPr>
            <w:tcW w:w="1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778338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花卉生长正常，株型完整，开花适时，开花时覆盖率达到90%以上，基本无杂草</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BEC70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花卉开花时覆盖率低于90%，以上情况出现每低1%扣1分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FAE31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BEC7B4">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D6AA12">
            <w:pPr>
              <w:jc w:val="left"/>
              <w:rPr>
                <w:rFonts w:hint="eastAsia" w:ascii="宋体" w:hAnsi="宋体" w:eastAsia="宋体" w:cs="宋体"/>
                <w:i w:val="0"/>
                <w:iCs w:val="0"/>
                <w:color w:val="auto"/>
                <w:sz w:val="21"/>
                <w:szCs w:val="21"/>
                <w:highlight w:val="none"/>
                <w:u w:val="none"/>
              </w:rPr>
            </w:pPr>
          </w:p>
        </w:tc>
      </w:tr>
      <w:tr w14:paraId="652E087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971B6F">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7E91CA">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745DA6">
            <w:pPr>
              <w:jc w:val="center"/>
              <w:rPr>
                <w:rFonts w:hint="eastAsia" w:ascii="宋体" w:hAnsi="宋体" w:eastAsia="宋体" w:cs="宋体"/>
                <w:i w:val="0"/>
                <w:iCs w:val="0"/>
                <w:color w:val="auto"/>
                <w:sz w:val="21"/>
                <w:szCs w:val="21"/>
                <w:highlight w:val="none"/>
                <w:u w:val="none"/>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C55C82">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A6A87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花卉存在杂草应低于3%，每高出1%扣1分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4778BB">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40826C">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D53CBC">
            <w:pPr>
              <w:jc w:val="left"/>
              <w:rPr>
                <w:rFonts w:hint="eastAsia" w:ascii="宋体" w:hAnsi="宋体" w:eastAsia="宋体" w:cs="宋体"/>
                <w:i w:val="0"/>
                <w:iCs w:val="0"/>
                <w:color w:val="auto"/>
                <w:sz w:val="21"/>
                <w:szCs w:val="21"/>
                <w:highlight w:val="none"/>
                <w:u w:val="none"/>
              </w:rPr>
            </w:pPr>
          </w:p>
        </w:tc>
      </w:tr>
      <w:tr w14:paraId="5EFDE9E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134FE3">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80878C">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F1F567">
            <w:pPr>
              <w:jc w:val="center"/>
              <w:rPr>
                <w:rFonts w:hint="eastAsia" w:ascii="宋体" w:hAnsi="宋体" w:eastAsia="宋体" w:cs="宋体"/>
                <w:i w:val="0"/>
                <w:iCs w:val="0"/>
                <w:color w:val="auto"/>
                <w:sz w:val="21"/>
                <w:szCs w:val="21"/>
                <w:highlight w:val="none"/>
                <w:u w:val="none"/>
              </w:rPr>
            </w:pPr>
          </w:p>
        </w:tc>
        <w:tc>
          <w:tcPr>
            <w:tcW w:w="1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6A0D1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草坪及地被植物整齐，草坪的绿色期不少于250天覆盖率90%以上</w:t>
            </w:r>
          </w:p>
          <w:p w14:paraId="54DDA38D">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杂草的覆盖率不超过3%</w:t>
            </w:r>
          </w:p>
          <w:p w14:paraId="77AB47E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无积水</w:t>
            </w:r>
          </w:p>
          <w:p w14:paraId="37817B3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草坪植物生长旺盛、无裸露地面，无成片枯黄，枯黄率控制在2%以内</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203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草坪及地被植物参差不齐，草坪的绿色期少于250天，以上情况出现每少3天扣1分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1629A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B10D99">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8C85B1">
            <w:pPr>
              <w:jc w:val="left"/>
              <w:rPr>
                <w:rFonts w:hint="eastAsia" w:ascii="宋体" w:hAnsi="宋体" w:eastAsia="宋体" w:cs="宋体"/>
                <w:i w:val="0"/>
                <w:iCs w:val="0"/>
                <w:color w:val="auto"/>
                <w:sz w:val="21"/>
                <w:szCs w:val="21"/>
                <w:highlight w:val="none"/>
                <w:u w:val="none"/>
              </w:rPr>
            </w:pPr>
          </w:p>
        </w:tc>
      </w:tr>
      <w:tr w14:paraId="67B7F03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5BA4F2">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B55B56">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DD944C">
            <w:pPr>
              <w:jc w:val="center"/>
              <w:rPr>
                <w:rFonts w:hint="eastAsia" w:ascii="宋体" w:hAnsi="宋体" w:eastAsia="宋体" w:cs="宋体"/>
                <w:i w:val="0"/>
                <w:iCs w:val="0"/>
                <w:color w:val="auto"/>
                <w:sz w:val="21"/>
                <w:szCs w:val="21"/>
                <w:highlight w:val="none"/>
                <w:u w:val="none"/>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E1146BD">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DD45C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覆盖率低于90%，每低1%扣1分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5796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8919F8">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AAC938">
            <w:pPr>
              <w:jc w:val="left"/>
              <w:rPr>
                <w:rFonts w:hint="eastAsia" w:ascii="宋体" w:hAnsi="宋体" w:eastAsia="宋体" w:cs="宋体"/>
                <w:i w:val="0"/>
                <w:iCs w:val="0"/>
                <w:color w:val="auto"/>
                <w:sz w:val="21"/>
                <w:szCs w:val="21"/>
                <w:highlight w:val="none"/>
                <w:u w:val="none"/>
              </w:rPr>
            </w:pPr>
          </w:p>
        </w:tc>
      </w:tr>
      <w:tr w14:paraId="263317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E05AC36">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F64FC">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1FCF4D9">
            <w:pPr>
              <w:jc w:val="center"/>
              <w:rPr>
                <w:rFonts w:hint="eastAsia" w:ascii="宋体" w:hAnsi="宋体" w:eastAsia="宋体" w:cs="宋体"/>
                <w:i w:val="0"/>
                <w:iCs w:val="0"/>
                <w:color w:val="auto"/>
                <w:sz w:val="21"/>
                <w:szCs w:val="21"/>
                <w:highlight w:val="none"/>
                <w:u w:val="none"/>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9E30BD">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53169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每平方米杂草超过15株，每超过1株扣0.5分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9DF8F">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A9610">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BC02F7">
            <w:pPr>
              <w:jc w:val="left"/>
              <w:rPr>
                <w:rFonts w:hint="eastAsia" w:ascii="宋体" w:hAnsi="宋体" w:eastAsia="宋体" w:cs="宋体"/>
                <w:i w:val="0"/>
                <w:iCs w:val="0"/>
                <w:color w:val="auto"/>
                <w:sz w:val="21"/>
                <w:szCs w:val="21"/>
                <w:highlight w:val="none"/>
                <w:u w:val="none"/>
              </w:rPr>
            </w:pPr>
          </w:p>
        </w:tc>
      </w:tr>
      <w:tr w14:paraId="043F2F7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844887">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D4F6D">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AE6612">
            <w:pPr>
              <w:jc w:val="center"/>
              <w:rPr>
                <w:rFonts w:hint="eastAsia" w:ascii="宋体" w:hAnsi="宋体" w:eastAsia="宋体" w:cs="宋体"/>
                <w:i w:val="0"/>
                <w:iCs w:val="0"/>
                <w:color w:val="auto"/>
                <w:sz w:val="21"/>
                <w:szCs w:val="21"/>
                <w:highlight w:val="none"/>
                <w:u w:val="none"/>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1C303FF">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CD48B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存在积水，每处扣1分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E16B97">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861D1">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70575D">
            <w:pPr>
              <w:jc w:val="left"/>
              <w:rPr>
                <w:rFonts w:hint="eastAsia" w:ascii="宋体" w:hAnsi="宋体" w:eastAsia="宋体" w:cs="宋体"/>
                <w:i w:val="0"/>
                <w:iCs w:val="0"/>
                <w:color w:val="auto"/>
                <w:sz w:val="21"/>
                <w:szCs w:val="21"/>
                <w:highlight w:val="none"/>
                <w:u w:val="none"/>
              </w:rPr>
            </w:pPr>
          </w:p>
        </w:tc>
      </w:tr>
      <w:tr w14:paraId="36DF7A7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618DD6">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6B45C">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DBF476">
            <w:pPr>
              <w:jc w:val="center"/>
              <w:rPr>
                <w:rFonts w:hint="eastAsia" w:ascii="宋体" w:hAnsi="宋体" w:eastAsia="宋体" w:cs="宋体"/>
                <w:i w:val="0"/>
                <w:iCs w:val="0"/>
                <w:color w:val="auto"/>
                <w:sz w:val="21"/>
                <w:szCs w:val="21"/>
                <w:highlight w:val="none"/>
                <w:u w:val="none"/>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F7AB0B1">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09BB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草坪地面裸露，成片枯黄，枯黄率高于2%，每高1%扣1分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B45996">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9C503D">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7BC961">
            <w:pPr>
              <w:jc w:val="left"/>
              <w:rPr>
                <w:rFonts w:hint="eastAsia" w:ascii="宋体" w:hAnsi="宋体" w:eastAsia="宋体" w:cs="宋体"/>
                <w:i w:val="0"/>
                <w:iCs w:val="0"/>
                <w:color w:val="auto"/>
                <w:sz w:val="21"/>
                <w:szCs w:val="21"/>
                <w:highlight w:val="none"/>
                <w:u w:val="none"/>
              </w:rPr>
            </w:pPr>
          </w:p>
        </w:tc>
      </w:tr>
      <w:tr w14:paraId="2E46E7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49605BA">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2CC48E">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139BC">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AAEC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花坛、花带、花台植物基本无杂草</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A530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花坛、花带、花台植物存在杂草应低于3%，每高1%扣1分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7D2A93">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0C5F">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BED4">
            <w:pPr>
              <w:jc w:val="left"/>
              <w:rPr>
                <w:rFonts w:hint="eastAsia" w:ascii="宋体" w:hAnsi="宋体" w:eastAsia="宋体" w:cs="宋体"/>
                <w:i w:val="0"/>
                <w:iCs w:val="0"/>
                <w:color w:val="auto"/>
                <w:sz w:val="21"/>
                <w:szCs w:val="21"/>
                <w:highlight w:val="none"/>
                <w:u w:val="none"/>
              </w:rPr>
            </w:pPr>
          </w:p>
        </w:tc>
      </w:tr>
      <w:tr w14:paraId="2606DCF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2C0F67">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B7528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31分</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A781A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修剪、淋水及施肥</w:t>
            </w: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18458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二级养护标准制定乔木、灌木、绿篱等苗木的修剪计划。自然形乔木每年不少于1次、造型乔木每年不少于4次、自然形灌木每年不少于1次、造型灌木每年不少于6次、绿篱、模纹花坛修剪：绿篱、模纹花坛修剪每年不少于6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B795F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未制定计划，扣3分；修剪计划有变化，未提前调整计划，每次扣1分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FE81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B9FD7">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A84DF">
            <w:pPr>
              <w:jc w:val="left"/>
              <w:rPr>
                <w:rFonts w:hint="eastAsia" w:ascii="宋体" w:hAnsi="宋体" w:eastAsia="宋体" w:cs="宋体"/>
                <w:i w:val="0"/>
                <w:iCs w:val="0"/>
                <w:color w:val="auto"/>
                <w:sz w:val="21"/>
                <w:szCs w:val="21"/>
                <w:highlight w:val="none"/>
                <w:u w:val="none"/>
              </w:rPr>
            </w:pPr>
          </w:p>
        </w:tc>
      </w:tr>
      <w:tr w14:paraId="7C67050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43678">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BC419">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4D8B68">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A73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按照修剪计划完成乔木、灌木、绿篱、模纹花坛的修剪工作</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8A264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未按计划完成修剪工作，且未提前调整修剪计划，造成延后的，每次扣2分，未进行修剪扣5分。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5A0A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8442C7">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DAEEE8">
            <w:pPr>
              <w:jc w:val="left"/>
              <w:rPr>
                <w:rFonts w:hint="eastAsia" w:ascii="宋体" w:hAnsi="宋体" w:eastAsia="宋体" w:cs="宋体"/>
                <w:i w:val="0"/>
                <w:iCs w:val="0"/>
                <w:color w:val="auto"/>
                <w:sz w:val="21"/>
                <w:szCs w:val="21"/>
                <w:highlight w:val="none"/>
                <w:u w:val="none"/>
              </w:rPr>
            </w:pPr>
          </w:p>
        </w:tc>
      </w:tr>
      <w:tr w14:paraId="3B8DCB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277D39">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74896B">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518ACB">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BD393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草坪修剪留茬高度1.3—5.0cm</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83F1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修剪高度不在留茬高度范围内，每次扣1分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1F42C7">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EDA882">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CF4C05">
            <w:pPr>
              <w:jc w:val="left"/>
              <w:rPr>
                <w:rFonts w:hint="eastAsia" w:ascii="宋体" w:hAnsi="宋体" w:eastAsia="宋体" w:cs="宋体"/>
                <w:i w:val="0"/>
                <w:iCs w:val="0"/>
                <w:color w:val="auto"/>
                <w:sz w:val="21"/>
                <w:szCs w:val="21"/>
                <w:highlight w:val="none"/>
                <w:u w:val="none"/>
              </w:rPr>
            </w:pPr>
          </w:p>
        </w:tc>
      </w:tr>
      <w:tr w14:paraId="4916E4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6E8CAE">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4B3163">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F9D638F">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2E98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地表无自然沉降、隆起等现象，绿地内应保持清洁，做到无垃圾杂物，无石砾砖块，无成片干枯枝叶，无粪便污物，无悬挂物，无蚊蝇滋生</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CC94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绿地内存在垃圾杂物、 自然沉降、隆起、石砾砖块，成片干枯枝叶，粪便污物，悬挂物，每处扣1分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C4CA0">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4C515">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B178A4">
            <w:pPr>
              <w:jc w:val="left"/>
              <w:rPr>
                <w:rFonts w:hint="eastAsia" w:ascii="宋体" w:hAnsi="宋体" w:eastAsia="宋体" w:cs="宋体"/>
                <w:i w:val="0"/>
                <w:iCs w:val="0"/>
                <w:color w:val="auto"/>
                <w:sz w:val="21"/>
                <w:szCs w:val="21"/>
                <w:highlight w:val="none"/>
                <w:u w:val="none"/>
              </w:rPr>
            </w:pPr>
          </w:p>
        </w:tc>
      </w:tr>
      <w:tr w14:paraId="1292A8D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22018C">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ACAF9E">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6A7F4C">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A5B2A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根据二级养护标准制定乔灌木、观花灌木、草本花卉、绿篱、草地、地被的施肥计划。</w:t>
            </w:r>
          </w:p>
          <w:p w14:paraId="5E861A4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乔灌木施肥每年不少于2次，2—3月和9—10月重点进行施肥，复合肥和基肥结合；观花灌木每年不少于3次；</w:t>
            </w:r>
          </w:p>
          <w:p w14:paraId="36F96E09">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草本花卉每年不少于4次，成片花卉每月撒施复合肥1次，每年根据其长势和覆盖率情况适当施基肥 1—2次；</w:t>
            </w:r>
          </w:p>
          <w:p w14:paraId="0E77E71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绿篱每年撒施复合肥不少于2次，每年根据其长势和 覆盖率情况适当施基肥1—2次；</w:t>
            </w:r>
          </w:p>
          <w:p w14:paraId="58BB58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草地、地被每年不少于2次。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8A091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未制定计划，扣3分；施肥计划有变化，未提前调整计划，每次扣1分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3BD17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D6EB6">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BF965C">
            <w:pPr>
              <w:jc w:val="left"/>
              <w:rPr>
                <w:rFonts w:hint="eastAsia" w:ascii="宋体" w:hAnsi="宋体" w:eastAsia="宋体" w:cs="宋体"/>
                <w:i w:val="0"/>
                <w:iCs w:val="0"/>
                <w:color w:val="auto"/>
                <w:sz w:val="21"/>
                <w:szCs w:val="21"/>
                <w:highlight w:val="none"/>
                <w:u w:val="none"/>
              </w:rPr>
            </w:pPr>
          </w:p>
        </w:tc>
      </w:tr>
      <w:tr w14:paraId="72D0C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D9691B">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85DE94">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15704C">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F0DE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按照施肥计划完成乔灌木、观花灌木、草本花卉、绿篱、草地、地被的施肥工作。</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97C7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未按计划完成施肥工作，且未提前调整施肥计划，造成生长衰退的，每次扣2分；</w:t>
            </w:r>
          </w:p>
          <w:p w14:paraId="1C38052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如施肥次数未达到要求的，每少1次扣2分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43C81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0B0067">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87DE8F">
            <w:pPr>
              <w:jc w:val="left"/>
              <w:rPr>
                <w:rFonts w:hint="eastAsia" w:ascii="宋体" w:hAnsi="宋体" w:eastAsia="宋体" w:cs="宋体"/>
                <w:i w:val="0"/>
                <w:iCs w:val="0"/>
                <w:color w:val="auto"/>
                <w:sz w:val="21"/>
                <w:szCs w:val="21"/>
                <w:highlight w:val="none"/>
                <w:u w:val="none"/>
              </w:rPr>
            </w:pPr>
          </w:p>
        </w:tc>
      </w:tr>
      <w:tr w14:paraId="777D25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F59DDB">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6A1B06E">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C1F6907">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8C81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及时淋水，旱季一般乔木3—5 天淋水1次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E1FA8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旱季乔木淋水次数低于规定次数，每次扣1分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7BEE71">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D7C7D7">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507482">
            <w:pPr>
              <w:jc w:val="left"/>
              <w:rPr>
                <w:rFonts w:hint="eastAsia" w:ascii="宋体" w:hAnsi="宋体" w:eastAsia="宋体" w:cs="宋体"/>
                <w:i w:val="0"/>
                <w:iCs w:val="0"/>
                <w:color w:val="auto"/>
                <w:sz w:val="21"/>
                <w:szCs w:val="21"/>
                <w:highlight w:val="none"/>
                <w:u w:val="none"/>
              </w:rPr>
            </w:pPr>
          </w:p>
        </w:tc>
      </w:tr>
      <w:tr w14:paraId="286DF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CEAA50">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FD91CA">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C32B165">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61CDB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 xml:space="preserve">单丛灌木、成片花卉、绿篱一般2—3 天淋水1次 </w:t>
            </w:r>
          </w:p>
          <w:p w14:paraId="46EF432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草地、地被一般每天淋水1次</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A0B31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单丛灌木、成片花卉、绿篱淋水次数低于规定次数，每次扣1分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7DE3FC">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176767">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2E207C">
            <w:pPr>
              <w:jc w:val="left"/>
              <w:rPr>
                <w:rFonts w:hint="eastAsia" w:ascii="宋体" w:hAnsi="宋体" w:eastAsia="宋体" w:cs="宋体"/>
                <w:i w:val="0"/>
                <w:iCs w:val="0"/>
                <w:color w:val="auto"/>
                <w:sz w:val="21"/>
                <w:szCs w:val="21"/>
                <w:highlight w:val="none"/>
                <w:u w:val="none"/>
              </w:rPr>
            </w:pPr>
          </w:p>
        </w:tc>
      </w:tr>
      <w:tr w14:paraId="4A71AA7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6598FF1">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7CB81">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285B4F3">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14B2B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雨季根据天气情况适当调节</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2B22D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草地、地被淋水次数低于规定次数，每次扣1分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184858">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203788">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D0C18F">
            <w:pPr>
              <w:jc w:val="left"/>
              <w:rPr>
                <w:rFonts w:hint="eastAsia" w:ascii="宋体" w:hAnsi="宋体" w:eastAsia="宋体" w:cs="宋体"/>
                <w:i w:val="0"/>
                <w:iCs w:val="0"/>
                <w:color w:val="auto"/>
                <w:sz w:val="21"/>
                <w:szCs w:val="21"/>
                <w:highlight w:val="none"/>
                <w:u w:val="none"/>
              </w:rPr>
            </w:pPr>
          </w:p>
        </w:tc>
      </w:tr>
      <w:tr w14:paraId="5B92FAB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3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E635D7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BF88A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8分</w:t>
            </w:r>
          </w:p>
        </w:tc>
        <w:tc>
          <w:tcPr>
            <w:tcW w:w="451"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D5EEB5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病虫害防治及用药安全</w:t>
            </w:r>
          </w:p>
        </w:tc>
        <w:tc>
          <w:tcPr>
            <w:tcW w:w="13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591F5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病虫害控制及时、有效，被害植株不超过5%被害叶片不超过叶片总量的3%</w:t>
            </w:r>
          </w:p>
          <w:p w14:paraId="0BEC20A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有害植物的危害得到有效治理，鼠害基本得到控制注意防治红火蚁</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7BF6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被害植株超过5%，每多1%扣0.5分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C6DE2A">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B2A57A">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FB8386">
            <w:pPr>
              <w:jc w:val="left"/>
              <w:rPr>
                <w:rFonts w:hint="eastAsia" w:ascii="宋体" w:hAnsi="宋体" w:eastAsia="宋体" w:cs="宋体"/>
                <w:i w:val="0"/>
                <w:iCs w:val="0"/>
                <w:color w:val="auto"/>
                <w:sz w:val="21"/>
                <w:szCs w:val="21"/>
                <w:highlight w:val="none"/>
                <w:u w:val="none"/>
              </w:rPr>
            </w:pPr>
          </w:p>
        </w:tc>
      </w:tr>
      <w:tr w14:paraId="44BD551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25390E">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C0676B">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436610">
            <w:pPr>
              <w:jc w:val="center"/>
              <w:rPr>
                <w:rFonts w:hint="eastAsia" w:ascii="宋体" w:hAnsi="宋体" w:eastAsia="宋体" w:cs="宋体"/>
                <w:i w:val="0"/>
                <w:iCs w:val="0"/>
                <w:color w:val="auto"/>
                <w:sz w:val="21"/>
                <w:szCs w:val="21"/>
                <w:highlight w:val="none"/>
                <w:u w:val="none"/>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879FA75">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2C19F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被害叶片超过叶片总量的3%，每多1%扣0.5分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1100B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0003EF">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DE6704">
            <w:pPr>
              <w:jc w:val="left"/>
              <w:rPr>
                <w:rFonts w:hint="eastAsia" w:ascii="宋体" w:hAnsi="宋体" w:eastAsia="宋体" w:cs="宋体"/>
                <w:i w:val="0"/>
                <w:iCs w:val="0"/>
                <w:color w:val="auto"/>
                <w:sz w:val="21"/>
                <w:szCs w:val="21"/>
                <w:highlight w:val="none"/>
                <w:u w:val="none"/>
              </w:rPr>
            </w:pPr>
          </w:p>
        </w:tc>
      </w:tr>
      <w:tr w14:paraId="59A066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3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868F3C">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C3A5FB">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B5F966">
            <w:pPr>
              <w:jc w:val="center"/>
              <w:rPr>
                <w:rFonts w:hint="eastAsia" w:ascii="宋体" w:hAnsi="宋体" w:eastAsia="宋体" w:cs="宋体"/>
                <w:i w:val="0"/>
                <w:iCs w:val="0"/>
                <w:color w:val="auto"/>
                <w:sz w:val="21"/>
                <w:szCs w:val="21"/>
                <w:highlight w:val="none"/>
                <w:u w:val="none"/>
              </w:rPr>
            </w:pPr>
          </w:p>
        </w:tc>
        <w:tc>
          <w:tcPr>
            <w:tcW w:w="13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822E860">
            <w:pPr>
              <w:jc w:val="center"/>
              <w:rPr>
                <w:rFonts w:hint="eastAsia" w:ascii="宋体" w:hAnsi="宋体" w:eastAsia="宋体" w:cs="宋体"/>
                <w:i w:val="0"/>
                <w:iCs w:val="0"/>
                <w:color w:val="auto"/>
                <w:sz w:val="21"/>
                <w:szCs w:val="21"/>
                <w:highlight w:val="none"/>
                <w:u w:val="none"/>
              </w:rPr>
            </w:pP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E9E2C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有害植物的危害未得到有效治理，存在鼠害，出现以上情况每处扣1分，未防治红火蚁，每次扣0.5分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E7FE72">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C55AF">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5AE6B77">
            <w:pPr>
              <w:jc w:val="left"/>
              <w:rPr>
                <w:rFonts w:hint="eastAsia" w:ascii="宋体" w:hAnsi="宋体" w:eastAsia="宋体" w:cs="宋体"/>
                <w:i w:val="0"/>
                <w:iCs w:val="0"/>
                <w:color w:val="auto"/>
                <w:sz w:val="21"/>
                <w:szCs w:val="21"/>
                <w:highlight w:val="none"/>
                <w:u w:val="none"/>
              </w:rPr>
            </w:pPr>
          </w:p>
        </w:tc>
      </w:tr>
      <w:tr w14:paraId="4B19FDD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37"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5FA553DD">
            <w:pPr>
              <w:jc w:val="center"/>
              <w:rPr>
                <w:rFonts w:hint="eastAsia" w:ascii="宋体" w:hAnsi="宋体" w:eastAsia="宋体" w:cs="宋体"/>
                <w:i w:val="0"/>
                <w:iCs w:val="0"/>
                <w:color w:val="auto"/>
                <w:sz w:val="20"/>
                <w:szCs w:val="20"/>
                <w:highlight w:val="none"/>
                <w:u w:val="none"/>
              </w:rPr>
            </w:pPr>
          </w:p>
        </w:tc>
        <w:tc>
          <w:tcPr>
            <w:tcW w:w="446" w:type="pct"/>
            <w:vMerge w:val="continue"/>
            <w:tcBorders>
              <w:top w:val="single" w:color="000000" w:sz="4" w:space="0"/>
              <w:left w:val="single" w:color="000000" w:sz="4" w:space="0"/>
              <w:bottom w:val="single" w:color="auto" w:sz="4" w:space="0"/>
              <w:right w:val="single" w:color="000000" w:sz="4" w:space="0"/>
            </w:tcBorders>
            <w:shd w:val="clear" w:color="auto" w:fill="auto"/>
            <w:noWrap/>
            <w:vAlign w:val="center"/>
          </w:tcPr>
          <w:p w14:paraId="277859FF">
            <w:pPr>
              <w:jc w:val="center"/>
              <w:rPr>
                <w:rFonts w:hint="eastAsia" w:ascii="宋体" w:hAnsi="宋体" w:eastAsia="宋体" w:cs="宋体"/>
                <w:i w:val="0"/>
                <w:iCs w:val="0"/>
                <w:color w:val="auto"/>
                <w:sz w:val="21"/>
                <w:szCs w:val="21"/>
                <w:highlight w:val="none"/>
                <w:u w:val="none"/>
              </w:rPr>
            </w:pPr>
          </w:p>
        </w:tc>
        <w:tc>
          <w:tcPr>
            <w:tcW w:w="451" w:type="pct"/>
            <w:vMerge w:val="continue"/>
            <w:tcBorders>
              <w:top w:val="single" w:color="000000" w:sz="4" w:space="0"/>
              <w:left w:val="single" w:color="000000" w:sz="4" w:space="0"/>
              <w:bottom w:val="single" w:color="auto" w:sz="4" w:space="0"/>
              <w:right w:val="single" w:color="000000" w:sz="4" w:space="0"/>
            </w:tcBorders>
            <w:shd w:val="clear" w:color="auto" w:fill="auto"/>
            <w:vAlign w:val="center"/>
          </w:tcPr>
          <w:p w14:paraId="4594614A">
            <w:pPr>
              <w:jc w:val="center"/>
              <w:rPr>
                <w:rFonts w:hint="eastAsia" w:ascii="宋体" w:hAnsi="宋体" w:eastAsia="宋体" w:cs="宋体"/>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3B66E1">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用药符合规定，选用高效、低毒、无污染，配比正确，</w:t>
            </w:r>
          </w:p>
          <w:p w14:paraId="1E6E5D4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操作安全，不发生药害事故</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6670C7">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发生药害事故，危害树木明显影响景观的，</w:t>
            </w:r>
          </w:p>
          <w:p w14:paraId="0DE64EB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每处扣 2 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6CB919">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94A324">
            <w:pPr>
              <w:jc w:val="left"/>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727672">
            <w:pPr>
              <w:jc w:val="left"/>
              <w:rPr>
                <w:rFonts w:hint="eastAsia" w:ascii="宋体" w:hAnsi="宋体" w:eastAsia="宋体" w:cs="宋体"/>
                <w:i w:val="0"/>
                <w:iCs w:val="0"/>
                <w:color w:val="auto"/>
                <w:sz w:val="21"/>
                <w:szCs w:val="21"/>
                <w:highlight w:val="none"/>
                <w:u w:val="none"/>
              </w:rPr>
            </w:pPr>
          </w:p>
        </w:tc>
      </w:tr>
      <w:tr w14:paraId="5AF1015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76D041E3">
            <w:pPr>
              <w:jc w:val="center"/>
              <w:rPr>
                <w:rFonts w:hint="eastAsia"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7</w:t>
            </w:r>
          </w:p>
        </w:tc>
        <w:tc>
          <w:tcPr>
            <w:tcW w:w="446" w:type="pct"/>
            <w:tcBorders>
              <w:top w:val="single" w:color="auto" w:sz="4" w:space="0"/>
              <w:left w:val="single" w:color="auto" w:sz="4" w:space="0"/>
              <w:bottom w:val="single" w:color="auto" w:sz="4" w:space="0"/>
              <w:right w:val="single" w:color="auto" w:sz="4" w:space="0"/>
            </w:tcBorders>
            <w:shd w:val="clear" w:color="auto" w:fill="auto"/>
            <w:noWrap/>
            <w:vAlign w:val="center"/>
          </w:tcPr>
          <w:p w14:paraId="39A7FEFE">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5分</w:t>
            </w:r>
          </w:p>
        </w:tc>
        <w:tc>
          <w:tcPr>
            <w:tcW w:w="451" w:type="pct"/>
            <w:tcBorders>
              <w:top w:val="single" w:color="auto" w:sz="4" w:space="0"/>
              <w:left w:val="single" w:color="auto" w:sz="4" w:space="0"/>
              <w:bottom w:val="single" w:color="auto" w:sz="4" w:space="0"/>
              <w:right w:val="single" w:color="auto" w:sz="4" w:space="0"/>
            </w:tcBorders>
            <w:shd w:val="clear" w:color="auto" w:fill="auto"/>
            <w:vAlign w:val="center"/>
          </w:tcPr>
          <w:p w14:paraId="044F6B96">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其他要求</w:t>
            </w:r>
          </w:p>
        </w:tc>
        <w:tc>
          <w:tcPr>
            <w:tcW w:w="1340" w:type="pct"/>
            <w:tcBorders>
              <w:top w:val="single" w:color="000000" w:sz="4" w:space="0"/>
              <w:left w:val="single" w:color="auto" w:sz="4" w:space="0"/>
              <w:bottom w:val="single" w:color="000000" w:sz="4" w:space="0"/>
              <w:right w:val="single" w:color="000000" w:sz="4" w:space="0"/>
            </w:tcBorders>
            <w:shd w:val="clear" w:color="auto" w:fill="auto"/>
            <w:vAlign w:val="center"/>
          </w:tcPr>
          <w:p w14:paraId="0C497F2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u w:val="none"/>
                <w:lang w:val="en-US" w:eastAsia="zh-CN" w:bidi="ar"/>
              </w:rPr>
              <w:t>服从甲方突击性任务、迎检活动安排、紧急服务等工作要求。</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87883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val="en-US" w:eastAsia="zh-CN" w:bidi="ar"/>
              </w:rPr>
              <w:t>无正当理由拒不服从的，每次扣5分。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1DC5D5">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5</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B165EC">
            <w:pPr>
              <w:jc w:val="both"/>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1798FC">
            <w:pPr>
              <w:rPr>
                <w:rFonts w:hint="eastAsia" w:ascii="宋体" w:hAnsi="宋体" w:eastAsia="宋体" w:cs="宋体"/>
                <w:i w:val="0"/>
                <w:iCs w:val="0"/>
                <w:color w:val="auto"/>
                <w:sz w:val="22"/>
                <w:szCs w:val="22"/>
                <w:highlight w:val="none"/>
                <w:u w:val="none"/>
              </w:rPr>
            </w:pPr>
          </w:p>
        </w:tc>
      </w:tr>
      <w:tr w14:paraId="3A093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75" w:hRule="atLeast"/>
        </w:trPr>
        <w:tc>
          <w:tcPr>
            <w:tcW w:w="437" w:type="pct"/>
            <w:tcBorders>
              <w:top w:val="single" w:color="auto" w:sz="4" w:space="0"/>
              <w:left w:val="single" w:color="auto" w:sz="4" w:space="0"/>
              <w:bottom w:val="single" w:color="auto" w:sz="4" w:space="0"/>
              <w:right w:val="single" w:color="auto" w:sz="4" w:space="0"/>
            </w:tcBorders>
            <w:shd w:val="clear" w:color="auto" w:fill="auto"/>
            <w:noWrap/>
            <w:vAlign w:val="center"/>
          </w:tcPr>
          <w:p w14:paraId="645BCD11">
            <w:pPr>
              <w:jc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8</w:t>
            </w:r>
          </w:p>
        </w:tc>
        <w:tc>
          <w:tcPr>
            <w:tcW w:w="898" w:type="pct"/>
            <w:gridSpan w:val="2"/>
            <w:tcBorders>
              <w:top w:val="single" w:color="auto" w:sz="4" w:space="0"/>
              <w:left w:val="single" w:color="auto" w:sz="4" w:space="0"/>
              <w:bottom w:val="single" w:color="auto" w:sz="4" w:space="0"/>
              <w:right w:val="single" w:color="auto" w:sz="4" w:space="0"/>
            </w:tcBorders>
            <w:shd w:val="clear" w:color="auto" w:fill="auto"/>
            <w:noWrap/>
            <w:vAlign w:val="center"/>
          </w:tcPr>
          <w:p w14:paraId="2140730A">
            <w:pPr>
              <w:jc w:val="center"/>
              <w:rPr>
                <w:rFonts w:hint="default" w:ascii="宋体" w:hAnsi="宋体" w:eastAsia="宋体" w:cs="宋体"/>
                <w:i w:val="0"/>
                <w:iCs w:val="0"/>
                <w:color w:val="auto"/>
                <w:sz w:val="21"/>
                <w:szCs w:val="21"/>
                <w:highlight w:val="none"/>
                <w:u w:val="none"/>
                <w:lang w:val="en-US" w:eastAsia="zh-CN"/>
              </w:rPr>
            </w:pPr>
            <w:r>
              <w:rPr>
                <w:rFonts w:hint="eastAsia" w:ascii="宋体" w:hAnsi="宋体" w:eastAsia="宋体" w:cs="宋体"/>
                <w:i w:val="0"/>
                <w:iCs w:val="0"/>
                <w:color w:val="auto"/>
                <w:sz w:val="21"/>
                <w:szCs w:val="21"/>
                <w:highlight w:val="none"/>
                <w:u w:val="none"/>
                <w:lang w:val="en-US" w:eastAsia="zh-CN"/>
              </w:rPr>
              <w:t>扣分项</w:t>
            </w:r>
          </w:p>
        </w:tc>
        <w:tc>
          <w:tcPr>
            <w:tcW w:w="1340" w:type="pct"/>
            <w:tcBorders>
              <w:top w:val="single" w:color="000000" w:sz="4" w:space="0"/>
              <w:left w:val="single" w:color="auto" w:sz="4" w:space="0"/>
              <w:bottom w:val="single" w:color="000000" w:sz="4" w:space="0"/>
              <w:right w:val="single" w:color="000000" w:sz="4" w:space="0"/>
            </w:tcBorders>
            <w:shd w:val="clear" w:color="auto" w:fill="auto"/>
            <w:vAlign w:val="center"/>
          </w:tcPr>
          <w:p w14:paraId="1759AFFD">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val="en-US" w:eastAsia="zh-CN" w:bidi="ar"/>
              </w:rPr>
              <w:t>未在合同约定期限内更换或补充甲方所需人员的。</w:t>
            </w:r>
          </w:p>
        </w:tc>
        <w:tc>
          <w:tcPr>
            <w:tcW w:w="95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388CA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Cs w:val="21"/>
                <w:highlight w:val="none"/>
                <w:lang w:val="en-US" w:eastAsia="zh-CN" w:bidi="ar"/>
              </w:rPr>
              <w:t>每</w:t>
            </w:r>
            <w:r>
              <w:rPr>
                <w:rFonts w:hint="eastAsia" w:ascii="宋体" w:hAnsi="宋体" w:eastAsia="宋体" w:cs="宋体"/>
                <w:color w:val="auto"/>
                <w:kern w:val="0"/>
                <w:szCs w:val="21"/>
                <w:highlight w:val="none"/>
                <w:lang w:val="en-US" w:eastAsia="zh-CN" w:bidi="ar"/>
              </w:rPr>
              <w:t>违反一</w:t>
            </w:r>
            <w:r>
              <w:rPr>
                <w:rFonts w:hint="default" w:ascii="宋体" w:hAnsi="宋体" w:eastAsia="宋体" w:cs="宋体"/>
                <w:color w:val="auto"/>
                <w:kern w:val="0"/>
                <w:szCs w:val="21"/>
                <w:highlight w:val="none"/>
                <w:lang w:val="en-US" w:eastAsia="zh-CN" w:bidi="ar"/>
              </w:rPr>
              <w:t>次扣</w:t>
            </w:r>
            <w:r>
              <w:rPr>
                <w:rFonts w:hint="eastAsia" w:ascii="宋体" w:hAnsi="宋体" w:eastAsia="宋体" w:cs="宋体"/>
                <w:color w:val="auto"/>
                <w:kern w:val="0"/>
                <w:szCs w:val="21"/>
                <w:highlight w:val="none"/>
                <w:lang w:val="en-US" w:eastAsia="zh-CN" w:bidi="ar"/>
              </w:rPr>
              <w:t>10</w:t>
            </w:r>
            <w:r>
              <w:rPr>
                <w:rFonts w:hint="default" w:ascii="宋体" w:hAnsi="宋体" w:eastAsia="宋体" w:cs="宋体"/>
                <w:color w:val="auto"/>
                <w:kern w:val="0"/>
                <w:szCs w:val="21"/>
                <w:highlight w:val="none"/>
                <w:lang w:val="en-US" w:eastAsia="zh-CN" w:bidi="ar"/>
              </w:rPr>
              <w:t>分。</w:t>
            </w:r>
          </w:p>
        </w:tc>
        <w:tc>
          <w:tcPr>
            <w:tcW w:w="46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5B823A">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44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66F196">
            <w:pPr>
              <w:jc w:val="both"/>
              <w:rPr>
                <w:rFonts w:hint="eastAsia" w:ascii="宋体" w:hAnsi="宋体" w:eastAsia="宋体" w:cs="宋体"/>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B084C5">
            <w:pPr>
              <w:rPr>
                <w:rFonts w:hint="eastAsia" w:ascii="宋体" w:hAnsi="宋体" w:eastAsia="宋体" w:cs="宋体"/>
                <w:i w:val="0"/>
                <w:iCs w:val="0"/>
                <w:color w:val="auto"/>
                <w:sz w:val="22"/>
                <w:szCs w:val="22"/>
                <w:highlight w:val="none"/>
                <w:u w:val="none"/>
              </w:rPr>
            </w:pPr>
          </w:p>
        </w:tc>
      </w:tr>
      <w:tr w14:paraId="650075B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7" w:hRule="atLeast"/>
        </w:trPr>
        <w:tc>
          <w:tcPr>
            <w:tcW w:w="43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BA71D">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3652"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6D28FE3D">
            <w:pPr>
              <w:keepNext w:val="0"/>
              <w:keepLines w:val="0"/>
              <w:widowControl/>
              <w:suppressLineNumbers w:val="0"/>
              <w:jc w:val="center"/>
              <w:textAlignment w:val="center"/>
              <w:rPr>
                <w:rFonts w:hint="default" w:ascii="宋体" w:hAnsi="宋体" w:eastAsia="宋体" w:cs="宋体"/>
                <w:b/>
                <w:bCs/>
                <w:i w:val="0"/>
                <w:iCs w:val="0"/>
                <w:color w:val="auto"/>
                <w:sz w:val="21"/>
                <w:szCs w:val="21"/>
                <w:highlight w:val="none"/>
                <w:u w:val="none"/>
                <w:lang w:val="en-US"/>
              </w:rPr>
            </w:pPr>
            <w:r>
              <w:rPr>
                <w:rFonts w:hint="eastAsia" w:ascii="宋体" w:hAnsi="宋体" w:eastAsia="宋体" w:cs="宋体"/>
                <w:b/>
                <w:bCs/>
                <w:i w:val="0"/>
                <w:iCs w:val="0"/>
                <w:color w:val="auto"/>
                <w:kern w:val="0"/>
                <w:sz w:val="21"/>
                <w:szCs w:val="21"/>
                <w:highlight w:val="none"/>
                <w:u w:val="none"/>
                <w:lang w:val="en-US" w:eastAsia="zh-CN" w:bidi="ar"/>
              </w:rPr>
              <w:t>100分</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43FDF5">
            <w:pPr>
              <w:rPr>
                <w:rFonts w:hint="eastAsia" w:ascii="宋体" w:hAnsi="宋体" w:eastAsia="宋体" w:cs="宋体"/>
                <w:b/>
                <w:bCs/>
                <w:i w:val="0"/>
                <w:iCs w:val="0"/>
                <w:color w:val="auto"/>
                <w:sz w:val="21"/>
                <w:szCs w:val="21"/>
                <w:highlight w:val="none"/>
                <w:u w:val="none"/>
              </w:rPr>
            </w:pPr>
          </w:p>
        </w:tc>
        <w:tc>
          <w:tcPr>
            <w:tcW w:w="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2F95E">
            <w:pPr>
              <w:rPr>
                <w:rFonts w:hint="eastAsia" w:ascii="宋体" w:hAnsi="宋体" w:eastAsia="宋体" w:cs="宋体"/>
                <w:b/>
                <w:bCs/>
                <w:i w:val="0"/>
                <w:iCs w:val="0"/>
                <w:color w:val="auto"/>
                <w:sz w:val="21"/>
                <w:szCs w:val="21"/>
                <w:highlight w:val="none"/>
                <w:u w:val="none"/>
              </w:rPr>
            </w:pPr>
          </w:p>
        </w:tc>
      </w:tr>
      <w:tr w14:paraId="1CD2715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75" w:hRule="atLeast"/>
        </w:trPr>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EAA78D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考核结果</w:t>
            </w: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37CB0A">
            <w:pPr>
              <w:jc w:val="center"/>
              <w:rPr>
                <w:rFonts w:hint="eastAsia" w:ascii="宋体" w:hAnsi="宋体" w:eastAsia="宋体" w:cs="宋体"/>
                <w:b/>
                <w:bCs/>
                <w:i w:val="0"/>
                <w:iCs w:val="0"/>
                <w:color w:val="auto"/>
                <w:sz w:val="21"/>
                <w:szCs w:val="21"/>
                <w:highlight w:val="none"/>
                <w:u w:val="none"/>
              </w:rPr>
            </w:pPr>
          </w:p>
        </w:tc>
        <w:tc>
          <w:tcPr>
            <w:tcW w:w="13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A1FD6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合格</w:t>
            </w:r>
          </w:p>
        </w:tc>
        <w:tc>
          <w:tcPr>
            <w:tcW w:w="95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91DC6C">
            <w:pPr>
              <w:rPr>
                <w:rFonts w:hint="eastAsia" w:ascii="宋体" w:hAnsi="宋体" w:eastAsia="宋体" w:cs="宋体"/>
                <w:i w:val="0"/>
                <w:iCs w:val="0"/>
                <w:color w:val="auto"/>
                <w:sz w:val="22"/>
                <w:szCs w:val="22"/>
                <w:highlight w:val="none"/>
                <w:u w:val="none"/>
              </w:rPr>
            </w:pPr>
          </w:p>
        </w:tc>
        <w:tc>
          <w:tcPr>
            <w:tcW w:w="461"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E80345">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不合格</w:t>
            </w:r>
          </w:p>
        </w:tc>
        <w:tc>
          <w:tcPr>
            <w:tcW w:w="90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651EEB">
            <w:pPr>
              <w:jc w:val="center"/>
              <w:rPr>
                <w:rFonts w:hint="eastAsia" w:ascii="宋体" w:hAnsi="宋体" w:eastAsia="宋体" w:cs="宋体"/>
                <w:b/>
                <w:bCs/>
                <w:i w:val="0"/>
                <w:iCs w:val="0"/>
                <w:color w:val="auto"/>
                <w:sz w:val="21"/>
                <w:szCs w:val="21"/>
                <w:highlight w:val="none"/>
                <w:u w:val="none"/>
              </w:rPr>
            </w:pPr>
          </w:p>
        </w:tc>
      </w:tr>
      <w:tr w14:paraId="22CC16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ADA6B67">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意见及建议</w:t>
            </w:r>
          </w:p>
        </w:tc>
        <w:tc>
          <w:tcPr>
            <w:tcW w:w="4115" w:type="pct"/>
            <w:gridSpan w:val="6"/>
            <w:tcBorders>
              <w:top w:val="single" w:color="000000" w:sz="4" w:space="0"/>
              <w:left w:val="single" w:color="000000" w:sz="4" w:space="0"/>
              <w:bottom w:val="single" w:color="000000" w:sz="4" w:space="0"/>
              <w:right w:val="single" w:color="000000" w:sz="4" w:space="0"/>
            </w:tcBorders>
            <w:shd w:val="clear" w:color="auto" w:fill="auto"/>
            <w:vAlign w:val="center"/>
          </w:tcPr>
          <w:p w14:paraId="64599E26">
            <w:pPr>
              <w:jc w:val="center"/>
              <w:rPr>
                <w:rFonts w:hint="eastAsia" w:ascii="宋体" w:hAnsi="宋体" w:eastAsia="宋体" w:cs="宋体"/>
                <w:b/>
                <w:bCs/>
                <w:i w:val="0"/>
                <w:iCs w:val="0"/>
                <w:color w:val="auto"/>
                <w:sz w:val="21"/>
                <w:szCs w:val="21"/>
                <w:highlight w:val="none"/>
                <w:u w:val="none"/>
              </w:rPr>
            </w:pPr>
          </w:p>
        </w:tc>
      </w:tr>
      <w:tr w14:paraId="3A7D1B8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3" w:hRule="atLeast"/>
        </w:trPr>
        <w:tc>
          <w:tcPr>
            <w:tcW w:w="88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F20E4A6">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说明</w:t>
            </w:r>
          </w:p>
        </w:tc>
        <w:tc>
          <w:tcPr>
            <w:tcW w:w="179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933DC9">
            <w:pPr>
              <w:jc w:val="center"/>
              <w:rPr>
                <w:rFonts w:hint="eastAsia" w:ascii="宋体" w:hAnsi="宋体" w:eastAsia="宋体" w:cs="宋体"/>
                <w:b/>
                <w:bCs/>
                <w:i w:val="0"/>
                <w:iCs w:val="0"/>
                <w:color w:val="auto"/>
                <w:sz w:val="21"/>
                <w:szCs w:val="21"/>
                <w:highlight w:val="none"/>
                <w:u w:val="none"/>
              </w:rPr>
            </w:pPr>
          </w:p>
        </w:tc>
        <w:tc>
          <w:tcPr>
            <w:tcW w:w="2323" w:type="pct"/>
            <w:gridSpan w:val="4"/>
            <w:tcBorders>
              <w:top w:val="single" w:color="000000" w:sz="4" w:space="0"/>
              <w:left w:val="single" w:color="000000" w:sz="4" w:space="0"/>
              <w:bottom w:val="single" w:color="000000" w:sz="4" w:space="0"/>
              <w:right w:val="single" w:color="000000" w:sz="4" w:space="0"/>
            </w:tcBorders>
            <w:shd w:val="clear" w:color="auto" w:fill="auto"/>
            <w:vAlign w:val="center"/>
          </w:tcPr>
          <w:p w14:paraId="13702D7F">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如评委在检查时指出绿化不当的地方，而服务单位人员态度懒散，置之不理。评委有权追扣分数（5-10分）</w:t>
            </w:r>
          </w:p>
        </w:tc>
      </w:tr>
    </w:tbl>
    <w:p w14:paraId="719D7E6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lang w:bidi="ar"/>
        </w:rPr>
        <w:t>考核单位：                     考核人：                        考核时间：</w:t>
      </w:r>
    </w:p>
    <w:p w14:paraId="4DA58A6B">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lang w:bidi="ar"/>
        </w:rPr>
        <w:t xml:space="preserve"> </w:t>
      </w:r>
    </w:p>
    <w:p w14:paraId="4A2B5299">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lang w:bidi="ar"/>
        </w:rPr>
        <w:t>注：1、本考核评比实行百分制,与实际服务费挂钩。</w:t>
      </w:r>
    </w:p>
    <w:p w14:paraId="29F3EE39">
      <w:pPr>
        <w:keepNext w:val="0"/>
        <w:keepLines w:val="0"/>
        <w:pageBreakBefore w:val="0"/>
        <w:widowControl w:val="0"/>
        <w:kinsoku/>
        <w:wordWrap/>
        <w:overflowPunct/>
        <w:topLinePunct w:val="0"/>
        <w:autoSpaceDE w:val="0"/>
        <w:autoSpaceDN w:val="0"/>
        <w:bidi w:val="0"/>
        <w:adjustRightInd w:val="0"/>
        <w:snapToGrid w:val="0"/>
        <w:spacing w:line="360" w:lineRule="auto"/>
        <w:ind w:firstLine="424" w:firstLineChars="202"/>
        <w:jc w:val="left"/>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lang w:bidi="ar"/>
        </w:rPr>
        <w:t>2、每项考评对应无扣分的，实得分等于应得分。</w:t>
      </w:r>
    </w:p>
    <w:p w14:paraId="088CE693">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3、</w:t>
      </w:r>
      <w:r>
        <w:rPr>
          <w:rFonts w:hint="eastAsia" w:eastAsia="宋体" w:cs="宋体"/>
          <w:sz w:val="21"/>
          <w:szCs w:val="21"/>
          <w:highlight w:val="none"/>
        </w:rPr>
        <w:t>甲方（含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分公司）每月根据考评结果情况支付实际服务费给乙方</w:t>
      </w:r>
      <w:r>
        <w:rPr>
          <w:rFonts w:hint="eastAsia" w:eastAsia="宋体" w:cs="宋体"/>
          <w:kern w:val="0"/>
          <w:sz w:val="21"/>
          <w:szCs w:val="21"/>
          <w:highlight w:val="none"/>
          <w:lang w:eastAsia="zh-CN" w:bidi="ar"/>
        </w:rPr>
        <w:t>：</w:t>
      </w:r>
    </w:p>
    <w:p w14:paraId="2DE0FDA2">
      <w:pPr>
        <w:pStyle w:val="33"/>
        <w:keepNext w:val="0"/>
        <w:keepLines w:val="0"/>
        <w:pageBreakBefore w:val="0"/>
        <w:numPr>
          <w:ilvl w:val="0"/>
          <w:numId w:val="0"/>
        </w:numPr>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sz w:val="21"/>
          <w:szCs w:val="21"/>
          <w:highlight w:val="none"/>
        </w:rPr>
      </w:pPr>
      <w:r>
        <w:rPr>
          <w:rFonts w:hint="eastAsia" w:ascii="宋体" w:hAnsi="宋体" w:eastAsia="宋体" w:cs="宋体"/>
          <w:kern w:val="2"/>
          <w:sz w:val="21"/>
          <w:szCs w:val="21"/>
          <w:highlight w:val="none"/>
          <w:lang w:val="en-US" w:eastAsia="zh-CN" w:bidi="ar-SA"/>
        </w:rPr>
        <w:t>（1）</w:t>
      </w:r>
      <w:r>
        <w:rPr>
          <w:rFonts w:hint="eastAsia" w:eastAsia="宋体" w:cs="宋体"/>
          <w:kern w:val="0"/>
          <w:sz w:val="21"/>
          <w:szCs w:val="21"/>
          <w:highlight w:val="none"/>
          <w:lang w:eastAsia="zh-CN" w:bidi="ar"/>
        </w:rPr>
        <w:t>当实际考核项目总分满分为100分，</w:t>
      </w:r>
      <w:r>
        <w:rPr>
          <w:rFonts w:hint="eastAsia" w:eastAsia="宋体" w:cs="宋体"/>
          <w:kern w:val="0"/>
          <w:sz w:val="21"/>
          <w:szCs w:val="21"/>
          <w:highlight w:val="none"/>
          <w:lang w:bidi="ar"/>
        </w:rPr>
        <w:t>如</w:t>
      </w:r>
      <w:r>
        <w:rPr>
          <w:rFonts w:hint="eastAsia" w:eastAsia="宋体" w:cs="宋体"/>
          <w:sz w:val="21"/>
          <w:szCs w:val="21"/>
          <w:highlight w:val="none"/>
        </w:rPr>
        <w:t>甲方（含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分公司）对乙方的服务考核评分达到90分或以上的，该月服务费全额支付；如</w:t>
      </w:r>
      <w:r>
        <w:rPr>
          <w:rFonts w:hint="eastAsia" w:eastAsia="宋体" w:cs="宋体"/>
          <w:sz w:val="21"/>
          <w:szCs w:val="21"/>
          <w:highlight w:val="none"/>
        </w:rPr>
        <w:t>甲方（含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分公司）对乙方的服务考核评分不足90分的，该月实际支付的服务费=该月应支付服务费×当月考核评分占比；如发现累计两个月未达到60分时，且乙方没有提供令甲方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分公司）认可的整改方案的，甲方有权单方解除合同</w:t>
      </w:r>
      <w:r>
        <w:rPr>
          <w:rFonts w:hint="eastAsia" w:eastAsia="宋体" w:cs="宋体"/>
          <w:sz w:val="21"/>
          <w:szCs w:val="21"/>
          <w:highlight w:val="none"/>
        </w:rPr>
        <w:t>。</w:t>
      </w:r>
    </w:p>
    <w:p w14:paraId="69D2B7CF">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kern w:val="0"/>
          <w:sz w:val="21"/>
          <w:szCs w:val="21"/>
          <w:highlight w:val="none"/>
          <w:lang w:bidi="ar"/>
        </w:rPr>
      </w:pP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2</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当实际考核项目总分满分不足100分，将考核分数按百分制进行折算（折算分数=实际得分/满分</w:t>
      </w:r>
      <w:r>
        <w:rPr>
          <w:rFonts w:hint="eastAsia" w:ascii="宋体" w:hAnsi="宋体" w:eastAsia="宋体" w:cs="宋体"/>
          <w:kern w:val="0"/>
          <w:sz w:val="21"/>
          <w:szCs w:val="21"/>
          <w:highlight w:val="none"/>
          <w:lang w:bidi="ar"/>
        </w:rPr>
        <w:t>×</w:t>
      </w:r>
      <w:r>
        <w:rPr>
          <w:rFonts w:hint="eastAsia" w:ascii="宋体" w:hAnsi="宋体" w:eastAsia="宋体" w:cs="宋体"/>
          <w:kern w:val="0"/>
          <w:sz w:val="21"/>
          <w:szCs w:val="21"/>
          <w:highlight w:val="none"/>
          <w:lang w:val="en-US" w:eastAsia="zh-CN" w:bidi="ar"/>
        </w:rPr>
        <w:t>100），折算后高于90%</w:t>
      </w:r>
      <w:r>
        <w:rPr>
          <w:rFonts w:hint="eastAsia" w:ascii="宋体" w:hAnsi="宋体" w:eastAsia="宋体" w:cs="宋体"/>
          <w:kern w:val="0"/>
          <w:sz w:val="21"/>
          <w:szCs w:val="21"/>
          <w:highlight w:val="none"/>
          <w:lang w:bidi="ar"/>
        </w:rPr>
        <w:t>或以上的，该月服务费全额支付；如甲方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对乙方的服务考核评分</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不足90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的，该月实际支付的服务费=该月应支付服务费×</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val="en-US" w:eastAsia="zh-CN" w:bidi="ar"/>
        </w:rPr>
        <w:t>折算分数/100</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；如发现累计两个月</w:t>
      </w:r>
      <w:r>
        <w:rPr>
          <w:rFonts w:hint="eastAsia" w:ascii="宋体" w:hAnsi="宋体" w:eastAsia="宋体" w:cs="宋体"/>
          <w:kern w:val="0"/>
          <w:sz w:val="21"/>
          <w:szCs w:val="21"/>
          <w:highlight w:val="none"/>
          <w:lang w:val="en-US" w:eastAsia="zh-CN" w:bidi="ar"/>
        </w:rPr>
        <w:t>折算后</w:t>
      </w:r>
      <w:r>
        <w:rPr>
          <w:rFonts w:hint="eastAsia" w:ascii="宋体" w:hAnsi="宋体" w:eastAsia="宋体" w:cs="宋体"/>
          <w:kern w:val="0"/>
          <w:sz w:val="21"/>
          <w:szCs w:val="21"/>
          <w:highlight w:val="none"/>
          <w:lang w:bidi="ar"/>
        </w:rPr>
        <w:t>未达到60</w:t>
      </w:r>
      <w:r>
        <w:rPr>
          <w:rFonts w:hint="eastAsia" w:ascii="宋体" w:hAnsi="宋体" w:eastAsia="宋体" w:cs="宋体"/>
          <w:kern w:val="0"/>
          <w:sz w:val="21"/>
          <w:szCs w:val="21"/>
          <w:highlight w:val="none"/>
          <w:lang w:val="en-US" w:eastAsia="zh-CN" w:bidi="ar"/>
        </w:rPr>
        <w:t>%</w:t>
      </w:r>
      <w:r>
        <w:rPr>
          <w:rFonts w:hint="eastAsia" w:ascii="宋体" w:hAnsi="宋体" w:eastAsia="宋体" w:cs="宋体"/>
          <w:kern w:val="0"/>
          <w:sz w:val="21"/>
          <w:szCs w:val="21"/>
          <w:highlight w:val="none"/>
          <w:lang w:bidi="ar"/>
        </w:rPr>
        <w:t>时，且</w:t>
      </w:r>
      <w:r>
        <w:rPr>
          <w:rFonts w:hint="eastAsia" w:ascii="宋体" w:hAnsi="宋体" w:eastAsia="宋体" w:cs="宋体"/>
          <w:kern w:val="0"/>
          <w:sz w:val="21"/>
          <w:szCs w:val="21"/>
          <w:highlight w:val="none"/>
          <w:lang w:val="en-US" w:eastAsia="zh-CN" w:bidi="ar"/>
        </w:rPr>
        <w:t>乙方</w:t>
      </w:r>
      <w:r>
        <w:rPr>
          <w:rFonts w:hint="eastAsia" w:ascii="宋体" w:hAnsi="宋体" w:eastAsia="宋体" w:cs="宋体"/>
          <w:kern w:val="0"/>
          <w:sz w:val="21"/>
          <w:szCs w:val="21"/>
          <w:highlight w:val="none"/>
          <w:lang w:bidi="ar"/>
        </w:rPr>
        <w:t>没有提供令</w:t>
      </w:r>
      <w:r>
        <w:rPr>
          <w:rFonts w:hint="eastAsia" w:ascii="宋体" w:hAnsi="宋体" w:eastAsia="宋体" w:cs="宋体"/>
          <w:kern w:val="0"/>
          <w:sz w:val="21"/>
          <w:szCs w:val="21"/>
          <w:highlight w:val="none"/>
          <w:lang w:val="en-US" w:eastAsia="zh-CN" w:bidi="ar"/>
        </w:rPr>
        <w:t>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w:t>
      </w:r>
      <w:r>
        <w:rPr>
          <w:rFonts w:hint="eastAsia" w:ascii="宋体" w:hAnsi="宋体" w:eastAsia="宋体" w:cs="宋体"/>
          <w:kern w:val="0"/>
          <w:sz w:val="21"/>
          <w:szCs w:val="21"/>
          <w:highlight w:val="none"/>
          <w:lang w:bidi="ar"/>
        </w:rPr>
        <w:t>认可的整改方案的</w:t>
      </w:r>
      <w:r>
        <w:rPr>
          <w:rFonts w:hint="eastAsia" w:ascii="宋体" w:hAnsi="宋体" w:eastAsia="宋体" w:cs="宋体"/>
          <w:kern w:val="0"/>
          <w:sz w:val="21"/>
          <w:szCs w:val="21"/>
          <w:highlight w:val="none"/>
          <w:lang w:eastAsia="zh-CN" w:bidi="ar"/>
        </w:rPr>
        <w:t>，</w:t>
      </w:r>
      <w:r>
        <w:rPr>
          <w:rFonts w:hint="eastAsia" w:ascii="宋体" w:hAnsi="宋体" w:eastAsia="宋体" w:cs="宋体"/>
          <w:kern w:val="0"/>
          <w:sz w:val="21"/>
          <w:szCs w:val="21"/>
          <w:highlight w:val="none"/>
          <w:lang w:bidi="ar"/>
        </w:rPr>
        <w:t>甲方有权单方解除合同。</w:t>
      </w:r>
    </w:p>
    <w:p w14:paraId="7C4E7764">
      <w:pPr>
        <w:autoSpaceDE w:val="0"/>
        <w:autoSpaceDN w:val="0"/>
        <w:adjustRightInd w:val="0"/>
        <w:jc w:val="left"/>
        <w:rPr>
          <w:rFonts w:ascii="宋体" w:hAnsi="宋体" w:eastAsia="宋体" w:cs="宋体"/>
          <w:highlight w:val="none"/>
        </w:rPr>
      </w:pPr>
      <w:r>
        <w:rPr>
          <w:rFonts w:hint="eastAsia" w:ascii="宋体" w:hAnsi="宋体" w:eastAsia="宋体" w:cs="宋体"/>
          <w:kern w:val="0"/>
          <w:sz w:val="24"/>
          <w:szCs w:val="24"/>
          <w:highlight w:val="none"/>
          <w:lang w:bidi="ar"/>
        </w:rPr>
        <w:br w:type="page"/>
      </w:r>
    </w:p>
    <w:p w14:paraId="3EFF53C1">
      <w:pPr>
        <w:autoSpaceDE w:val="0"/>
        <w:autoSpaceDN w:val="0"/>
        <w:adjustRightInd w:val="0"/>
        <w:spacing w:line="360" w:lineRule="auto"/>
        <w:jc w:val="center"/>
        <w:rPr>
          <w:rFonts w:ascii="宋体" w:hAnsi="宋体" w:eastAsia="宋体" w:cs="宋体"/>
          <w:b/>
          <w:sz w:val="21"/>
          <w:szCs w:val="21"/>
          <w:highlight w:val="none"/>
        </w:rPr>
      </w:pPr>
      <w:r>
        <w:rPr>
          <w:rFonts w:hint="eastAsia" w:ascii="宋体" w:hAnsi="宋体" w:eastAsia="宋体" w:cs="宋体"/>
          <w:b/>
          <w:kern w:val="0"/>
          <w:sz w:val="21"/>
          <w:szCs w:val="21"/>
          <w:highlight w:val="none"/>
          <w:lang w:bidi="ar"/>
        </w:rPr>
        <w:t>2.4 《</w:t>
      </w:r>
      <w:r>
        <w:rPr>
          <w:rFonts w:hint="eastAsia" w:ascii="宋体" w:hAnsi="宋体" w:eastAsia="宋体" w:cs="宋体"/>
          <w:b/>
          <w:kern w:val="0"/>
          <w:sz w:val="21"/>
          <w:szCs w:val="21"/>
          <w:highlight w:val="none"/>
          <w:lang w:eastAsia="zh-CN" w:bidi="ar"/>
        </w:rPr>
        <w:t>东莞市水务环境投资控股集团供水有限公司</w:t>
      </w:r>
      <w:r>
        <w:rPr>
          <w:rFonts w:hint="eastAsia" w:ascii="宋体" w:hAnsi="宋体" w:eastAsia="宋体" w:cs="宋体"/>
          <w:b/>
          <w:kern w:val="0"/>
          <w:sz w:val="21"/>
          <w:szCs w:val="21"/>
          <w:highlight w:val="none"/>
          <w:lang w:bidi="ar"/>
        </w:rPr>
        <w:t>清洁保洁、绿化养护、除“四害”及灭蚁防治考核评分标准（适用于三级绿化养护项目）》</w:t>
      </w:r>
    </w:p>
    <w:tbl>
      <w:tblPr>
        <w:tblStyle w:val="37"/>
        <w:tblW w:w="4986"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821"/>
        <w:gridCol w:w="403"/>
        <w:gridCol w:w="439"/>
        <w:gridCol w:w="888"/>
        <w:gridCol w:w="2849"/>
        <w:gridCol w:w="1814"/>
        <w:gridCol w:w="16"/>
        <w:gridCol w:w="902"/>
        <w:gridCol w:w="874"/>
        <w:gridCol w:w="928"/>
      </w:tblGrid>
      <w:tr w14:paraId="724CC2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55" w:hRule="atLeast"/>
        </w:trPr>
        <w:tc>
          <w:tcPr>
            <w:tcW w:w="413" w:type="pct"/>
            <w:vMerge w:val="restart"/>
            <w:tcBorders>
              <w:top w:val="single" w:color="000000" w:sz="8" w:space="0"/>
              <w:left w:val="single" w:color="000000" w:sz="8" w:space="0"/>
              <w:right w:val="single" w:color="000000" w:sz="8" w:space="0"/>
            </w:tcBorders>
            <w:shd w:val="clear" w:color="auto" w:fill="auto"/>
            <w:noWrap/>
            <w:vAlign w:val="center"/>
          </w:tcPr>
          <w:p w14:paraId="0B205A7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序号</w:t>
            </w:r>
          </w:p>
        </w:tc>
        <w:tc>
          <w:tcPr>
            <w:tcW w:w="2305" w:type="pct"/>
            <w:gridSpan w:val="4"/>
            <w:tcBorders>
              <w:top w:val="single" w:color="000000" w:sz="8" w:space="0"/>
              <w:left w:val="nil"/>
              <w:bottom w:val="single" w:color="000000" w:sz="8" w:space="0"/>
              <w:right w:val="single" w:color="000000" w:sz="8" w:space="0"/>
            </w:tcBorders>
            <w:shd w:val="clear" w:color="auto" w:fill="auto"/>
            <w:vAlign w:val="center"/>
          </w:tcPr>
          <w:p w14:paraId="7A47F77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现场考核</w:t>
            </w:r>
          </w:p>
        </w:tc>
        <w:tc>
          <w:tcPr>
            <w:tcW w:w="913" w:type="pct"/>
            <w:vMerge w:val="restart"/>
            <w:tcBorders>
              <w:top w:val="single" w:color="000000" w:sz="8" w:space="0"/>
              <w:left w:val="nil"/>
              <w:bottom w:val="single" w:color="000000" w:sz="8" w:space="0"/>
              <w:right w:val="single" w:color="000000" w:sz="8" w:space="0"/>
            </w:tcBorders>
            <w:shd w:val="clear" w:color="auto" w:fill="auto"/>
            <w:vAlign w:val="center"/>
          </w:tcPr>
          <w:p w14:paraId="47C92AD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扣分办法</w:t>
            </w:r>
          </w:p>
        </w:tc>
        <w:tc>
          <w:tcPr>
            <w:tcW w:w="460" w:type="pct"/>
            <w:gridSpan w:val="2"/>
            <w:vMerge w:val="restart"/>
            <w:tcBorders>
              <w:top w:val="single" w:color="000000" w:sz="8" w:space="0"/>
              <w:left w:val="nil"/>
              <w:bottom w:val="single" w:color="000000" w:sz="8" w:space="0"/>
              <w:right w:val="single" w:color="000000" w:sz="8" w:space="0"/>
            </w:tcBorders>
            <w:shd w:val="clear" w:color="auto" w:fill="auto"/>
            <w:vAlign w:val="center"/>
          </w:tcPr>
          <w:p w14:paraId="3E4ECD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应得分</w:t>
            </w:r>
          </w:p>
        </w:tc>
        <w:tc>
          <w:tcPr>
            <w:tcW w:w="440" w:type="pct"/>
            <w:vMerge w:val="restart"/>
            <w:tcBorders>
              <w:top w:val="single" w:color="000000" w:sz="8" w:space="0"/>
              <w:left w:val="nil"/>
              <w:bottom w:val="single" w:color="000000" w:sz="8" w:space="0"/>
              <w:right w:val="single" w:color="000000" w:sz="8" w:space="0"/>
            </w:tcBorders>
            <w:shd w:val="clear" w:color="auto" w:fill="auto"/>
            <w:vAlign w:val="center"/>
          </w:tcPr>
          <w:p w14:paraId="6418BCD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检查扣分</w:t>
            </w:r>
          </w:p>
        </w:tc>
        <w:tc>
          <w:tcPr>
            <w:tcW w:w="466" w:type="pct"/>
            <w:vMerge w:val="restart"/>
            <w:tcBorders>
              <w:top w:val="single" w:color="000000" w:sz="8" w:space="0"/>
              <w:left w:val="nil"/>
              <w:bottom w:val="single" w:color="000000" w:sz="8" w:space="0"/>
              <w:right w:val="single" w:color="000000" w:sz="8" w:space="0"/>
            </w:tcBorders>
            <w:shd w:val="clear" w:color="auto" w:fill="auto"/>
            <w:vAlign w:val="center"/>
          </w:tcPr>
          <w:p w14:paraId="04137A2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实得分</w:t>
            </w:r>
          </w:p>
        </w:tc>
      </w:tr>
      <w:tr w14:paraId="0B84B86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40" w:hRule="atLeast"/>
        </w:trPr>
        <w:tc>
          <w:tcPr>
            <w:tcW w:w="413" w:type="pct"/>
            <w:vMerge w:val="continue"/>
            <w:tcBorders>
              <w:left w:val="single" w:color="000000" w:sz="8" w:space="0"/>
              <w:bottom w:val="single" w:color="000000" w:sz="8" w:space="0"/>
              <w:right w:val="single" w:color="000000" w:sz="8" w:space="0"/>
            </w:tcBorders>
            <w:shd w:val="clear" w:color="auto" w:fill="auto"/>
            <w:noWrap/>
            <w:vAlign w:val="center"/>
          </w:tcPr>
          <w:p w14:paraId="79FD8B0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p>
        </w:tc>
        <w:tc>
          <w:tcPr>
            <w:tcW w:w="424" w:type="pct"/>
            <w:gridSpan w:val="2"/>
            <w:tcBorders>
              <w:top w:val="nil"/>
              <w:left w:val="nil"/>
              <w:bottom w:val="single" w:color="000000" w:sz="8" w:space="0"/>
              <w:right w:val="single" w:color="000000" w:sz="8" w:space="0"/>
            </w:tcBorders>
            <w:shd w:val="clear" w:color="auto" w:fill="auto"/>
            <w:vAlign w:val="center"/>
          </w:tcPr>
          <w:p w14:paraId="6B750D3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满分值</w:t>
            </w:r>
          </w:p>
        </w:tc>
        <w:tc>
          <w:tcPr>
            <w:tcW w:w="446" w:type="pct"/>
            <w:tcBorders>
              <w:top w:val="nil"/>
              <w:left w:val="nil"/>
              <w:bottom w:val="single" w:color="000000" w:sz="8" w:space="0"/>
              <w:right w:val="single" w:color="000000" w:sz="8" w:space="0"/>
            </w:tcBorders>
            <w:shd w:val="clear" w:color="auto" w:fill="auto"/>
            <w:vAlign w:val="center"/>
          </w:tcPr>
          <w:p w14:paraId="601A5B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项目</w:t>
            </w:r>
          </w:p>
        </w:tc>
        <w:tc>
          <w:tcPr>
            <w:tcW w:w="1434" w:type="pct"/>
            <w:tcBorders>
              <w:top w:val="nil"/>
              <w:left w:val="nil"/>
              <w:bottom w:val="single" w:color="000000" w:sz="8" w:space="0"/>
              <w:right w:val="single" w:color="000000" w:sz="8" w:space="0"/>
            </w:tcBorders>
            <w:shd w:val="clear" w:color="auto" w:fill="auto"/>
            <w:vAlign w:val="center"/>
          </w:tcPr>
          <w:p w14:paraId="0020426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评价依据及检查方法</w:t>
            </w:r>
          </w:p>
        </w:tc>
        <w:tc>
          <w:tcPr>
            <w:tcW w:w="913" w:type="pct"/>
            <w:vMerge w:val="continue"/>
            <w:tcBorders>
              <w:top w:val="single" w:color="000000" w:sz="8" w:space="0"/>
              <w:left w:val="nil"/>
              <w:bottom w:val="single" w:color="000000" w:sz="8" w:space="0"/>
              <w:right w:val="single" w:color="000000" w:sz="8" w:space="0"/>
            </w:tcBorders>
            <w:shd w:val="clear" w:color="auto" w:fill="auto"/>
            <w:vAlign w:val="center"/>
          </w:tcPr>
          <w:p w14:paraId="7EBCA317">
            <w:pPr>
              <w:jc w:val="center"/>
              <w:rPr>
                <w:rFonts w:hint="eastAsia" w:ascii="宋体" w:hAnsi="宋体" w:eastAsia="宋体" w:cs="宋体"/>
                <w:i w:val="0"/>
                <w:iCs w:val="0"/>
                <w:color w:val="auto"/>
                <w:sz w:val="21"/>
                <w:szCs w:val="21"/>
                <w:highlight w:val="none"/>
                <w:u w:val="none"/>
              </w:rPr>
            </w:pPr>
          </w:p>
        </w:tc>
        <w:tc>
          <w:tcPr>
            <w:tcW w:w="460" w:type="pct"/>
            <w:gridSpan w:val="2"/>
            <w:vMerge w:val="continue"/>
            <w:tcBorders>
              <w:top w:val="single" w:color="000000" w:sz="8" w:space="0"/>
              <w:left w:val="nil"/>
              <w:bottom w:val="single" w:color="000000" w:sz="8" w:space="0"/>
              <w:right w:val="single" w:color="000000" w:sz="8" w:space="0"/>
            </w:tcBorders>
            <w:shd w:val="clear" w:color="auto" w:fill="auto"/>
            <w:vAlign w:val="center"/>
          </w:tcPr>
          <w:p w14:paraId="70986CF3">
            <w:pPr>
              <w:jc w:val="center"/>
              <w:rPr>
                <w:rFonts w:hint="eastAsia" w:ascii="宋体" w:hAnsi="宋体" w:eastAsia="宋体" w:cs="宋体"/>
                <w:i w:val="0"/>
                <w:iCs w:val="0"/>
                <w:color w:val="auto"/>
                <w:sz w:val="21"/>
                <w:szCs w:val="21"/>
                <w:highlight w:val="none"/>
                <w:u w:val="none"/>
              </w:rPr>
            </w:pPr>
          </w:p>
        </w:tc>
        <w:tc>
          <w:tcPr>
            <w:tcW w:w="440" w:type="pct"/>
            <w:vMerge w:val="continue"/>
            <w:tcBorders>
              <w:top w:val="single" w:color="000000" w:sz="8" w:space="0"/>
              <w:left w:val="nil"/>
              <w:bottom w:val="single" w:color="000000" w:sz="8" w:space="0"/>
              <w:right w:val="single" w:color="000000" w:sz="8" w:space="0"/>
            </w:tcBorders>
            <w:shd w:val="clear" w:color="auto" w:fill="auto"/>
            <w:vAlign w:val="center"/>
          </w:tcPr>
          <w:p w14:paraId="6C2FDF3B">
            <w:pPr>
              <w:jc w:val="center"/>
              <w:rPr>
                <w:rFonts w:hint="eastAsia" w:ascii="宋体" w:hAnsi="宋体" w:eastAsia="宋体" w:cs="宋体"/>
                <w:i w:val="0"/>
                <w:iCs w:val="0"/>
                <w:color w:val="auto"/>
                <w:sz w:val="21"/>
                <w:szCs w:val="21"/>
                <w:highlight w:val="none"/>
                <w:u w:val="none"/>
              </w:rPr>
            </w:pPr>
          </w:p>
        </w:tc>
        <w:tc>
          <w:tcPr>
            <w:tcW w:w="466" w:type="pct"/>
            <w:vMerge w:val="continue"/>
            <w:tcBorders>
              <w:top w:val="single" w:color="000000" w:sz="8" w:space="0"/>
              <w:left w:val="nil"/>
              <w:bottom w:val="single" w:color="000000" w:sz="8" w:space="0"/>
              <w:right w:val="single" w:color="000000" w:sz="8" w:space="0"/>
            </w:tcBorders>
            <w:shd w:val="clear" w:color="auto" w:fill="auto"/>
            <w:vAlign w:val="center"/>
          </w:tcPr>
          <w:p w14:paraId="2CDEB2A3">
            <w:pPr>
              <w:jc w:val="center"/>
              <w:rPr>
                <w:rFonts w:hint="eastAsia" w:ascii="宋体" w:hAnsi="宋体" w:eastAsia="宋体" w:cs="宋体"/>
                <w:i w:val="0"/>
                <w:iCs w:val="0"/>
                <w:color w:val="auto"/>
                <w:sz w:val="21"/>
                <w:szCs w:val="21"/>
                <w:highlight w:val="none"/>
                <w:u w:val="none"/>
              </w:rPr>
            </w:pPr>
          </w:p>
        </w:tc>
      </w:tr>
      <w:tr w14:paraId="7F2051F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6B9398A">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1</w:t>
            </w:r>
          </w:p>
        </w:tc>
        <w:tc>
          <w:tcPr>
            <w:tcW w:w="4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346354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9分</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31CC7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日常制度</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5D194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w:t>
            </w:r>
            <w:r>
              <w:rPr>
                <w:rFonts w:hint="default" w:ascii="宋体" w:hAnsi="宋体" w:eastAsia="宋体" w:cs="宋体"/>
                <w:i w:val="0"/>
                <w:iCs w:val="0"/>
                <w:color w:val="auto"/>
                <w:kern w:val="0"/>
                <w:sz w:val="21"/>
                <w:szCs w:val="21"/>
                <w:highlight w:val="none"/>
                <w:u w:val="none"/>
                <w:lang w:val="en-US" w:eastAsia="zh-CN" w:bidi="ar"/>
              </w:rPr>
              <w:t>甲方</w:t>
            </w:r>
            <w:r>
              <w:rPr>
                <w:rFonts w:hint="eastAsia" w:ascii="宋体" w:hAnsi="宋体" w:eastAsia="宋体" w:cs="宋体"/>
                <w:i w:val="0"/>
                <w:iCs w:val="0"/>
                <w:color w:val="auto"/>
                <w:kern w:val="0"/>
                <w:sz w:val="21"/>
                <w:szCs w:val="21"/>
                <w:highlight w:val="none"/>
                <w:u w:val="none"/>
                <w:lang w:val="en-US" w:eastAsia="zh-CN" w:bidi="ar"/>
              </w:rPr>
              <w:t>提出的绿化养护方面存在工作疏忽而没按要求及时整改反馈的。</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4E6AE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没及时整改处理的，每次扣2分，扣完为止。</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260E1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B1A4B2">
            <w:pPr>
              <w:jc w:val="center"/>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7EE8F5">
            <w:pPr>
              <w:jc w:val="center"/>
              <w:rPr>
                <w:rFonts w:hint="eastAsia" w:ascii="宋体" w:hAnsi="宋体" w:eastAsia="宋体" w:cs="宋体"/>
                <w:i w:val="0"/>
                <w:iCs w:val="0"/>
                <w:color w:val="auto"/>
                <w:sz w:val="21"/>
                <w:szCs w:val="21"/>
                <w:highlight w:val="none"/>
                <w:u w:val="none"/>
              </w:rPr>
            </w:pPr>
          </w:p>
        </w:tc>
      </w:tr>
      <w:tr w14:paraId="7D2F7E3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0F6BE82">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8410A20">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B1A9C8">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EC1C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穿统一工作服，不能出现穿拖鞋、高跟鞋、着装不整齐者等。</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78347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未按要求着装者，每人次扣1分，扣完为止。</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0500A0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E37E46">
            <w:pPr>
              <w:jc w:val="center"/>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3C2959">
            <w:pPr>
              <w:jc w:val="center"/>
              <w:rPr>
                <w:rFonts w:hint="eastAsia" w:ascii="宋体" w:hAnsi="宋体" w:eastAsia="宋体" w:cs="宋体"/>
                <w:i w:val="0"/>
                <w:iCs w:val="0"/>
                <w:color w:val="auto"/>
                <w:sz w:val="21"/>
                <w:szCs w:val="21"/>
                <w:highlight w:val="none"/>
                <w:u w:val="none"/>
              </w:rPr>
            </w:pPr>
          </w:p>
        </w:tc>
      </w:tr>
      <w:tr w14:paraId="57373FF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9BB924">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5CD3C0">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F1337C8">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0C372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现场负责人要向</w:t>
            </w:r>
            <w:r>
              <w:rPr>
                <w:rFonts w:hint="default" w:ascii="宋体" w:hAnsi="宋体" w:eastAsia="宋体" w:cs="宋体"/>
                <w:i w:val="0"/>
                <w:iCs w:val="0"/>
                <w:color w:val="auto"/>
                <w:kern w:val="0"/>
                <w:sz w:val="21"/>
                <w:szCs w:val="21"/>
                <w:highlight w:val="none"/>
                <w:u w:val="none"/>
                <w:lang w:val="en-US" w:eastAsia="zh-CN" w:bidi="ar"/>
              </w:rPr>
              <w:t>甲方</w:t>
            </w:r>
            <w:r>
              <w:rPr>
                <w:rFonts w:hint="eastAsia" w:ascii="宋体" w:hAnsi="宋体" w:eastAsia="宋体" w:cs="宋体"/>
                <w:i w:val="0"/>
                <w:iCs w:val="0"/>
                <w:color w:val="auto"/>
                <w:kern w:val="0"/>
                <w:sz w:val="21"/>
                <w:szCs w:val="21"/>
                <w:highlight w:val="none"/>
                <w:u w:val="none"/>
                <w:lang w:val="en-US" w:eastAsia="zh-CN" w:bidi="ar"/>
              </w:rPr>
              <w:t>对应管理部门书面请假批准后才能离岗。</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091C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擅自离岗者，每人次扣1分,扣完为止。</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C4F7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5369A">
            <w:pPr>
              <w:jc w:val="center"/>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723C6F">
            <w:pPr>
              <w:jc w:val="both"/>
              <w:rPr>
                <w:rFonts w:hint="eastAsia" w:ascii="宋体" w:hAnsi="宋体" w:eastAsia="宋体" w:cs="宋体"/>
                <w:i w:val="0"/>
                <w:iCs w:val="0"/>
                <w:color w:val="auto"/>
                <w:sz w:val="22"/>
                <w:szCs w:val="22"/>
                <w:highlight w:val="none"/>
                <w:u w:val="none"/>
              </w:rPr>
            </w:pPr>
          </w:p>
        </w:tc>
      </w:tr>
      <w:tr w14:paraId="1F389D5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28DCB5">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2</w:t>
            </w:r>
          </w:p>
        </w:tc>
        <w:tc>
          <w:tcPr>
            <w:tcW w:w="4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2EB62B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13分</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B2AA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绿地清洁卫生</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32D0A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天6：30、14：00时完成绿地清洁工作，做好保洁（日常保洁时段为6：30—18：30，重要情况保洁时间另行安排），抽查草地每100平方米、分车道绿化带每100米长度范围内有纸屑、胶袋、石块、杂物等（规格3cm×3cm），要求≤4单位。</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C57CB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超过每单位扣1分，扣完为止。</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73E887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1E9AAC">
            <w:pPr>
              <w:jc w:val="center"/>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056962">
            <w:pPr>
              <w:jc w:val="both"/>
              <w:rPr>
                <w:rFonts w:hint="eastAsia" w:ascii="宋体" w:hAnsi="宋体" w:eastAsia="宋体" w:cs="宋体"/>
                <w:i w:val="0"/>
                <w:iCs w:val="0"/>
                <w:color w:val="auto"/>
                <w:sz w:val="22"/>
                <w:szCs w:val="22"/>
                <w:highlight w:val="none"/>
                <w:u w:val="none"/>
              </w:rPr>
            </w:pPr>
          </w:p>
        </w:tc>
      </w:tr>
      <w:tr w14:paraId="13FD1B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4AA0E7C">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C90036A">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4294A0E">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0C8AD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未发现垃圾连片（面积≥6cm×6cm）的地方（特别是花生壳、瓜子壳、白色垃圾等）。</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AF7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发现一处扣1分，扣完为止。</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F5169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F748BB">
            <w:pPr>
              <w:jc w:val="center"/>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29F64B3">
            <w:pPr>
              <w:jc w:val="both"/>
              <w:rPr>
                <w:rFonts w:hint="eastAsia" w:ascii="宋体" w:hAnsi="宋体" w:eastAsia="宋体" w:cs="宋体"/>
                <w:i w:val="0"/>
                <w:iCs w:val="0"/>
                <w:color w:val="auto"/>
                <w:sz w:val="22"/>
                <w:szCs w:val="22"/>
                <w:highlight w:val="none"/>
                <w:u w:val="none"/>
              </w:rPr>
            </w:pPr>
          </w:p>
        </w:tc>
      </w:tr>
      <w:tr w14:paraId="694C89D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3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26B673">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0AB6BE">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FEE678">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78444D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在绿地区内未发现焚烧杂物；</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0F26C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绿地发生焚烧杂物的，每处扣0.5分；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5EBDD9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63E56">
            <w:pPr>
              <w:jc w:val="center"/>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BB47066">
            <w:pPr>
              <w:jc w:val="both"/>
              <w:rPr>
                <w:rFonts w:hint="eastAsia" w:ascii="宋体" w:hAnsi="宋体" w:eastAsia="宋体" w:cs="宋体"/>
                <w:i w:val="0"/>
                <w:iCs w:val="0"/>
                <w:color w:val="auto"/>
                <w:sz w:val="22"/>
                <w:szCs w:val="22"/>
                <w:highlight w:val="none"/>
                <w:u w:val="none"/>
              </w:rPr>
            </w:pPr>
          </w:p>
        </w:tc>
      </w:tr>
      <w:tr w14:paraId="35D4028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BA5DCF6">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094000">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84FB055">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EBDA3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绿化修剪后的枯枝干叶等，要在修剪当天及时清理运走；落叶要及时清扫保洁（绿地内水体水面上的枯枝烂叶、生活垃圾及其他漂浮物要及时清理）。</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DE90D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未能及时运走和清扫保洁的以10平方米为单位，每单位扣1分，扣完为止。</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29B0A1F">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253C74">
            <w:pPr>
              <w:jc w:val="center"/>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DD849CE">
            <w:pPr>
              <w:jc w:val="both"/>
              <w:rPr>
                <w:rFonts w:hint="eastAsia" w:ascii="宋体" w:hAnsi="宋体" w:eastAsia="宋体" w:cs="宋体"/>
                <w:i w:val="0"/>
                <w:iCs w:val="0"/>
                <w:color w:val="auto"/>
                <w:sz w:val="22"/>
                <w:szCs w:val="22"/>
                <w:highlight w:val="none"/>
                <w:u w:val="none"/>
              </w:rPr>
            </w:pPr>
          </w:p>
        </w:tc>
      </w:tr>
      <w:tr w14:paraId="6E3FB1C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4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AA50FD2">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3</w:t>
            </w:r>
          </w:p>
        </w:tc>
        <w:tc>
          <w:tcPr>
            <w:tcW w:w="4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CA5E7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16分</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D8223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乔木、花灌木、行道树及其它树木</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9ED7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乔木树冠基本完整，分枝基本不影响游览及观景，乔木树杆无铁钉、木板等附着物。</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F4B9F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分枝影响游览及观景、有铁钉、木板等附着物每处扣1分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41738C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BF781D">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00025">
            <w:pPr>
              <w:jc w:val="left"/>
              <w:rPr>
                <w:rFonts w:hint="eastAsia" w:ascii="宋体" w:hAnsi="宋体" w:eastAsia="宋体" w:cs="宋体"/>
                <w:i w:val="0"/>
                <w:iCs w:val="0"/>
                <w:color w:val="auto"/>
                <w:sz w:val="21"/>
                <w:szCs w:val="21"/>
                <w:highlight w:val="none"/>
                <w:u w:val="none"/>
              </w:rPr>
            </w:pPr>
          </w:p>
        </w:tc>
      </w:tr>
      <w:tr w14:paraId="26481D6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735A69">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BB1FE7">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86C9DBD">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A948E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花灌木生长发育基本正常，木本地被覆盖率达95%以上。</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0912B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花灌木、木本地被植物覆盖率低于 95%，以上情况出现每少1%扣1分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A2453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0" w:type="pct"/>
            <w:tcBorders>
              <w:top w:val="single" w:color="000000" w:sz="4" w:space="0"/>
              <w:left w:val="single" w:color="000000" w:sz="4" w:space="0"/>
              <w:right w:val="single" w:color="000000" w:sz="4" w:space="0"/>
            </w:tcBorders>
            <w:shd w:val="clear" w:color="auto" w:fill="auto"/>
            <w:vAlign w:val="center"/>
          </w:tcPr>
          <w:p w14:paraId="3D31878B">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80726E">
            <w:pPr>
              <w:jc w:val="left"/>
              <w:rPr>
                <w:rFonts w:hint="eastAsia" w:ascii="宋体" w:hAnsi="宋体" w:eastAsia="宋体" w:cs="宋体"/>
                <w:i w:val="0"/>
                <w:iCs w:val="0"/>
                <w:color w:val="auto"/>
                <w:sz w:val="21"/>
                <w:szCs w:val="21"/>
                <w:highlight w:val="none"/>
                <w:u w:val="none"/>
              </w:rPr>
            </w:pPr>
          </w:p>
        </w:tc>
      </w:tr>
      <w:tr w14:paraId="4680E07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5FD115">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E4BC114">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169EB3">
            <w:pPr>
              <w:jc w:val="center"/>
              <w:rPr>
                <w:rFonts w:hint="eastAsia" w:ascii="宋体" w:hAnsi="宋体" w:eastAsia="宋体" w:cs="宋体"/>
                <w:i w:val="0"/>
                <w:iCs w:val="0"/>
                <w:color w:val="auto"/>
                <w:sz w:val="21"/>
                <w:szCs w:val="21"/>
                <w:highlight w:val="none"/>
                <w:u w:val="none"/>
              </w:rPr>
            </w:pPr>
          </w:p>
        </w:tc>
        <w:tc>
          <w:tcPr>
            <w:tcW w:w="1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9EE22C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绿篱生长基本正常，无死株，无明显断垄，无高草杂草，无明显病虫害发生。</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B7A66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绿篱存在死株、明显断垄，每处扣1分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B8CBD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BC572C">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5BD5D25">
            <w:pPr>
              <w:jc w:val="left"/>
              <w:rPr>
                <w:rFonts w:hint="eastAsia" w:ascii="宋体" w:hAnsi="宋体" w:eastAsia="宋体" w:cs="宋体"/>
                <w:i w:val="0"/>
                <w:iCs w:val="0"/>
                <w:color w:val="auto"/>
                <w:sz w:val="21"/>
                <w:szCs w:val="21"/>
                <w:highlight w:val="none"/>
                <w:u w:val="none"/>
              </w:rPr>
            </w:pPr>
          </w:p>
        </w:tc>
      </w:tr>
      <w:tr w14:paraId="46AAFF9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2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D3341C">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1FCBD5F">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5D43BC">
            <w:pPr>
              <w:jc w:val="center"/>
              <w:rPr>
                <w:rFonts w:hint="eastAsia" w:ascii="宋体" w:hAnsi="宋体" w:eastAsia="宋体" w:cs="宋体"/>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07468AB">
            <w:pPr>
              <w:jc w:val="center"/>
              <w:rPr>
                <w:rFonts w:hint="eastAsia" w:ascii="宋体" w:hAnsi="宋体" w:eastAsia="宋体" w:cs="宋体"/>
                <w:i w:val="0"/>
                <w:iCs w:val="0"/>
                <w:color w:val="auto"/>
                <w:sz w:val="21"/>
                <w:szCs w:val="21"/>
                <w:highlight w:val="none"/>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FAA4E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发生病虫害，每处扣1分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8A7807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F6729A">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BCAD1A">
            <w:pPr>
              <w:jc w:val="left"/>
              <w:rPr>
                <w:rFonts w:hint="eastAsia" w:ascii="宋体" w:hAnsi="宋体" w:eastAsia="宋体" w:cs="宋体"/>
                <w:i w:val="0"/>
                <w:iCs w:val="0"/>
                <w:color w:val="auto"/>
                <w:sz w:val="21"/>
                <w:szCs w:val="21"/>
                <w:highlight w:val="none"/>
                <w:u w:val="none"/>
              </w:rPr>
            </w:pPr>
          </w:p>
        </w:tc>
      </w:tr>
      <w:tr w14:paraId="270E13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DC708C">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DF53E1">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B4DBF8F">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CA66B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藤本植物生长基本正常，牵引合理，覆盖率不低于80%</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C6E83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藤本植物覆盖率低于80%，以上情况出现每低10%扣1分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FDF9DA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74F39C">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51BE744">
            <w:pPr>
              <w:jc w:val="left"/>
              <w:rPr>
                <w:rFonts w:hint="eastAsia" w:ascii="宋体" w:hAnsi="宋体" w:eastAsia="宋体" w:cs="宋体"/>
                <w:i w:val="0"/>
                <w:iCs w:val="0"/>
                <w:color w:val="auto"/>
                <w:sz w:val="21"/>
                <w:szCs w:val="21"/>
                <w:highlight w:val="none"/>
                <w:u w:val="none"/>
              </w:rPr>
            </w:pPr>
          </w:p>
        </w:tc>
      </w:tr>
      <w:tr w14:paraId="211C27E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95"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9D2EA0">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BEA1DB">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7E45CDC">
            <w:pPr>
              <w:jc w:val="center"/>
              <w:rPr>
                <w:rFonts w:hint="eastAsia" w:ascii="宋体" w:hAnsi="宋体" w:eastAsia="宋体" w:cs="宋体"/>
                <w:i w:val="0"/>
                <w:iCs w:val="0"/>
                <w:color w:val="auto"/>
                <w:sz w:val="21"/>
                <w:szCs w:val="21"/>
                <w:highlight w:val="none"/>
                <w:u w:val="none"/>
              </w:rPr>
            </w:pPr>
          </w:p>
        </w:tc>
        <w:tc>
          <w:tcPr>
            <w:tcW w:w="1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873DD50">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补植、改植于7天内完成</w:t>
            </w:r>
          </w:p>
          <w:p w14:paraId="6B6A2B6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草坪补植或改植后一个月内覆盖率达到90%以上</w:t>
            </w:r>
          </w:p>
          <w:p w14:paraId="7B5BB82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其他植物补植或改植的成活率达到95%以上</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8F37B9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未能在7天内及时补植的，每处扣1分，对已要求补植但仍不按要求补植的，扣2分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DA2E2C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38E70A">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059A5C">
            <w:pPr>
              <w:jc w:val="left"/>
              <w:rPr>
                <w:rFonts w:hint="eastAsia" w:ascii="宋体" w:hAnsi="宋体" w:eastAsia="宋体" w:cs="宋体"/>
                <w:i w:val="0"/>
                <w:iCs w:val="0"/>
                <w:color w:val="auto"/>
                <w:sz w:val="21"/>
                <w:szCs w:val="21"/>
                <w:highlight w:val="none"/>
                <w:u w:val="none"/>
              </w:rPr>
            </w:pPr>
          </w:p>
        </w:tc>
      </w:tr>
      <w:tr w14:paraId="2821F53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8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32361">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991483C">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9E19F33">
            <w:pPr>
              <w:jc w:val="center"/>
              <w:rPr>
                <w:rFonts w:hint="eastAsia" w:ascii="宋体" w:hAnsi="宋体" w:eastAsia="宋体" w:cs="宋体"/>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0E45F9">
            <w:pPr>
              <w:jc w:val="left"/>
              <w:rPr>
                <w:rFonts w:hint="eastAsia" w:ascii="宋体" w:hAnsi="宋体" w:eastAsia="宋体" w:cs="宋体"/>
                <w:i w:val="0"/>
                <w:iCs w:val="0"/>
                <w:color w:val="auto"/>
                <w:sz w:val="21"/>
                <w:szCs w:val="21"/>
                <w:highlight w:val="none"/>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2EA19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草坪补植或改植后一个月内覆盖率达到 90%以上，每少1%扣1分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A0EABCA">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6516E">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3CA71B">
            <w:pPr>
              <w:jc w:val="left"/>
              <w:rPr>
                <w:rFonts w:hint="eastAsia" w:ascii="宋体" w:hAnsi="宋体" w:eastAsia="宋体" w:cs="宋体"/>
                <w:i w:val="0"/>
                <w:iCs w:val="0"/>
                <w:color w:val="auto"/>
                <w:sz w:val="21"/>
                <w:szCs w:val="21"/>
                <w:highlight w:val="none"/>
                <w:u w:val="none"/>
              </w:rPr>
            </w:pPr>
          </w:p>
        </w:tc>
      </w:tr>
      <w:tr w14:paraId="57719B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47C040">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A9C88E">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D0676A">
            <w:pPr>
              <w:jc w:val="center"/>
              <w:rPr>
                <w:rFonts w:hint="eastAsia" w:ascii="宋体" w:hAnsi="宋体" w:eastAsia="宋体" w:cs="宋体"/>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2C75C86">
            <w:pPr>
              <w:jc w:val="left"/>
              <w:rPr>
                <w:rFonts w:hint="eastAsia" w:ascii="宋体" w:hAnsi="宋体" w:eastAsia="宋体" w:cs="宋体"/>
                <w:i w:val="0"/>
                <w:iCs w:val="0"/>
                <w:color w:val="auto"/>
                <w:sz w:val="21"/>
                <w:szCs w:val="21"/>
                <w:highlight w:val="none"/>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BC949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其他植物补植或改植的成活率达到95%以 上，每少1%扣1分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C26DA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993322">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2391">
            <w:pPr>
              <w:jc w:val="left"/>
              <w:rPr>
                <w:rFonts w:hint="eastAsia" w:ascii="宋体" w:hAnsi="宋体" w:eastAsia="宋体" w:cs="宋体"/>
                <w:i w:val="0"/>
                <w:iCs w:val="0"/>
                <w:color w:val="auto"/>
                <w:sz w:val="21"/>
                <w:szCs w:val="21"/>
                <w:highlight w:val="none"/>
                <w:u w:val="none"/>
              </w:rPr>
            </w:pPr>
          </w:p>
        </w:tc>
      </w:tr>
      <w:tr w14:paraId="0F01EA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6743D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4</w:t>
            </w:r>
          </w:p>
        </w:tc>
        <w:tc>
          <w:tcPr>
            <w:tcW w:w="4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132AB2">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16分</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44A8C7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花卉、地被、草坪</w:t>
            </w:r>
          </w:p>
        </w:tc>
        <w:tc>
          <w:tcPr>
            <w:tcW w:w="1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F1942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花卉基本正常，株型基本完整，开花时覆盖率达到80%以上，杂草覆盖率小于5%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C50749">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花卉开花时覆盖率低于80%，以上情况出现每低1%扣1分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833DA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A426F">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833B6A">
            <w:pPr>
              <w:jc w:val="left"/>
              <w:rPr>
                <w:rFonts w:hint="eastAsia" w:ascii="宋体" w:hAnsi="宋体" w:eastAsia="宋体" w:cs="宋体"/>
                <w:i w:val="0"/>
                <w:iCs w:val="0"/>
                <w:color w:val="auto"/>
                <w:sz w:val="21"/>
                <w:szCs w:val="21"/>
                <w:highlight w:val="none"/>
                <w:u w:val="none"/>
              </w:rPr>
            </w:pPr>
          </w:p>
        </w:tc>
      </w:tr>
      <w:tr w14:paraId="05ABA50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227CC8">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192548">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B29DA02">
            <w:pPr>
              <w:jc w:val="center"/>
              <w:rPr>
                <w:rFonts w:hint="eastAsia" w:ascii="宋体" w:hAnsi="宋体" w:eastAsia="宋体" w:cs="宋体"/>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55CD7C0">
            <w:pPr>
              <w:jc w:val="center"/>
              <w:rPr>
                <w:rFonts w:hint="eastAsia" w:ascii="宋体" w:hAnsi="宋体" w:eastAsia="宋体" w:cs="宋体"/>
                <w:i w:val="0"/>
                <w:iCs w:val="0"/>
                <w:color w:val="auto"/>
                <w:sz w:val="21"/>
                <w:szCs w:val="21"/>
                <w:highlight w:val="none"/>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805C44">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花卉存在杂草应低于5%，每高出1%扣1分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5823B7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AAD2D7">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45614">
            <w:pPr>
              <w:jc w:val="left"/>
              <w:rPr>
                <w:rFonts w:hint="eastAsia" w:ascii="宋体" w:hAnsi="宋体" w:eastAsia="宋体" w:cs="宋体"/>
                <w:i w:val="0"/>
                <w:iCs w:val="0"/>
                <w:color w:val="auto"/>
                <w:sz w:val="21"/>
                <w:szCs w:val="21"/>
                <w:highlight w:val="none"/>
                <w:u w:val="none"/>
              </w:rPr>
            </w:pPr>
          </w:p>
        </w:tc>
      </w:tr>
      <w:tr w14:paraId="02477582">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39E7287">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F9266D">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D97C518">
            <w:pPr>
              <w:jc w:val="center"/>
              <w:rPr>
                <w:rFonts w:hint="eastAsia" w:ascii="宋体" w:hAnsi="宋体" w:eastAsia="宋体" w:cs="宋体"/>
                <w:i w:val="0"/>
                <w:iCs w:val="0"/>
                <w:color w:val="auto"/>
                <w:sz w:val="21"/>
                <w:szCs w:val="21"/>
                <w:highlight w:val="none"/>
                <w:u w:val="none"/>
              </w:rPr>
            </w:pPr>
          </w:p>
        </w:tc>
        <w:tc>
          <w:tcPr>
            <w:tcW w:w="1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6700EF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草坪及地被植物整齐，草坪的绿色期不少于230天覆盖率85%以上</w:t>
            </w:r>
          </w:p>
          <w:p w14:paraId="1966AD87">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杂草的覆盖率不超过5%</w:t>
            </w:r>
          </w:p>
          <w:p w14:paraId="28A2126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草坪表面积水能在雨后24小时排清</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EE81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草坪及地被植物参差不齐，草坪的绿色期少于230天，以上情况出现每少3天扣1分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5DB2F0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4AB66B">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AA4399">
            <w:pPr>
              <w:jc w:val="left"/>
              <w:rPr>
                <w:rFonts w:hint="eastAsia" w:ascii="宋体" w:hAnsi="宋体" w:eastAsia="宋体" w:cs="宋体"/>
                <w:i w:val="0"/>
                <w:iCs w:val="0"/>
                <w:color w:val="auto"/>
                <w:sz w:val="21"/>
                <w:szCs w:val="21"/>
                <w:highlight w:val="none"/>
                <w:u w:val="none"/>
              </w:rPr>
            </w:pPr>
          </w:p>
        </w:tc>
      </w:tr>
      <w:tr w14:paraId="4ADFE8A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55B234">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57880">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1DE09A9">
            <w:pPr>
              <w:jc w:val="center"/>
              <w:rPr>
                <w:rFonts w:hint="eastAsia" w:ascii="宋体" w:hAnsi="宋体" w:eastAsia="宋体" w:cs="宋体"/>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C7B9736">
            <w:pPr>
              <w:jc w:val="center"/>
              <w:rPr>
                <w:rFonts w:hint="eastAsia" w:ascii="宋体" w:hAnsi="宋体" w:eastAsia="宋体" w:cs="宋体"/>
                <w:i w:val="0"/>
                <w:iCs w:val="0"/>
                <w:color w:val="auto"/>
                <w:sz w:val="21"/>
                <w:szCs w:val="21"/>
                <w:highlight w:val="none"/>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35DD9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覆盖率低于85%，每低1%扣1分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D5B8F5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DFAAB">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B95D09">
            <w:pPr>
              <w:jc w:val="left"/>
              <w:rPr>
                <w:rFonts w:hint="eastAsia" w:ascii="宋体" w:hAnsi="宋体" w:eastAsia="宋体" w:cs="宋体"/>
                <w:i w:val="0"/>
                <w:iCs w:val="0"/>
                <w:color w:val="auto"/>
                <w:sz w:val="21"/>
                <w:szCs w:val="21"/>
                <w:highlight w:val="none"/>
                <w:u w:val="none"/>
              </w:rPr>
            </w:pPr>
          </w:p>
        </w:tc>
      </w:tr>
      <w:tr w14:paraId="16F6D4B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5B8F5">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311BCB">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0337A87">
            <w:pPr>
              <w:jc w:val="center"/>
              <w:rPr>
                <w:rFonts w:hint="eastAsia" w:ascii="宋体" w:hAnsi="宋体" w:eastAsia="宋体" w:cs="宋体"/>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FE3CFFF">
            <w:pPr>
              <w:jc w:val="center"/>
              <w:rPr>
                <w:rFonts w:hint="eastAsia" w:ascii="宋体" w:hAnsi="宋体" w:eastAsia="宋体" w:cs="宋体"/>
                <w:i w:val="0"/>
                <w:iCs w:val="0"/>
                <w:color w:val="auto"/>
                <w:sz w:val="21"/>
                <w:szCs w:val="21"/>
                <w:highlight w:val="none"/>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9465A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每平方米杂草超过20株，每超过1株扣0.5分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336821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8365B94">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B9DA3D">
            <w:pPr>
              <w:jc w:val="left"/>
              <w:rPr>
                <w:rFonts w:hint="eastAsia" w:ascii="宋体" w:hAnsi="宋体" w:eastAsia="宋体" w:cs="宋体"/>
                <w:i w:val="0"/>
                <w:iCs w:val="0"/>
                <w:color w:val="auto"/>
                <w:sz w:val="21"/>
                <w:szCs w:val="21"/>
                <w:highlight w:val="none"/>
                <w:u w:val="none"/>
              </w:rPr>
            </w:pPr>
          </w:p>
        </w:tc>
      </w:tr>
      <w:tr w14:paraId="4E934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158B22">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1CBE77">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55CB430">
            <w:pPr>
              <w:jc w:val="center"/>
              <w:rPr>
                <w:rFonts w:hint="eastAsia" w:ascii="宋体" w:hAnsi="宋体" w:eastAsia="宋体" w:cs="宋体"/>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C94B7D1">
            <w:pPr>
              <w:jc w:val="center"/>
              <w:rPr>
                <w:rFonts w:hint="eastAsia" w:ascii="宋体" w:hAnsi="宋体" w:eastAsia="宋体" w:cs="宋体"/>
                <w:i w:val="0"/>
                <w:iCs w:val="0"/>
                <w:color w:val="auto"/>
                <w:sz w:val="21"/>
                <w:szCs w:val="21"/>
                <w:highlight w:val="none"/>
                <w:u w:val="none"/>
              </w:rPr>
            </w:pPr>
          </w:p>
        </w:tc>
        <w:tc>
          <w:tcPr>
            <w:tcW w:w="9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ECAB7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存在积水，雨后24小时内无法排清，每处扣1分</w:t>
            </w:r>
          </w:p>
        </w:tc>
        <w:tc>
          <w:tcPr>
            <w:tcW w:w="4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3341E4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E5A73CC">
            <w:pPr>
              <w:jc w:val="center"/>
              <w:rPr>
                <w:rFonts w:hint="eastAsia" w:ascii="宋体" w:hAnsi="宋体" w:eastAsia="宋体" w:cs="宋体"/>
                <w:i w:val="0"/>
                <w:iCs w:val="0"/>
                <w:color w:val="auto"/>
                <w:sz w:val="21"/>
                <w:szCs w:val="21"/>
                <w:highlight w:val="none"/>
                <w:u w:val="none"/>
              </w:rPr>
            </w:pP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3E34E4">
            <w:pPr>
              <w:jc w:val="center"/>
              <w:rPr>
                <w:rFonts w:hint="eastAsia" w:ascii="宋体" w:hAnsi="宋体" w:eastAsia="宋体" w:cs="宋体"/>
                <w:i w:val="0"/>
                <w:iCs w:val="0"/>
                <w:color w:val="auto"/>
                <w:sz w:val="21"/>
                <w:szCs w:val="21"/>
                <w:highlight w:val="none"/>
                <w:u w:val="none"/>
              </w:rPr>
            </w:pPr>
          </w:p>
        </w:tc>
      </w:tr>
      <w:tr w14:paraId="256AA0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2"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BE3272E">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C198B39">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940331">
            <w:pPr>
              <w:jc w:val="center"/>
              <w:rPr>
                <w:rFonts w:hint="eastAsia" w:ascii="宋体" w:hAnsi="宋体" w:eastAsia="宋体" w:cs="宋体"/>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8460780">
            <w:pPr>
              <w:jc w:val="center"/>
              <w:rPr>
                <w:rFonts w:hint="eastAsia" w:ascii="宋体" w:hAnsi="宋体" w:eastAsia="宋体" w:cs="宋体"/>
                <w:i w:val="0"/>
                <w:iCs w:val="0"/>
                <w:color w:val="auto"/>
                <w:sz w:val="21"/>
                <w:szCs w:val="21"/>
                <w:highlight w:val="none"/>
                <w:u w:val="none"/>
              </w:rPr>
            </w:pPr>
          </w:p>
        </w:tc>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96213E">
            <w:pPr>
              <w:jc w:val="center"/>
              <w:rPr>
                <w:rFonts w:hint="eastAsia" w:ascii="宋体" w:hAnsi="宋体" w:eastAsia="宋体" w:cs="宋体"/>
                <w:i w:val="0"/>
                <w:iCs w:val="0"/>
                <w:color w:val="auto"/>
                <w:sz w:val="21"/>
                <w:szCs w:val="21"/>
                <w:highlight w:val="none"/>
                <w:u w:val="none"/>
              </w:rPr>
            </w:pPr>
          </w:p>
        </w:tc>
        <w:tc>
          <w:tcPr>
            <w:tcW w:w="4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21703CE">
            <w:pPr>
              <w:jc w:val="center"/>
              <w:rPr>
                <w:rFonts w:hint="eastAsia" w:ascii="宋体" w:hAnsi="宋体" w:eastAsia="宋体" w:cs="宋体"/>
                <w:i w:val="0"/>
                <w:iCs w:val="0"/>
                <w:color w:val="auto"/>
                <w:sz w:val="21"/>
                <w:szCs w:val="21"/>
                <w:highlight w:val="none"/>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AC00AE1">
            <w:pPr>
              <w:jc w:val="center"/>
              <w:rPr>
                <w:rFonts w:hint="eastAsia" w:ascii="宋体" w:hAnsi="宋体" w:eastAsia="宋体" w:cs="宋体"/>
                <w:i w:val="0"/>
                <w:iCs w:val="0"/>
                <w:color w:val="auto"/>
                <w:sz w:val="21"/>
                <w:szCs w:val="21"/>
                <w:highlight w:val="none"/>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5A97C8">
            <w:pPr>
              <w:jc w:val="center"/>
              <w:rPr>
                <w:rFonts w:hint="eastAsia" w:ascii="宋体" w:hAnsi="宋体" w:eastAsia="宋体" w:cs="宋体"/>
                <w:i w:val="0"/>
                <w:iCs w:val="0"/>
                <w:color w:val="auto"/>
                <w:sz w:val="21"/>
                <w:szCs w:val="21"/>
                <w:highlight w:val="none"/>
                <w:u w:val="none"/>
              </w:rPr>
            </w:pPr>
          </w:p>
        </w:tc>
      </w:tr>
      <w:tr w14:paraId="79943B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765"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E3BA390">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F7E5D7">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BA25098">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81055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花坛、花带及绿篱基本无残缺，杂草覆盖率小于5%</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C8CFD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花坛、花带、花台植物存在杂草应低于 5%，每高1%扣1分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72590D">
            <w:pPr>
              <w:keepNext w:val="0"/>
              <w:keepLines w:val="0"/>
              <w:widowControl/>
              <w:suppressLineNumbers w:val="0"/>
              <w:jc w:val="center"/>
              <w:textAlignment w:val="center"/>
              <w:rPr>
                <w:rFonts w:hint="default"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29B015">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1F912C9">
            <w:pPr>
              <w:jc w:val="left"/>
              <w:rPr>
                <w:rFonts w:hint="eastAsia" w:ascii="宋体" w:hAnsi="宋体" w:eastAsia="宋体" w:cs="宋体"/>
                <w:i w:val="0"/>
                <w:iCs w:val="0"/>
                <w:color w:val="auto"/>
                <w:sz w:val="21"/>
                <w:szCs w:val="21"/>
                <w:highlight w:val="none"/>
                <w:u w:val="none"/>
              </w:rPr>
            </w:pPr>
          </w:p>
        </w:tc>
      </w:tr>
      <w:tr w14:paraId="4F6288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0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CF4AE8">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5</w:t>
            </w:r>
          </w:p>
        </w:tc>
        <w:tc>
          <w:tcPr>
            <w:tcW w:w="4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8BC4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31分</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876AD1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修剪、淋水及施肥</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5C2CB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根据三级养护标准制定乔木、灌木、绿篱等苗木的修剪计划。自然形乔木每年不少于1次、造型乔木每年不少于2次、自然形灌木每年不少于1次、造型灌木每年不少于4次、绿篱、模纹花坛修剪：绿篱、模纹花坛修剪每年不少于4次。</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66C44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未制定计划，扣3分；修剪计划有变化，未提前调整计划，每次扣1分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B5D1C6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nil"/>
              <w:left w:val="nil"/>
              <w:bottom w:val="single" w:color="000000" w:sz="8" w:space="0"/>
              <w:right w:val="single" w:color="000000" w:sz="8" w:space="0"/>
            </w:tcBorders>
            <w:shd w:val="clear" w:color="auto" w:fill="auto"/>
            <w:noWrap/>
            <w:vAlign w:val="center"/>
          </w:tcPr>
          <w:p w14:paraId="38614EC2">
            <w:pPr>
              <w:rPr>
                <w:rFonts w:hint="eastAsia" w:ascii="宋体" w:hAnsi="宋体" w:eastAsia="宋体" w:cs="宋体"/>
                <w:i w:val="0"/>
                <w:iCs w:val="0"/>
                <w:color w:val="auto"/>
                <w:sz w:val="22"/>
                <w:szCs w:val="22"/>
                <w:highlight w:val="none"/>
                <w:u w:val="none"/>
              </w:rPr>
            </w:pPr>
          </w:p>
        </w:tc>
        <w:tc>
          <w:tcPr>
            <w:tcW w:w="466" w:type="pct"/>
            <w:tcBorders>
              <w:top w:val="nil"/>
              <w:left w:val="nil"/>
              <w:bottom w:val="single" w:color="000000" w:sz="8" w:space="0"/>
              <w:right w:val="single" w:color="000000" w:sz="8" w:space="0"/>
            </w:tcBorders>
            <w:shd w:val="clear" w:color="auto" w:fill="auto"/>
            <w:noWrap/>
            <w:vAlign w:val="center"/>
          </w:tcPr>
          <w:p w14:paraId="2474F305">
            <w:pPr>
              <w:rPr>
                <w:rFonts w:hint="eastAsia" w:ascii="宋体" w:hAnsi="宋体" w:eastAsia="宋体" w:cs="宋体"/>
                <w:i w:val="0"/>
                <w:iCs w:val="0"/>
                <w:color w:val="auto"/>
                <w:sz w:val="22"/>
                <w:szCs w:val="22"/>
                <w:highlight w:val="none"/>
                <w:u w:val="none"/>
              </w:rPr>
            </w:pPr>
          </w:p>
        </w:tc>
      </w:tr>
      <w:tr w14:paraId="0D900A4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16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8441A0">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C590D1">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416ED62">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9B17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按照修剪计划完成乔木、灌木、绿篱、模纹花坛的修剪工作</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6D702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未按计划完成修剪工作，且未提前调整修剪计划，造成延后的，每次扣2分，未进行修剪扣5分。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88E16F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40" w:type="pct"/>
            <w:tcBorders>
              <w:top w:val="nil"/>
              <w:left w:val="nil"/>
              <w:bottom w:val="single" w:color="000000" w:sz="8" w:space="0"/>
              <w:right w:val="single" w:color="000000" w:sz="8" w:space="0"/>
            </w:tcBorders>
            <w:shd w:val="clear" w:color="auto" w:fill="auto"/>
            <w:noWrap/>
            <w:vAlign w:val="center"/>
          </w:tcPr>
          <w:p w14:paraId="579549C4">
            <w:pPr>
              <w:rPr>
                <w:rFonts w:hint="eastAsia" w:ascii="宋体" w:hAnsi="宋体" w:eastAsia="宋体" w:cs="宋体"/>
                <w:i w:val="0"/>
                <w:iCs w:val="0"/>
                <w:color w:val="auto"/>
                <w:sz w:val="22"/>
                <w:szCs w:val="22"/>
                <w:highlight w:val="none"/>
                <w:u w:val="none"/>
              </w:rPr>
            </w:pPr>
          </w:p>
        </w:tc>
        <w:tc>
          <w:tcPr>
            <w:tcW w:w="466" w:type="pct"/>
            <w:tcBorders>
              <w:top w:val="nil"/>
              <w:left w:val="nil"/>
              <w:bottom w:val="single" w:color="000000" w:sz="8" w:space="0"/>
              <w:right w:val="single" w:color="000000" w:sz="8" w:space="0"/>
            </w:tcBorders>
            <w:shd w:val="clear" w:color="auto" w:fill="auto"/>
            <w:noWrap/>
            <w:vAlign w:val="center"/>
          </w:tcPr>
          <w:p w14:paraId="2B21CDB8">
            <w:pPr>
              <w:rPr>
                <w:rFonts w:hint="eastAsia" w:ascii="宋体" w:hAnsi="宋体" w:eastAsia="宋体" w:cs="宋体"/>
                <w:i w:val="0"/>
                <w:iCs w:val="0"/>
                <w:color w:val="auto"/>
                <w:sz w:val="22"/>
                <w:szCs w:val="22"/>
                <w:highlight w:val="none"/>
                <w:u w:val="none"/>
              </w:rPr>
            </w:pPr>
          </w:p>
        </w:tc>
      </w:tr>
      <w:tr w14:paraId="2DE459D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8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F2CABCB">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920228">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6FFB8EB">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D2A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草坪修剪留茬高度1.3—5.0cm</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7B88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修剪高度不在留茬高度范围内，每次扣1分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76CFAE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nil"/>
              <w:left w:val="nil"/>
              <w:bottom w:val="single" w:color="000000" w:sz="8" w:space="0"/>
              <w:right w:val="single" w:color="000000" w:sz="8" w:space="0"/>
            </w:tcBorders>
            <w:shd w:val="clear" w:color="auto" w:fill="auto"/>
            <w:noWrap/>
            <w:vAlign w:val="center"/>
          </w:tcPr>
          <w:p w14:paraId="0DE27E99">
            <w:pPr>
              <w:rPr>
                <w:rFonts w:hint="eastAsia" w:ascii="宋体" w:hAnsi="宋体" w:eastAsia="宋体" w:cs="宋体"/>
                <w:i w:val="0"/>
                <w:iCs w:val="0"/>
                <w:color w:val="auto"/>
                <w:sz w:val="22"/>
                <w:szCs w:val="22"/>
                <w:highlight w:val="none"/>
                <w:u w:val="none"/>
              </w:rPr>
            </w:pPr>
          </w:p>
        </w:tc>
        <w:tc>
          <w:tcPr>
            <w:tcW w:w="466" w:type="pct"/>
            <w:tcBorders>
              <w:top w:val="nil"/>
              <w:left w:val="nil"/>
              <w:bottom w:val="single" w:color="000000" w:sz="8" w:space="0"/>
              <w:right w:val="single" w:color="000000" w:sz="8" w:space="0"/>
            </w:tcBorders>
            <w:shd w:val="clear" w:color="auto" w:fill="auto"/>
            <w:noWrap/>
            <w:vAlign w:val="center"/>
          </w:tcPr>
          <w:p w14:paraId="7FFD2B2A">
            <w:pPr>
              <w:rPr>
                <w:rFonts w:hint="eastAsia" w:ascii="宋体" w:hAnsi="宋体" w:eastAsia="宋体" w:cs="宋体"/>
                <w:i w:val="0"/>
                <w:iCs w:val="0"/>
                <w:color w:val="auto"/>
                <w:sz w:val="22"/>
                <w:szCs w:val="22"/>
                <w:highlight w:val="none"/>
                <w:u w:val="none"/>
              </w:rPr>
            </w:pPr>
          </w:p>
        </w:tc>
      </w:tr>
      <w:tr w14:paraId="78EB8B1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57A14E">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37C106">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72A142">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155C4A">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地表无自然沉降、隆起等现象，绿地内应保持清洁，做到无垃圾杂物，无石砾砖块，无成片干枯枝叶，无粪便污物，无悬挂物，无蚊蝇滋生</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2F135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绿地内存在垃圾杂物、 自然沉降、隆起、石砾砖块，成片干枯枝叶，粪便污物，悬挂物，每处扣1分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837A707">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nil"/>
              <w:left w:val="nil"/>
              <w:bottom w:val="single" w:color="000000" w:sz="8" w:space="0"/>
              <w:right w:val="single" w:color="000000" w:sz="8" w:space="0"/>
            </w:tcBorders>
            <w:shd w:val="clear" w:color="auto" w:fill="auto"/>
            <w:noWrap/>
            <w:vAlign w:val="center"/>
          </w:tcPr>
          <w:p w14:paraId="609672A1">
            <w:pPr>
              <w:rPr>
                <w:rFonts w:hint="eastAsia" w:ascii="宋体" w:hAnsi="宋体" w:eastAsia="宋体" w:cs="宋体"/>
                <w:i w:val="0"/>
                <w:iCs w:val="0"/>
                <w:color w:val="auto"/>
                <w:sz w:val="22"/>
                <w:szCs w:val="22"/>
                <w:highlight w:val="none"/>
                <w:u w:val="none"/>
              </w:rPr>
            </w:pPr>
          </w:p>
        </w:tc>
        <w:tc>
          <w:tcPr>
            <w:tcW w:w="466" w:type="pct"/>
            <w:tcBorders>
              <w:top w:val="nil"/>
              <w:left w:val="nil"/>
              <w:bottom w:val="single" w:color="000000" w:sz="8" w:space="0"/>
              <w:right w:val="single" w:color="000000" w:sz="8" w:space="0"/>
            </w:tcBorders>
            <w:shd w:val="clear" w:color="auto" w:fill="auto"/>
            <w:noWrap/>
            <w:vAlign w:val="center"/>
          </w:tcPr>
          <w:p w14:paraId="5B0E4A12">
            <w:pPr>
              <w:rPr>
                <w:rFonts w:hint="eastAsia" w:ascii="宋体" w:hAnsi="宋体" w:eastAsia="宋体" w:cs="宋体"/>
                <w:i w:val="0"/>
                <w:iCs w:val="0"/>
                <w:color w:val="auto"/>
                <w:sz w:val="22"/>
                <w:szCs w:val="22"/>
                <w:highlight w:val="none"/>
                <w:u w:val="none"/>
              </w:rPr>
            </w:pPr>
          </w:p>
        </w:tc>
      </w:tr>
      <w:tr w14:paraId="1D5249A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1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F77B21">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514189">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4272CE">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C37C0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根据三级养护标准制定乔灌木、观花灌木、草本花卉、绿篱、草地、地被的施肥计划。</w:t>
            </w:r>
          </w:p>
          <w:p w14:paraId="3697810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乔灌木施肥每年不少于1次，2—3月和9—10月重点进行施肥，复合肥和基肥结合；</w:t>
            </w:r>
          </w:p>
          <w:p w14:paraId="4A03B96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观花灌木每年不少于2次；</w:t>
            </w:r>
          </w:p>
          <w:p w14:paraId="0E7F1C0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草本花卉每年不少于2次，成片花卉每月撒施复合肥1次，每年根据其长势和覆盖率情况适当施基肥 1—2次；</w:t>
            </w:r>
          </w:p>
          <w:p w14:paraId="2DC54C46">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绿篱每年撒施复合肥不少于2次，每年根据其长势和 覆盖率情况适当施基肥1—2次；</w:t>
            </w:r>
          </w:p>
          <w:p w14:paraId="4F4E35D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草地、地被每年不少于1次。</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D6913C">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未制定计划，扣3分；施肥计划有变化，未提前调整计划，每次扣1分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EA432C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nil"/>
              <w:left w:val="nil"/>
              <w:bottom w:val="single" w:color="000000" w:sz="8" w:space="0"/>
              <w:right w:val="single" w:color="000000" w:sz="8" w:space="0"/>
            </w:tcBorders>
            <w:shd w:val="clear" w:color="auto" w:fill="auto"/>
            <w:noWrap/>
            <w:vAlign w:val="center"/>
          </w:tcPr>
          <w:p w14:paraId="40084F45">
            <w:pPr>
              <w:rPr>
                <w:rFonts w:hint="eastAsia" w:ascii="宋体" w:hAnsi="宋体" w:eastAsia="宋体" w:cs="宋体"/>
                <w:i w:val="0"/>
                <w:iCs w:val="0"/>
                <w:color w:val="auto"/>
                <w:sz w:val="22"/>
                <w:szCs w:val="22"/>
                <w:highlight w:val="none"/>
                <w:u w:val="none"/>
              </w:rPr>
            </w:pPr>
          </w:p>
        </w:tc>
        <w:tc>
          <w:tcPr>
            <w:tcW w:w="466" w:type="pct"/>
            <w:tcBorders>
              <w:top w:val="nil"/>
              <w:left w:val="nil"/>
              <w:bottom w:val="single" w:color="000000" w:sz="8" w:space="0"/>
              <w:right w:val="single" w:color="000000" w:sz="8" w:space="0"/>
            </w:tcBorders>
            <w:shd w:val="clear" w:color="auto" w:fill="auto"/>
            <w:noWrap/>
            <w:vAlign w:val="center"/>
          </w:tcPr>
          <w:p w14:paraId="245E8310">
            <w:pPr>
              <w:rPr>
                <w:rFonts w:hint="eastAsia" w:ascii="宋体" w:hAnsi="宋体" w:eastAsia="宋体" w:cs="宋体"/>
                <w:i w:val="0"/>
                <w:iCs w:val="0"/>
                <w:color w:val="auto"/>
                <w:sz w:val="22"/>
                <w:szCs w:val="22"/>
                <w:highlight w:val="none"/>
                <w:u w:val="none"/>
              </w:rPr>
            </w:pPr>
          </w:p>
        </w:tc>
      </w:tr>
      <w:tr w14:paraId="39C577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325"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61780A">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8B963AB">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7AD2411">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F571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按照施肥计划完成乔灌木、观花灌木、草本花卉、绿篱、草地、地被的施肥工作。</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12101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未按计划完成施肥工作，且未提前调整施肥计划，造成生长衰退的，每次扣2分；</w:t>
            </w:r>
          </w:p>
          <w:p w14:paraId="712D5FB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如施肥次数未达到要求的，每少1次扣2分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977A31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5</w:t>
            </w:r>
          </w:p>
        </w:tc>
        <w:tc>
          <w:tcPr>
            <w:tcW w:w="440" w:type="pct"/>
            <w:tcBorders>
              <w:top w:val="nil"/>
              <w:left w:val="nil"/>
              <w:bottom w:val="single" w:color="000000" w:sz="8" w:space="0"/>
              <w:right w:val="single" w:color="000000" w:sz="8" w:space="0"/>
            </w:tcBorders>
            <w:shd w:val="clear" w:color="auto" w:fill="auto"/>
            <w:noWrap/>
            <w:vAlign w:val="center"/>
          </w:tcPr>
          <w:p w14:paraId="17FECE62">
            <w:pPr>
              <w:rPr>
                <w:rFonts w:hint="eastAsia" w:ascii="宋体" w:hAnsi="宋体" w:eastAsia="宋体" w:cs="宋体"/>
                <w:i w:val="0"/>
                <w:iCs w:val="0"/>
                <w:color w:val="auto"/>
                <w:sz w:val="22"/>
                <w:szCs w:val="22"/>
                <w:highlight w:val="none"/>
                <w:u w:val="none"/>
              </w:rPr>
            </w:pPr>
          </w:p>
        </w:tc>
        <w:tc>
          <w:tcPr>
            <w:tcW w:w="466" w:type="pct"/>
            <w:tcBorders>
              <w:top w:val="nil"/>
              <w:left w:val="nil"/>
              <w:bottom w:val="single" w:color="000000" w:sz="8" w:space="0"/>
              <w:right w:val="single" w:color="000000" w:sz="8" w:space="0"/>
            </w:tcBorders>
            <w:shd w:val="clear" w:color="auto" w:fill="auto"/>
            <w:noWrap/>
            <w:vAlign w:val="center"/>
          </w:tcPr>
          <w:p w14:paraId="7AE19280">
            <w:pPr>
              <w:rPr>
                <w:rFonts w:hint="eastAsia" w:ascii="宋体" w:hAnsi="宋体" w:eastAsia="宋体" w:cs="宋体"/>
                <w:i w:val="0"/>
                <w:iCs w:val="0"/>
                <w:color w:val="auto"/>
                <w:sz w:val="22"/>
                <w:szCs w:val="22"/>
                <w:highlight w:val="none"/>
                <w:u w:val="none"/>
              </w:rPr>
            </w:pPr>
          </w:p>
        </w:tc>
      </w:tr>
      <w:tr w14:paraId="43E85EC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040D8E">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D6B61C">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7047ECF">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7358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及时淋水，旱季一般乔木5-6天淋水1次</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51FAEF">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旱季乔木淋水次数低于规定次数，每次扣1分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77D6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nil"/>
              <w:left w:val="nil"/>
              <w:bottom w:val="single" w:color="000000" w:sz="8" w:space="0"/>
              <w:right w:val="single" w:color="000000" w:sz="8" w:space="0"/>
            </w:tcBorders>
            <w:shd w:val="clear" w:color="auto" w:fill="auto"/>
            <w:noWrap/>
            <w:vAlign w:val="center"/>
          </w:tcPr>
          <w:p w14:paraId="1BA3C710">
            <w:pPr>
              <w:rPr>
                <w:rFonts w:hint="eastAsia" w:ascii="宋体" w:hAnsi="宋体" w:eastAsia="宋体" w:cs="宋体"/>
                <w:i w:val="0"/>
                <w:iCs w:val="0"/>
                <w:color w:val="auto"/>
                <w:sz w:val="22"/>
                <w:szCs w:val="22"/>
                <w:highlight w:val="none"/>
                <w:u w:val="none"/>
              </w:rPr>
            </w:pPr>
          </w:p>
        </w:tc>
        <w:tc>
          <w:tcPr>
            <w:tcW w:w="466" w:type="pct"/>
            <w:tcBorders>
              <w:top w:val="nil"/>
              <w:left w:val="nil"/>
              <w:bottom w:val="single" w:color="000000" w:sz="8" w:space="0"/>
              <w:right w:val="single" w:color="000000" w:sz="8" w:space="0"/>
            </w:tcBorders>
            <w:shd w:val="clear" w:color="auto" w:fill="auto"/>
            <w:noWrap/>
            <w:vAlign w:val="center"/>
          </w:tcPr>
          <w:p w14:paraId="0E64BC79">
            <w:pPr>
              <w:rPr>
                <w:rFonts w:hint="eastAsia" w:ascii="宋体" w:hAnsi="宋体" w:eastAsia="宋体" w:cs="宋体"/>
                <w:i w:val="0"/>
                <w:iCs w:val="0"/>
                <w:color w:val="auto"/>
                <w:sz w:val="22"/>
                <w:szCs w:val="22"/>
                <w:highlight w:val="none"/>
                <w:u w:val="none"/>
              </w:rPr>
            </w:pPr>
          </w:p>
        </w:tc>
      </w:tr>
      <w:tr w14:paraId="1195D9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24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310961">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ADD2401">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8834029">
            <w:pPr>
              <w:jc w:val="center"/>
              <w:rPr>
                <w:rFonts w:hint="eastAsia" w:ascii="宋体" w:hAnsi="宋体" w:eastAsia="宋体" w:cs="宋体"/>
                <w:i w:val="0"/>
                <w:iCs w:val="0"/>
                <w:color w:val="auto"/>
                <w:sz w:val="21"/>
                <w:szCs w:val="21"/>
                <w:highlight w:val="none"/>
                <w:u w:val="none"/>
              </w:rPr>
            </w:pPr>
          </w:p>
        </w:tc>
        <w:tc>
          <w:tcPr>
            <w:tcW w:w="1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A26CC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单丛灌木、成片花卉、绿篱一般3-4天淋水1次；</w:t>
            </w:r>
          </w:p>
          <w:p w14:paraId="7C5BB1A8">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草地、地被一般每天淋水1次</w:t>
            </w:r>
          </w:p>
          <w:p w14:paraId="199C2AC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雨季根据天气情况适当调节</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864DA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单丛灌木、成片花卉、绿篱淋水次数低于规定次数，每次扣1分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903D815">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nil"/>
              <w:left w:val="nil"/>
              <w:bottom w:val="single" w:color="000000" w:sz="8" w:space="0"/>
              <w:right w:val="single" w:color="000000" w:sz="8" w:space="0"/>
            </w:tcBorders>
            <w:shd w:val="clear" w:color="auto" w:fill="auto"/>
            <w:noWrap/>
            <w:vAlign w:val="center"/>
          </w:tcPr>
          <w:p w14:paraId="1DB4F8F7">
            <w:pPr>
              <w:rPr>
                <w:rFonts w:hint="eastAsia" w:ascii="宋体" w:hAnsi="宋体" w:eastAsia="宋体" w:cs="宋体"/>
                <w:i w:val="0"/>
                <w:iCs w:val="0"/>
                <w:color w:val="auto"/>
                <w:sz w:val="22"/>
                <w:szCs w:val="22"/>
                <w:highlight w:val="none"/>
                <w:u w:val="none"/>
              </w:rPr>
            </w:pPr>
          </w:p>
        </w:tc>
        <w:tc>
          <w:tcPr>
            <w:tcW w:w="466" w:type="pct"/>
            <w:tcBorders>
              <w:top w:val="nil"/>
              <w:left w:val="nil"/>
              <w:bottom w:val="single" w:color="000000" w:sz="8" w:space="0"/>
              <w:right w:val="single" w:color="000000" w:sz="8" w:space="0"/>
            </w:tcBorders>
            <w:shd w:val="clear" w:color="auto" w:fill="auto"/>
            <w:noWrap/>
            <w:vAlign w:val="center"/>
          </w:tcPr>
          <w:p w14:paraId="3115D36B">
            <w:pPr>
              <w:rPr>
                <w:rFonts w:hint="eastAsia" w:ascii="宋体" w:hAnsi="宋体" w:eastAsia="宋体" w:cs="宋体"/>
                <w:i w:val="0"/>
                <w:iCs w:val="0"/>
                <w:color w:val="auto"/>
                <w:sz w:val="22"/>
                <w:szCs w:val="22"/>
                <w:highlight w:val="none"/>
                <w:u w:val="none"/>
              </w:rPr>
            </w:pPr>
          </w:p>
        </w:tc>
      </w:tr>
      <w:tr w14:paraId="4D8D805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BBAE6C">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84751">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5500041">
            <w:pPr>
              <w:jc w:val="center"/>
              <w:rPr>
                <w:rFonts w:hint="eastAsia" w:ascii="宋体" w:hAnsi="宋体" w:eastAsia="宋体" w:cs="宋体"/>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9D21F22">
            <w:pPr>
              <w:jc w:val="center"/>
              <w:rPr>
                <w:rFonts w:hint="eastAsia" w:ascii="宋体" w:hAnsi="宋体" w:eastAsia="宋体" w:cs="宋体"/>
                <w:i w:val="0"/>
                <w:iCs w:val="0"/>
                <w:color w:val="auto"/>
                <w:sz w:val="21"/>
                <w:szCs w:val="21"/>
                <w:highlight w:val="none"/>
                <w:u w:val="none"/>
              </w:rPr>
            </w:pP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650F22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草地、地被淋水次数低于规定次数，每次扣1分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E3A17D6">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nil"/>
              <w:left w:val="nil"/>
              <w:bottom w:val="single" w:color="000000" w:sz="8" w:space="0"/>
              <w:right w:val="single" w:color="000000" w:sz="8" w:space="0"/>
            </w:tcBorders>
            <w:shd w:val="clear" w:color="auto" w:fill="auto"/>
            <w:noWrap/>
            <w:vAlign w:val="center"/>
          </w:tcPr>
          <w:p w14:paraId="1AB7E369">
            <w:pPr>
              <w:rPr>
                <w:rFonts w:hint="eastAsia" w:ascii="宋体" w:hAnsi="宋体" w:eastAsia="宋体" w:cs="宋体"/>
                <w:i w:val="0"/>
                <w:iCs w:val="0"/>
                <w:color w:val="auto"/>
                <w:sz w:val="22"/>
                <w:szCs w:val="22"/>
                <w:highlight w:val="none"/>
                <w:u w:val="none"/>
              </w:rPr>
            </w:pPr>
          </w:p>
        </w:tc>
        <w:tc>
          <w:tcPr>
            <w:tcW w:w="466" w:type="pct"/>
            <w:tcBorders>
              <w:top w:val="nil"/>
              <w:left w:val="nil"/>
              <w:bottom w:val="single" w:color="000000" w:sz="8" w:space="0"/>
              <w:right w:val="single" w:color="000000" w:sz="8" w:space="0"/>
            </w:tcBorders>
            <w:shd w:val="clear" w:color="auto" w:fill="auto"/>
            <w:noWrap/>
            <w:vAlign w:val="center"/>
          </w:tcPr>
          <w:p w14:paraId="5EA9E463">
            <w:pPr>
              <w:rPr>
                <w:rFonts w:hint="eastAsia" w:ascii="宋体" w:hAnsi="宋体" w:eastAsia="宋体" w:cs="宋体"/>
                <w:i w:val="0"/>
                <w:iCs w:val="0"/>
                <w:color w:val="auto"/>
                <w:sz w:val="22"/>
                <w:szCs w:val="22"/>
                <w:highlight w:val="none"/>
                <w:u w:val="none"/>
              </w:rPr>
            </w:pPr>
          </w:p>
        </w:tc>
      </w:tr>
      <w:tr w14:paraId="721E20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0" w:hRule="atLeast"/>
        </w:trPr>
        <w:tc>
          <w:tcPr>
            <w:tcW w:w="413"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CF1240">
            <w:pPr>
              <w:keepNext w:val="0"/>
              <w:keepLines w:val="0"/>
              <w:widowControl/>
              <w:suppressLineNumbers w:val="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6</w:t>
            </w:r>
          </w:p>
        </w:tc>
        <w:tc>
          <w:tcPr>
            <w:tcW w:w="424" w:type="pct"/>
            <w:gridSpan w:val="2"/>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5DDC11">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10分</w:t>
            </w:r>
          </w:p>
        </w:tc>
        <w:tc>
          <w:tcPr>
            <w:tcW w:w="446"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962657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病虫害防治及用药安全</w:t>
            </w:r>
          </w:p>
        </w:tc>
        <w:tc>
          <w:tcPr>
            <w:tcW w:w="1434"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0CAD234">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病虫害得到控制，被害植株不超过7%被害叶片不超过植株叶片总量的5%。</w:t>
            </w:r>
          </w:p>
          <w:p w14:paraId="639509A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注意防治红火蚁</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C2F4B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被害植株超过7%，每多1%扣1分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A2BE61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9DDDFB">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79401C7">
            <w:pPr>
              <w:jc w:val="left"/>
              <w:rPr>
                <w:rFonts w:hint="eastAsia" w:ascii="宋体" w:hAnsi="宋体" w:eastAsia="宋体" w:cs="宋体"/>
                <w:i w:val="0"/>
                <w:iCs w:val="0"/>
                <w:color w:val="auto"/>
                <w:sz w:val="21"/>
                <w:szCs w:val="21"/>
                <w:highlight w:val="none"/>
                <w:u w:val="none"/>
              </w:rPr>
            </w:pPr>
          </w:p>
        </w:tc>
      </w:tr>
      <w:tr w14:paraId="611C569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12"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87ED29">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52E4B7">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0799077">
            <w:pPr>
              <w:jc w:val="center"/>
              <w:rPr>
                <w:rFonts w:hint="eastAsia" w:ascii="宋体" w:hAnsi="宋体" w:eastAsia="宋体" w:cs="宋体"/>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04BE8FD">
            <w:pPr>
              <w:jc w:val="left"/>
              <w:rPr>
                <w:rFonts w:hint="eastAsia" w:ascii="宋体" w:hAnsi="宋体" w:eastAsia="宋体" w:cs="宋体"/>
                <w:i w:val="0"/>
                <w:iCs w:val="0"/>
                <w:color w:val="auto"/>
                <w:sz w:val="21"/>
                <w:szCs w:val="21"/>
                <w:highlight w:val="none"/>
                <w:u w:val="none"/>
              </w:rPr>
            </w:pPr>
          </w:p>
        </w:tc>
        <w:tc>
          <w:tcPr>
            <w:tcW w:w="913"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4305026">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被害叶片超过叶片总量的5%，每多1%扣1分，未防治红火蚁，每次扣1分</w:t>
            </w:r>
          </w:p>
        </w:tc>
        <w:tc>
          <w:tcPr>
            <w:tcW w:w="460" w:type="pct"/>
            <w:gridSpan w:val="2"/>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45F7530E">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w:t>
            </w:r>
          </w:p>
        </w:tc>
        <w:tc>
          <w:tcPr>
            <w:tcW w:w="440"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77FC6E">
            <w:pPr>
              <w:jc w:val="center"/>
              <w:rPr>
                <w:rFonts w:hint="eastAsia" w:ascii="宋体" w:hAnsi="宋体" w:eastAsia="宋体" w:cs="宋体"/>
                <w:i w:val="0"/>
                <w:iCs w:val="0"/>
                <w:color w:val="auto"/>
                <w:sz w:val="21"/>
                <w:szCs w:val="21"/>
                <w:highlight w:val="none"/>
                <w:u w:val="none"/>
              </w:rPr>
            </w:pPr>
          </w:p>
        </w:tc>
        <w:tc>
          <w:tcPr>
            <w:tcW w:w="46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DFC590">
            <w:pPr>
              <w:jc w:val="center"/>
              <w:rPr>
                <w:rFonts w:hint="eastAsia" w:ascii="宋体" w:hAnsi="宋体" w:eastAsia="宋体" w:cs="宋体"/>
                <w:i w:val="0"/>
                <w:iCs w:val="0"/>
                <w:color w:val="auto"/>
                <w:sz w:val="21"/>
                <w:szCs w:val="21"/>
                <w:highlight w:val="none"/>
                <w:u w:val="none"/>
              </w:rPr>
            </w:pPr>
          </w:p>
        </w:tc>
      </w:tr>
      <w:tr w14:paraId="68C370C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24"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D787126">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B01B70">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B1B182B">
            <w:pPr>
              <w:jc w:val="center"/>
              <w:rPr>
                <w:rFonts w:hint="eastAsia" w:ascii="宋体" w:hAnsi="宋体" w:eastAsia="宋体" w:cs="宋体"/>
                <w:i w:val="0"/>
                <w:iCs w:val="0"/>
                <w:color w:val="auto"/>
                <w:sz w:val="21"/>
                <w:szCs w:val="21"/>
                <w:highlight w:val="none"/>
                <w:u w:val="none"/>
              </w:rPr>
            </w:pPr>
          </w:p>
        </w:tc>
        <w:tc>
          <w:tcPr>
            <w:tcW w:w="1434"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427575E">
            <w:pPr>
              <w:jc w:val="left"/>
              <w:rPr>
                <w:rFonts w:hint="eastAsia" w:ascii="宋体" w:hAnsi="宋体" w:eastAsia="宋体" w:cs="宋体"/>
                <w:i w:val="0"/>
                <w:iCs w:val="0"/>
                <w:color w:val="auto"/>
                <w:sz w:val="21"/>
                <w:szCs w:val="21"/>
                <w:highlight w:val="none"/>
                <w:u w:val="none"/>
              </w:rPr>
            </w:pPr>
          </w:p>
        </w:tc>
        <w:tc>
          <w:tcPr>
            <w:tcW w:w="913"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7D852">
            <w:pPr>
              <w:jc w:val="center"/>
              <w:rPr>
                <w:rFonts w:hint="eastAsia" w:ascii="宋体" w:hAnsi="宋体" w:eastAsia="宋体" w:cs="宋体"/>
                <w:i w:val="0"/>
                <w:iCs w:val="0"/>
                <w:color w:val="auto"/>
                <w:sz w:val="21"/>
                <w:szCs w:val="21"/>
                <w:highlight w:val="none"/>
                <w:u w:val="none"/>
              </w:rPr>
            </w:pPr>
          </w:p>
        </w:tc>
        <w:tc>
          <w:tcPr>
            <w:tcW w:w="460"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016BC96">
            <w:pPr>
              <w:jc w:val="center"/>
              <w:rPr>
                <w:rFonts w:hint="eastAsia" w:ascii="宋体" w:hAnsi="宋体" w:eastAsia="宋体" w:cs="宋体"/>
                <w:i w:val="0"/>
                <w:iCs w:val="0"/>
                <w:color w:val="auto"/>
                <w:sz w:val="21"/>
                <w:szCs w:val="21"/>
                <w:highlight w:val="none"/>
                <w:u w:val="none"/>
              </w:rPr>
            </w:pPr>
          </w:p>
        </w:tc>
        <w:tc>
          <w:tcPr>
            <w:tcW w:w="440"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B99D0F1">
            <w:pPr>
              <w:jc w:val="center"/>
              <w:rPr>
                <w:rFonts w:hint="eastAsia" w:ascii="宋体" w:hAnsi="宋体" w:eastAsia="宋体" w:cs="宋体"/>
                <w:i w:val="0"/>
                <w:iCs w:val="0"/>
                <w:color w:val="auto"/>
                <w:sz w:val="21"/>
                <w:szCs w:val="21"/>
                <w:highlight w:val="none"/>
                <w:u w:val="none"/>
              </w:rPr>
            </w:pPr>
          </w:p>
        </w:tc>
        <w:tc>
          <w:tcPr>
            <w:tcW w:w="46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FAEFBA">
            <w:pPr>
              <w:jc w:val="center"/>
              <w:rPr>
                <w:rFonts w:hint="eastAsia" w:ascii="宋体" w:hAnsi="宋体" w:eastAsia="宋体" w:cs="宋体"/>
                <w:i w:val="0"/>
                <w:iCs w:val="0"/>
                <w:color w:val="auto"/>
                <w:sz w:val="21"/>
                <w:szCs w:val="21"/>
                <w:highlight w:val="none"/>
                <w:u w:val="none"/>
              </w:rPr>
            </w:pPr>
          </w:p>
        </w:tc>
      </w:tr>
      <w:tr w14:paraId="1603877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13"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F757B6A">
            <w:pPr>
              <w:jc w:val="center"/>
              <w:rPr>
                <w:rFonts w:hint="eastAsia" w:ascii="宋体" w:hAnsi="宋体" w:eastAsia="宋体" w:cs="宋体"/>
                <w:i w:val="0"/>
                <w:iCs w:val="0"/>
                <w:color w:val="auto"/>
                <w:sz w:val="20"/>
                <w:szCs w:val="20"/>
                <w:highlight w:val="none"/>
                <w:u w:val="none"/>
              </w:rPr>
            </w:pPr>
          </w:p>
        </w:tc>
        <w:tc>
          <w:tcPr>
            <w:tcW w:w="424" w:type="pct"/>
            <w:gridSpan w:val="2"/>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3E7472">
            <w:pPr>
              <w:jc w:val="center"/>
              <w:rPr>
                <w:rFonts w:hint="eastAsia" w:ascii="宋体" w:hAnsi="宋体" w:eastAsia="宋体" w:cs="宋体"/>
                <w:i w:val="0"/>
                <w:iCs w:val="0"/>
                <w:color w:val="auto"/>
                <w:sz w:val="21"/>
                <w:szCs w:val="21"/>
                <w:highlight w:val="none"/>
                <w:u w:val="none"/>
              </w:rPr>
            </w:pPr>
          </w:p>
        </w:tc>
        <w:tc>
          <w:tcPr>
            <w:tcW w:w="446"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17FEEC">
            <w:pPr>
              <w:jc w:val="center"/>
              <w:rPr>
                <w:rFonts w:hint="eastAsia" w:ascii="宋体" w:hAnsi="宋体" w:eastAsia="宋体" w:cs="宋体"/>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EB3F1C">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用药符合规定，选用高效、低毒、无污染，配比正确，</w:t>
            </w:r>
          </w:p>
          <w:p w14:paraId="6FD9AAB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操作安全，不发生药害事故</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4E946E">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发生药害事故，危害树木明显影响景观的，</w:t>
            </w:r>
          </w:p>
          <w:p w14:paraId="12F6670B">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每处扣 2 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4394A44">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4</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623443">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47C95AD">
            <w:pPr>
              <w:jc w:val="left"/>
              <w:rPr>
                <w:rFonts w:hint="eastAsia" w:ascii="宋体" w:hAnsi="宋体" w:eastAsia="宋体" w:cs="宋体"/>
                <w:i w:val="0"/>
                <w:iCs w:val="0"/>
                <w:color w:val="auto"/>
                <w:sz w:val="21"/>
                <w:szCs w:val="21"/>
                <w:highlight w:val="none"/>
                <w:u w:val="none"/>
              </w:rPr>
            </w:pPr>
          </w:p>
        </w:tc>
      </w:tr>
      <w:tr w14:paraId="0AA253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D3F4E1">
            <w:pPr>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7</w:t>
            </w:r>
          </w:p>
        </w:tc>
        <w:tc>
          <w:tcPr>
            <w:tcW w:w="424"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CB9BAE">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5分</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6021D5">
            <w:pPr>
              <w:jc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sz w:val="21"/>
                <w:szCs w:val="21"/>
                <w:highlight w:val="none"/>
                <w:u w:val="none"/>
                <w:lang w:val="en-US" w:eastAsia="zh-CN"/>
              </w:rPr>
              <w:t>其他要求</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4B199A">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Cs w:val="21"/>
                <w:highlight w:val="none"/>
                <w:u w:val="none"/>
                <w:lang w:val="en-US" w:eastAsia="zh-CN" w:bidi="ar"/>
              </w:rPr>
              <w:t>服从甲方突击性任务、迎检活动安排、紧急服务等工作要求。</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F304F">
            <w:pPr>
              <w:keepNext w:val="0"/>
              <w:keepLines w:val="0"/>
              <w:widowControl/>
              <w:suppressLineNumbers w:val="0"/>
              <w:jc w:val="left"/>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color w:val="auto"/>
                <w:kern w:val="0"/>
                <w:szCs w:val="21"/>
                <w:highlight w:val="none"/>
                <w:lang w:val="en-US" w:eastAsia="zh-CN" w:bidi="ar"/>
              </w:rPr>
              <w:t>无正当理由拒不服从的，每次扣5分。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983C5E3">
            <w:pPr>
              <w:keepNext w:val="0"/>
              <w:keepLines w:val="0"/>
              <w:widowControl/>
              <w:suppressLineNumbers w:val="0"/>
              <w:jc w:val="center"/>
              <w:textAlignment w:val="center"/>
              <w:rPr>
                <w:rFonts w:hint="eastAsia" w:ascii="宋体" w:hAnsi="宋体" w:eastAsia="宋体" w:cs="宋体"/>
                <w:i w:val="0"/>
                <w:iCs w:val="0"/>
                <w:color w:val="auto"/>
                <w:kern w:val="2"/>
                <w:sz w:val="21"/>
                <w:szCs w:val="21"/>
                <w:highlight w:val="none"/>
                <w:u w:val="none"/>
                <w:lang w:val="en-US" w:eastAsia="zh-CN" w:bidi="ar-SA"/>
              </w:rPr>
            </w:pPr>
            <w:r>
              <w:rPr>
                <w:rFonts w:hint="eastAsia" w:ascii="宋体" w:hAnsi="宋体" w:eastAsia="宋体" w:cs="宋体"/>
                <w:i w:val="0"/>
                <w:iCs w:val="0"/>
                <w:color w:val="auto"/>
                <w:kern w:val="0"/>
                <w:sz w:val="21"/>
                <w:szCs w:val="21"/>
                <w:highlight w:val="none"/>
                <w:u w:val="none"/>
                <w:lang w:val="en-US" w:eastAsia="zh-CN" w:bidi="ar"/>
              </w:rPr>
              <w:t>5</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05EB1C">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1E1F97B">
            <w:pPr>
              <w:jc w:val="left"/>
              <w:rPr>
                <w:rFonts w:hint="eastAsia" w:ascii="宋体" w:hAnsi="宋体" w:eastAsia="宋体" w:cs="宋体"/>
                <w:i w:val="0"/>
                <w:iCs w:val="0"/>
                <w:color w:val="auto"/>
                <w:sz w:val="21"/>
                <w:szCs w:val="21"/>
                <w:highlight w:val="none"/>
                <w:u w:val="none"/>
              </w:rPr>
            </w:pPr>
          </w:p>
        </w:tc>
      </w:tr>
      <w:tr w14:paraId="068F7CE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07289B7">
            <w:pPr>
              <w:jc w:val="center"/>
              <w:rPr>
                <w:rFonts w:hint="eastAsia" w:ascii="宋体" w:hAnsi="宋体" w:eastAsia="宋体" w:cs="宋体"/>
                <w:i w:val="0"/>
                <w:iCs w:val="0"/>
                <w:color w:val="auto"/>
                <w:kern w:val="2"/>
                <w:sz w:val="20"/>
                <w:szCs w:val="20"/>
                <w:highlight w:val="none"/>
                <w:u w:val="none"/>
                <w:lang w:val="en-US" w:eastAsia="zh-CN" w:bidi="ar-SA"/>
              </w:rPr>
            </w:pPr>
            <w:r>
              <w:rPr>
                <w:rFonts w:hint="eastAsia" w:ascii="宋体" w:hAnsi="宋体" w:eastAsia="宋体" w:cs="宋体"/>
                <w:i w:val="0"/>
                <w:iCs w:val="0"/>
                <w:color w:val="auto"/>
                <w:sz w:val="20"/>
                <w:szCs w:val="20"/>
                <w:highlight w:val="none"/>
                <w:u w:val="none"/>
                <w:lang w:val="en-US" w:eastAsia="zh-CN"/>
              </w:rPr>
              <w:t>8</w:t>
            </w:r>
          </w:p>
        </w:tc>
        <w:tc>
          <w:tcPr>
            <w:tcW w:w="87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D4DB42">
            <w:pPr>
              <w:keepNext w:val="0"/>
              <w:keepLines w:val="0"/>
              <w:widowControl/>
              <w:suppressLineNumbers w:val="0"/>
              <w:jc w:val="center"/>
              <w:textAlignment w:val="auto"/>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sz w:val="21"/>
                <w:szCs w:val="21"/>
                <w:highlight w:val="none"/>
                <w:u w:val="none"/>
                <w:lang w:val="en-US" w:eastAsia="zh-CN"/>
              </w:rPr>
              <w:t>扣分项</w:t>
            </w: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643DE2">
            <w:pPr>
              <w:keepNext w:val="0"/>
              <w:keepLines w:val="0"/>
              <w:widowControl/>
              <w:suppressLineNumbers w:val="0"/>
              <w:tabs>
                <w:tab w:val="center" w:pos="1317"/>
              </w:tabs>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color w:val="auto"/>
                <w:kern w:val="0"/>
                <w:szCs w:val="21"/>
                <w:highlight w:val="none"/>
                <w:lang w:val="en-US" w:eastAsia="zh-CN" w:bidi="ar"/>
              </w:rPr>
              <w:t>未在合同约定期限内更换或补充甲方所需人员的。</w:t>
            </w:r>
          </w:p>
        </w:tc>
        <w:tc>
          <w:tcPr>
            <w:tcW w:w="9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5D368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default" w:ascii="宋体" w:hAnsi="宋体" w:eastAsia="宋体" w:cs="宋体"/>
                <w:color w:val="auto"/>
                <w:kern w:val="0"/>
                <w:szCs w:val="21"/>
                <w:highlight w:val="none"/>
                <w:lang w:val="en-US" w:eastAsia="zh-CN" w:bidi="ar"/>
              </w:rPr>
              <w:t>每</w:t>
            </w:r>
            <w:r>
              <w:rPr>
                <w:rFonts w:hint="eastAsia" w:ascii="宋体" w:hAnsi="宋体" w:eastAsia="宋体" w:cs="宋体"/>
                <w:color w:val="auto"/>
                <w:kern w:val="0"/>
                <w:szCs w:val="21"/>
                <w:highlight w:val="none"/>
                <w:lang w:val="en-US" w:eastAsia="zh-CN" w:bidi="ar"/>
              </w:rPr>
              <w:t>违反一</w:t>
            </w:r>
            <w:r>
              <w:rPr>
                <w:rFonts w:hint="default" w:ascii="宋体" w:hAnsi="宋体" w:eastAsia="宋体" w:cs="宋体"/>
                <w:color w:val="auto"/>
                <w:kern w:val="0"/>
                <w:szCs w:val="21"/>
                <w:highlight w:val="none"/>
                <w:lang w:val="en-US" w:eastAsia="zh-CN" w:bidi="ar"/>
              </w:rPr>
              <w:t>次扣</w:t>
            </w:r>
            <w:r>
              <w:rPr>
                <w:rFonts w:hint="eastAsia" w:ascii="宋体" w:hAnsi="宋体" w:eastAsia="宋体" w:cs="宋体"/>
                <w:color w:val="auto"/>
                <w:kern w:val="0"/>
                <w:szCs w:val="21"/>
                <w:highlight w:val="none"/>
                <w:lang w:val="en-US" w:eastAsia="zh-CN" w:bidi="ar"/>
              </w:rPr>
              <w:t>10</w:t>
            </w:r>
            <w:r>
              <w:rPr>
                <w:rFonts w:hint="default" w:ascii="宋体" w:hAnsi="宋体" w:eastAsia="宋体" w:cs="宋体"/>
                <w:color w:val="auto"/>
                <w:kern w:val="0"/>
                <w:szCs w:val="21"/>
                <w:highlight w:val="none"/>
                <w:lang w:val="en-US" w:eastAsia="zh-CN" w:bidi="ar"/>
              </w:rPr>
              <w:t>分。</w:t>
            </w:r>
          </w:p>
        </w:tc>
        <w:tc>
          <w:tcPr>
            <w:tcW w:w="460"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56DD2BB2">
            <w:pPr>
              <w:keepNext w:val="0"/>
              <w:keepLines w:val="0"/>
              <w:widowControl/>
              <w:suppressLineNumbers w:val="0"/>
              <w:jc w:val="center"/>
              <w:textAlignment w:val="center"/>
              <w:rPr>
                <w:rFonts w:hint="default"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0</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9AB393">
            <w:pPr>
              <w:jc w:val="left"/>
              <w:rPr>
                <w:rFonts w:hint="eastAsia" w:ascii="宋体" w:hAnsi="宋体" w:eastAsia="宋体" w:cs="宋体"/>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0B06B92">
            <w:pPr>
              <w:jc w:val="left"/>
              <w:rPr>
                <w:rFonts w:hint="eastAsia" w:ascii="宋体" w:hAnsi="宋体" w:eastAsia="宋体" w:cs="宋体"/>
                <w:i w:val="0"/>
                <w:iCs w:val="0"/>
                <w:color w:val="auto"/>
                <w:sz w:val="21"/>
                <w:szCs w:val="21"/>
                <w:highlight w:val="none"/>
                <w:u w:val="none"/>
              </w:rPr>
            </w:pPr>
          </w:p>
        </w:tc>
      </w:tr>
      <w:tr w14:paraId="185829A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0" w:hRule="atLeast"/>
        </w:trPr>
        <w:tc>
          <w:tcPr>
            <w:tcW w:w="41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635DE4">
            <w:pPr>
              <w:keepNext w:val="0"/>
              <w:keepLines w:val="0"/>
              <w:widowControl/>
              <w:suppressLineNumbers w:val="0"/>
              <w:jc w:val="left"/>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3680" w:type="pct"/>
            <w:gridSpan w:val="7"/>
            <w:tcBorders>
              <w:top w:val="single" w:color="000000" w:sz="4" w:space="0"/>
              <w:left w:val="single" w:color="000000" w:sz="4" w:space="0"/>
              <w:bottom w:val="single" w:color="000000" w:sz="4" w:space="0"/>
              <w:right w:val="single" w:color="000000" w:sz="4" w:space="0"/>
            </w:tcBorders>
            <w:shd w:val="clear" w:color="auto" w:fill="auto"/>
            <w:vAlign w:val="center"/>
          </w:tcPr>
          <w:p w14:paraId="0197BDE1">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100分</w:t>
            </w:r>
          </w:p>
        </w:tc>
        <w:tc>
          <w:tcPr>
            <w:tcW w:w="44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3FD8CA">
            <w:pPr>
              <w:rPr>
                <w:rFonts w:hint="eastAsia" w:ascii="宋体" w:hAnsi="宋体" w:eastAsia="宋体" w:cs="宋体"/>
                <w:b/>
                <w:bCs/>
                <w:i w:val="0"/>
                <w:iCs w:val="0"/>
                <w:color w:val="auto"/>
                <w:sz w:val="21"/>
                <w:szCs w:val="21"/>
                <w:highlight w:val="none"/>
                <w:u w:val="none"/>
              </w:rPr>
            </w:pPr>
          </w:p>
        </w:tc>
        <w:tc>
          <w:tcPr>
            <w:tcW w:w="46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FF128B">
            <w:pPr>
              <w:rPr>
                <w:rFonts w:hint="eastAsia" w:ascii="宋体" w:hAnsi="宋体" w:eastAsia="宋体" w:cs="宋体"/>
                <w:b/>
                <w:bCs/>
                <w:i w:val="0"/>
                <w:iCs w:val="0"/>
                <w:color w:val="auto"/>
                <w:sz w:val="21"/>
                <w:szCs w:val="21"/>
                <w:highlight w:val="none"/>
                <w:u w:val="none"/>
              </w:rPr>
            </w:pPr>
          </w:p>
        </w:tc>
      </w:tr>
      <w:tr w14:paraId="3DBAC2B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55" w:hRule="atLeast"/>
        </w:trPr>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44F29724">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考核结果</w:t>
            </w:r>
          </w:p>
        </w:tc>
        <w:tc>
          <w:tcPr>
            <w:tcW w:w="667"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60063DD4">
            <w:pPr>
              <w:jc w:val="center"/>
              <w:rPr>
                <w:rFonts w:hint="eastAsia" w:ascii="宋体" w:hAnsi="宋体" w:eastAsia="宋体" w:cs="宋体"/>
                <w:b/>
                <w:bCs/>
                <w:i w:val="0"/>
                <w:iCs w:val="0"/>
                <w:color w:val="auto"/>
                <w:sz w:val="21"/>
                <w:szCs w:val="21"/>
                <w:highlight w:val="none"/>
                <w:u w:val="none"/>
              </w:rPr>
            </w:pPr>
          </w:p>
        </w:tc>
        <w:tc>
          <w:tcPr>
            <w:tcW w:w="1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536BE">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合格</w:t>
            </w:r>
          </w:p>
        </w:tc>
        <w:tc>
          <w:tcPr>
            <w:tcW w:w="921"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28F15">
            <w:pPr>
              <w:jc w:val="center"/>
              <w:rPr>
                <w:rFonts w:hint="eastAsia" w:ascii="宋体" w:hAnsi="宋体" w:eastAsia="宋体" w:cs="宋体"/>
                <w:i w:val="0"/>
                <w:iCs w:val="0"/>
                <w:color w:val="auto"/>
                <w:sz w:val="22"/>
                <w:szCs w:val="22"/>
                <w:highlight w:val="none"/>
                <w:u w:val="none"/>
              </w:rPr>
            </w:pPr>
          </w:p>
        </w:tc>
        <w:tc>
          <w:tcPr>
            <w:tcW w:w="45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DF6062C">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不合格</w:t>
            </w:r>
          </w:p>
        </w:tc>
        <w:tc>
          <w:tcPr>
            <w:tcW w:w="90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710E49C">
            <w:pPr>
              <w:jc w:val="center"/>
              <w:rPr>
                <w:rFonts w:hint="eastAsia" w:ascii="宋体" w:hAnsi="宋体" w:eastAsia="宋体" w:cs="宋体"/>
                <w:b/>
                <w:bCs/>
                <w:i w:val="0"/>
                <w:iCs w:val="0"/>
                <w:color w:val="auto"/>
                <w:sz w:val="21"/>
                <w:szCs w:val="21"/>
                <w:highlight w:val="none"/>
                <w:u w:val="none"/>
              </w:rPr>
            </w:pPr>
          </w:p>
        </w:tc>
      </w:tr>
      <w:tr w14:paraId="7BB984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90" w:hRule="atLeast"/>
        </w:trPr>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04C092F3">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意见及建议</w:t>
            </w:r>
          </w:p>
        </w:tc>
        <w:tc>
          <w:tcPr>
            <w:tcW w:w="4383" w:type="pct"/>
            <w:gridSpan w:val="8"/>
            <w:tcBorders>
              <w:top w:val="single" w:color="000000" w:sz="4" w:space="0"/>
              <w:left w:val="single" w:color="000000" w:sz="4" w:space="0"/>
              <w:bottom w:val="single" w:color="000000" w:sz="4" w:space="0"/>
              <w:right w:val="single" w:color="000000" w:sz="4" w:space="0"/>
            </w:tcBorders>
            <w:shd w:val="clear" w:color="auto" w:fill="auto"/>
            <w:vAlign w:val="center"/>
          </w:tcPr>
          <w:p w14:paraId="188FA3C4">
            <w:pPr>
              <w:jc w:val="center"/>
              <w:rPr>
                <w:rFonts w:hint="eastAsia" w:ascii="宋体" w:hAnsi="宋体" w:eastAsia="宋体" w:cs="宋体"/>
                <w:b/>
                <w:bCs/>
                <w:i w:val="0"/>
                <w:iCs w:val="0"/>
                <w:color w:val="auto"/>
                <w:sz w:val="21"/>
                <w:szCs w:val="21"/>
                <w:highlight w:val="none"/>
                <w:u w:val="none"/>
              </w:rPr>
            </w:pPr>
          </w:p>
        </w:tc>
      </w:tr>
      <w:tr w14:paraId="427295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500" w:hRule="atLeast"/>
        </w:trPr>
        <w:tc>
          <w:tcPr>
            <w:tcW w:w="616"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7CC61D">
            <w:pPr>
              <w:keepNext w:val="0"/>
              <w:keepLines w:val="0"/>
              <w:widowControl/>
              <w:suppressLineNumbers w:val="0"/>
              <w:jc w:val="center"/>
              <w:textAlignment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说明</w:t>
            </w:r>
          </w:p>
        </w:tc>
        <w:tc>
          <w:tcPr>
            <w:tcW w:w="2101"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90E11">
            <w:pPr>
              <w:jc w:val="center"/>
              <w:rPr>
                <w:rFonts w:hint="eastAsia" w:ascii="宋体" w:hAnsi="宋体" w:eastAsia="宋体" w:cs="宋体"/>
                <w:b/>
                <w:bCs/>
                <w:i w:val="0"/>
                <w:iCs w:val="0"/>
                <w:color w:val="auto"/>
                <w:sz w:val="21"/>
                <w:szCs w:val="21"/>
                <w:highlight w:val="none"/>
                <w:u w:val="none"/>
              </w:rPr>
            </w:pPr>
          </w:p>
        </w:tc>
        <w:tc>
          <w:tcPr>
            <w:tcW w:w="2281" w:type="pct"/>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7B65A40D">
            <w:pPr>
              <w:jc w:val="center"/>
              <w:rPr>
                <w:rFonts w:hint="eastAsia" w:ascii="宋体" w:hAnsi="宋体" w:eastAsia="宋体" w:cs="宋体"/>
                <w:b/>
                <w:bCs/>
                <w:i w:val="0"/>
                <w:iCs w:val="0"/>
                <w:color w:val="auto"/>
                <w:sz w:val="21"/>
                <w:szCs w:val="21"/>
                <w:highlight w:val="none"/>
                <w:u w:val="none"/>
              </w:rPr>
            </w:pPr>
            <w:r>
              <w:rPr>
                <w:rFonts w:hint="eastAsia" w:ascii="宋体" w:hAnsi="宋体" w:eastAsia="宋体" w:cs="宋体"/>
                <w:b/>
                <w:bCs/>
                <w:i w:val="0"/>
                <w:iCs w:val="0"/>
                <w:color w:val="auto"/>
                <w:kern w:val="0"/>
                <w:sz w:val="21"/>
                <w:szCs w:val="21"/>
                <w:highlight w:val="none"/>
                <w:u w:val="none"/>
                <w:lang w:val="en-US" w:eastAsia="zh-CN" w:bidi="ar"/>
              </w:rPr>
              <w:t>如评委在检查时指出绿化不当的地方，而服务单位人员态度懒散，置之不理。评委有权追扣分数（5-10分）</w:t>
            </w:r>
          </w:p>
        </w:tc>
      </w:tr>
    </w:tbl>
    <w:p w14:paraId="22245728">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hint="eastAsia" w:ascii="宋体" w:hAnsi="宋体" w:eastAsia="宋体" w:cs="宋体"/>
          <w:kern w:val="0"/>
          <w:sz w:val="21"/>
          <w:szCs w:val="21"/>
          <w:highlight w:val="none"/>
          <w:lang w:bidi="ar"/>
        </w:rPr>
      </w:pPr>
    </w:p>
    <w:p w14:paraId="58F7B40D">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lang w:bidi="ar"/>
        </w:rPr>
        <w:t>考核单位：                     考核人：                        考核时间：</w:t>
      </w:r>
    </w:p>
    <w:p w14:paraId="3CAB1A78">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lang w:bidi="ar"/>
        </w:rPr>
        <w:t xml:space="preserve"> </w:t>
      </w:r>
    </w:p>
    <w:p w14:paraId="63197CFA">
      <w:pPr>
        <w:keepNext w:val="0"/>
        <w:keepLines w:val="0"/>
        <w:pageBreakBefore w:val="0"/>
        <w:widowControl w:val="0"/>
        <w:kinsoku/>
        <w:wordWrap/>
        <w:overflowPunct/>
        <w:topLinePunct w:val="0"/>
        <w:autoSpaceDE w:val="0"/>
        <w:autoSpaceDN w:val="0"/>
        <w:bidi w:val="0"/>
        <w:adjustRightInd w:val="0"/>
        <w:snapToGrid w:val="0"/>
        <w:spacing w:line="360" w:lineRule="auto"/>
        <w:jc w:val="left"/>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lang w:bidi="ar"/>
        </w:rPr>
        <w:t>注：1、本考核评比实行百分制,与实际服务费挂钩。</w:t>
      </w:r>
    </w:p>
    <w:p w14:paraId="23031988">
      <w:pPr>
        <w:keepNext w:val="0"/>
        <w:keepLines w:val="0"/>
        <w:pageBreakBefore w:val="0"/>
        <w:widowControl w:val="0"/>
        <w:kinsoku/>
        <w:wordWrap/>
        <w:overflowPunct/>
        <w:topLinePunct w:val="0"/>
        <w:autoSpaceDE w:val="0"/>
        <w:autoSpaceDN w:val="0"/>
        <w:bidi w:val="0"/>
        <w:adjustRightInd w:val="0"/>
        <w:snapToGrid w:val="0"/>
        <w:spacing w:line="360" w:lineRule="auto"/>
        <w:ind w:firstLine="424" w:firstLineChars="202"/>
        <w:jc w:val="left"/>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lang w:bidi="ar"/>
        </w:rPr>
        <w:t>2、每项考评对应无扣分的，实得分等于应得分。</w:t>
      </w:r>
    </w:p>
    <w:p w14:paraId="02FC2797">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3、</w:t>
      </w:r>
      <w:r>
        <w:rPr>
          <w:rFonts w:hint="eastAsia" w:eastAsia="宋体" w:cs="宋体"/>
          <w:sz w:val="21"/>
          <w:szCs w:val="21"/>
          <w:highlight w:val="none"/>
        </w:rPr>
        <w:t>甲方（含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分公司）每月根据考评结果情况支付实际服务费给乙方</w:t>
      </w:r>
      <w:r>
        <w:rPr>
          <w:rFonts w:hint="eastAsia" w:eastAsia="宋体" w:cs="宋体"/>
          <w:kern w:val="0"/>
          <w:sz w:val="21"/>
          <w:szCs w:val="21"/>
          <w:highlight w:val="none"/>
          <w:lang w:eastAsia="zh-CN" w:bidi="ar"/>
        </w:rPr>
        <w:t>：</w:t>
      </w:r>
    </w:p>
    <w:p w14:paraId="25C43471">
      <w:pPr>
        <w:pStyle w:val="33"/>
        <w:keepNext w:val="0"/>
        <w:keepLines w:val="0"/>
        <w:pageBreakBefore w:val="0"/>
        <w:numPr>
          <w:ilvl w:val="0"/>
          <w:numId w:val="0"/>
        </w:numPr>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sz w:val="21"/>
          <w:szCs w:val="21"/>
          <w:highlight w:val="none"/>
        </w:rPr>
      </w:pPr>
      <w:r>
        <w:rPr>
          <w:rFonts w:hint="eastAsia" w:ascii="宋体" w:hAnsi="宋体" w:eastAsia="宋体" w:cs="宋体"/>
          <w:kern w:val="2"/>
          <w:sz w:val="21"/>
          <w:szCs w:val="21"/>
          <w:highlight w:val="none"/>
          <w:lang w:val="en-US" w:eastAsia="zh-CN" w:bidi="ar-SA"/>
        </w:rPr>
        <w:t>（1）</w:t>
      </w:r>
      <w:r>
        <w:rPr>
          <w:rFonts w:hint="eastAsia" w:eastAsia="宋体" w:cs="宋体"/>
          <w:kern w:val="0"/>
          <w:sz w:val="21"/>
          <w:szCs w:val="21"/>
          <w:highlight w:val="none"/>
          <w:lang w:eastAsia="zh-CN" w:bidi="ar"/>
        </w:rPr>
        <w:t>当实际考核项目总分满分为100分，</w:t>
      </w:r>
      <w:r>
        <w:rPr>
          <w:rFonts w:hint="eastAsia" w:eastAsia="宋体" w:cs="宋体"/>
          <w:kern w:val="0"/>
          <w:sz w:val="21"/>
          <w:szCs w:val="21"/>
          <w:highlight w:val="none"/>
          <w:lang w:bidi="ar"/>
        </w:rPr>
        <w:t>如</w:t>
      </w:r>
      <w:r>
        <w:rPr>
          <w:rFonts w:hint="eastAsia" w:eastAsia="宋体" w:cs="宋体"/>
          <w:sz w:val="21"/>
          <w:szCs w:val="21"/>
          <w:highlight w:val="none"/>
        </w:rPr>
        <w:t>甲方（含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分公司）对乙方的服务考核评分达到90分或以上的，该月服务费全额支付；如</w:t>
      </w:r>
      <w:r>
        <w:rPr>
          <w:rFonts w:hint="eastAsia" w:eastAsia="宋体" w:cs="宋体"/>
          <w:sz w:val="21"/>
          <w:szCs w:val="21"/>
          <w:highlight w:val="none"/>
        </w:rPr>
        <w:t>甲方（含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分公司））对乙方的服务考核评分不足90分的，该月实际支付的服务费=该月应支付服务费×当月考核评分占比；如发现累计两个月未达到60分时，且乙方没有提供令甲方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分公司）认可的整改方案的，甲方有权单方解除合同</w:t>
      </w:r>
      <w:r>
        <w:rPr>
          <w:rFonts w:hint="eastAsia" w:eastAsia="宋体" w:cs="宋体"/>
          <w:sz w:val="21"/>
          <w:szCs w:val="21"/>
          <w:highlight w:val="none"/>
        </w:rPr>
        <w:t>。</w:t>
      </w:r>
    </w:p>
    <w:p w14:paraId="679590F7">
      <w:pPr>
        <w:pStyle w:val="33"/>
        <w:keepNext w:val="0"/>
        <w:keepLines w:val="0"/>
        <w:pageBreakBefore w:val="0"/>
        <w:numPr>
          <w:ilvl w:val="0"/>
          <w:numId w:val="0"/>
        </w:numPr>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当实际考核项目总分满分不足100分，将考核分数按百分制进行折算（折算分数=实际得分/满分×100），折算后高于90%或以上的，该月服务费全额支付；如甲方（含其权属分公司）对乙方的服务考核评分折算后不足90%的，该月实际支付的服务费=该月应支付服务费×（折算分数/100）；如发现累计两个月折算后未达到60%时，且乙方没有提供令甲方（含其权属分公司）认可的整改方案的，甲方有权单方解除合同。</w:t>
      </w:r>
    </w:p>
    <w:p w14:paraId="4E3D4415">
      <w:pPr>
        <w:keepNext w:val="0"/>
        <w:keepLines w:val="0"/>
        <w:pageBreakBefore w:val="0"/>
        <w:widowControl w:val="0"/>
        <w:kinsoku/>
        <w:wordWrap/>
        <w:overflowPunct/>
        <w:topLinePunct w:val="0"/>
        <w:bidi w:val="0"/>
        <w:snapToGrid w:val="0"/>
        <w:spacing w:line="360" w:lineRule="auto"/>
        <w:textAlignment w:val="auto"/>
        <w:rPr>
          <w:rFonts w:hint="eastAsia" w:ascii="宋体" w:hAnsi="宋体" w:eastAsia="宋体" w:cs="宋体"/>
          <w:b/>
          <w:kern w:val="0"/>
          <w:sz w:val="21"/>
          <w:szCs w:val="21"/>
          <w:highlight w:val="none"/>
          <w:lang w:bidi="ar"/>
        </w:rPr>
      </w:pPr>
      <w:r>
        <w:rPr>
          <w:rFonts w:hint="eastAsia" w:ascii="宋体" w:hAnsi="宋体" w:eastAsia="宋体" w:cs="宋体"/>
          <w:b/>
          <w:kern w:val="0"/>
          <w:sz w:val="21"/>
          <w:szCs w:val="21"/>
          <w:highlight w:val="none"/>
          <w:lang w:bidi="ar"/>
        </w:rPr>
        <w:br w:type="page"/>
      </w:r>
    </w:p>
    <w:p w14:paraId="7CBA40E6">
      <w:pPr>
        <w:autoSpaceDE w:val="0"/>
        <w:autoSpaceDN w:val="0"/>
        <w:adjustRightInd w:val="0"/>
        <w:spacing w:line="360" w:lineRule="auto"/>
        <w:jc w:val="center"/>
        <w:rPr>
          <w:rFonts w:ascii="宋体" w:hAnsi="宋体" w:eastAsia="宋体" w:cs="宋体"/>
          <w:b/>
          <w:sz w:val="21"/>
          <w:szCs w:val="21"/>
          <w:highlight w:val="none"/>
        </w:rPr>
      </w:pPr>
      <w:r>
        <w:rPr>
          <w:rFonts w:hint="eastAsia" w:ascii="宋体" w:hAnsi="宋体" w:eastAsia="宋体" w:cs="宋体"/>
          <w:b/>
          <w:kern w:val="0"/>
          <w:sz w:val="21"/>
          <w:szCs w:val="21"/>
          <w:highlight w:val="none"/>
          <w:lang w:bidi="ar"/>
        </w:rPr>
        <w:t>2.5《</w:t>
      </w:r>
      <w:r>
        <w:rPr>
          <w:rFonts w:hint="eastAsia" w:ascii="宋体" w:hAnsi="宋体" w:eastAsia="宋体" w:cs="宋体"/>
          <w:b/>
          <w:kern w:val="0"/>
          <w:sz w:val="21"/>
          <w:szCs w:val="21"/>
          <w:highlight w:val="none"/>
          <w:lang w:eastAsia="zh-CN" w:bidi="ar"/>
        </w:rPr>
        <w:t>东莞市水务环境投资控股集团供水有限公司</w:t>
      </w:r>
      <w:r>
        <w:rPr>
          <w:rFonts w:hint="eastAsia" w:ascii="宋体" w:hAnsi="宋体" w:eastAsia="宋体" w:cs="宋体"/>
          <w:b/>
          <w:kern w:val="0"/>
          <w:sz w:val="21"/>
          <w:szCs w:val="21"/>
          <w:highlight w:val="none"/>
          <w:lang w:bidi="ar"/>
        </w:rPr>
        <w:t>清洁保洁、绿化养护、除“四害”及灭蚁防治考核评分标准（适用于除“四害”及灭蚁项目）》</w:t>
      </w:r>
    </w:p>
    <w:tbl>
      <w:tblPr>
        <w:tblStyle w:val="37"/>
        <w:tblpPr w:leftFromText="180" w:rightFromText="180" w:vertAnchor="text" w:horzAnchor="page" w:tblpX="1059" w:tblpY="23"/>
        <w:tblOverlap w:val="never"/>
        <w:tblW w:w="498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autofit"/>
        <w:tblCellMar>
          <w:top w:w="0" w:type="dxa"/>
          <w:left w:w="108" w:type="dxa"/>
          <w:bottom w:w="0" w:type="dxa"/>
          <w:right w:w="108" w:type="dxa"/>
        </w:tblCellMar>
      </w:tblPr>
      <w:tblGrid>
        <w:gridCol w:w="787"/>
        <w:gridCol w:w="872"/>
        <w:gridCol w:w="1408"/>
        <w:gridCol w:w="1239"/>
        <w:gridCol w:w="131"/>
        <w:gridCol w:w="1348"/>
        <w:gridCol w:w="1012"/>
        <w:gridCol w:w="1213"/>
        <w:gridCol w:w="802"/>
        <w:gridCol w:w="1114"/>
      </w:tblGrid>
      <w:tr w14:paraId="5551BE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397" w:type="pct"/>
            <w:shd w:val="clear" w:color="auto" w:fill="auto"/>
            <w:vAlign w:val="center"/>
          </w:tcPr>
          <w:p w14:paraId="1FACDC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序号</w:t>
            </w:r>
          </w:p>
        </w:tc>
        <w:tc>
          <w:tcPr>
            <w:tcW w:w="1772" w:type="pct"/>
            <w:gridSpan w:val="3"/>
            <w:shd w:val="clear" w:color="auto" w:fill="auto"/>
            <w:vAlign w:val="center"/>
          </w:tcPr>
          <w:p w14:paraId="1973845B">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现场考核</w:t>
            </w:r>
          </w:p>
        </w:tc>
        <w:tc>
          <w:tcPr>
            <w:tcW w:w="1255" w:type="pct"/>
            <w:gridSpan w:val="3"/>
            <w:shd w:val="clear" w:color="auto" w:fill="auto"/>
            <w:vAlign w:val="center"/>
          </w:tcPr>
          <w:p w14:paraId="191B8414">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扣分办法</w:t>
            </w:r>
          </w:p>
        </w:tc>
        <w:tc>
          <w:tcPr>
            <w:tcW w:w="610" w:type="pct"/>
            <w:shd w:val="clear" w:color="auto" w:fill="auto"/>
            <w:vAlign w:val="center"/>
          </w:tcPr>
          <w:p w14:paraId="5B5D9D83">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考核项目总分</w:t>
            </w:r>
          </w:p>
        </w:tc>
        <w:tc>
          <w:tcPr>
            <w:tcW w:w="404" w:type="pct"/>
            <w:shd w:val="clear" w:color="auto" w:fill="auto"/>
            <w:vAlign w:val="center"/>
          </w:tcPr>
          <w:p w14:paraId="28325395">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检查</w:t>
            </w:r>
          </w:p>
          <w:p w14:paraId="1DD7BA9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扣分</w:t>
            </w:r>
          </w:p>
        </w:tc>
        <w:tc>
          <w:tcPr>
            <w:tcW w:w="559" w:type="pct"/>
            <w:shd w:val="clear" w:color="auto" w:fill="auto"/>
            <w:vAlign w:val="center"/>
          </w:tcPr>
          <w:p w14:paraId="7A7D254E">
            <w:pPr>
              <w:keepNext w:val="0"/>
              <w:keepLines w:val="0"/>
              <w:widowControl/>
              <w:suppressLineNumbers w:val="0"/>
              <w:jc w:val="center"/>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考核项目</w:t>
            </w:r>
          </w:p>
          <w:p w14:paraId="236FB9ED">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得分</w:t>
            </w:r>
          </w:p>
        </w:tc>
      </w:tr>
      <w:tr w14:paraId="68CFBC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09" w:hRule="atLeast"/>
        </w:trPr>
        <w:tc>
          <w:tcPr>
            <w:tcW w:w="397" w:type="pct"/>
            <w:vMerge w:val="restart"/>
            <w:shd w:val="clear" w:color="auto" w:fill="auto"/>
            <w:vAlign w:val="center"/>
          </w:tcPr>
          <w:p w14:paraId="5489BB1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1</w:t>
            </w:r>
          </w:p>
        </w:tc>
        <w:tc>
          <w:tcPr>
            <w:tcW w:w="1772" w:type="pct"/>
            <w:gridSpan w:val="3"/>
            <w:shd w:val="clear" w:color="auto" w:fill="auto"/>
            <w:vAlign w:val="center"/>
          </w:tcPr>
          <w:p w14:paraId="6FC040ED">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必须具备“四害”消杀及白蚁防治上岗证。</w:t>
            </w:r>
          </w:p>
        </w:tc>
        <w:tc>
          <w:tcPr>
            <w:tcW w:w="1255" w:type="pct"/>
            <w:gridSpan w:val="3"/>
            <w:shd w:val="clear" w:color="auto" w:fill="auto"/>
            <w:vAlign w:val="center"/>
          </w:tcPr>
          <w:p w14:paraId="22BD9D2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不具备上岗证的，扣20分。</w:t>
            </w:r>
          </w:p>
        </w:tc>
        <w:tc>
          <w:tcPr>
            <w:tcW w:w="610" w:type="pct"/>
            <w:shd w:val="clear" w:color="auto" w:fill="auto"/>
            <w:vAlign w:val="center"/>
          </w:tcPr>
          <w:p w14:paraId="6381CFC0">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404" w:type="pct"/>
            <w:shd w:val="clear" w:color="auto" w:fill="auto"/>
            <w:vAlign w:val="center"/>
          </w:tcPr>
          <w:p w14:paraId="6CC70BFC">
            <w:pPr>
              <w:rPr>
                <w:rFonts w:hint="eastAsia" w:ascii="宋体" w:hAnsi="宋体" w:eastAsia="宋体" w:cs="宋体"/>
                <w:i w:val="0"/>
                <w:iCs w:val="0"/>
                <w:color w:val="auto"/>
                <w:sz w:val="21"/>
                <w:szCs w:val="21"/>
                <w:highlight w:val="none"/>
                <w:u w:val="none"/>
              </w:rPr>
            </w:pPr>
          </w:p>
        </w:tc>
        <w:tc>
          <w:tcPr>
            <w:tcW w:w="559" w:type="pct"/>
            <w:shd w:val="clear" w:color="auto" w:fill="auto"/>
            <w:vAlign w:val="center"/>
          </w:tcPr>
          <w:p w14:paraId="2AA20BAC">
            <w:pPr>
              <w:jc w:val="center"/>
              <w:rPr>
                <w:rFonts w:hint="eastAsia" w:ascii="宋体" w:hAnsi="宋体" w:eastAsia="宋体" w:cs="宋体"/>
                <w:i w:val="0"/>
                <w:iCs w:val="0"/>
                <w:color w:val="auto"/>
                <w:sz w:val="21"/>
                <w:szCs w:val="21"/>
                <w:highlight w:val="none"/>
                <w:u w:val="none"/>
              </w:rPr>
            </w:pPr>
          </w:p>
        </w:tc>
      </w:tr>
      <w:tr w14:paraId="41DEE9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04" w:hRule="atLeast"/>
        </w:trPr>
        <w:tc>
          <w:tcPr>
            <w:tcW w:w="397" w:type="pct"/>
            <w:vMerge w:val="continue"/>
            <w:shd w:val="clear" w:color="auto" w:fill="auto"/>
            <w:vAlign w:val="center"/>
          </w:tcPr>
          <w:p w14:paraId="48A67858">
            <w:pPr>
              <w:jc w:val="center"/>
              <w:rPr>
                <w:rFonts w:hint="eastAsia" w:ascii="宋体" w:hAnsi="宋体" w:eastAsia="宋体" w:cs="宋体"/>
                <w:i w:val="0"/>
                <w:iCs w:val="0"/>
                <w:color w:val="auto"/>
                <w:sz w:val="21"/>
                <w:szCs w:val="21"/>
                <w:highlight w:val="none"/>
                <w:u w:val="none"/>
              </w:rPr>
            </w:pPr>
          </w:p>
        </w:tc>
        <w:tc>
          <w:tcPr>
            <w:tcW w:w="1772" w:type="pct"/>
            <w:gridSpan w:val="3"/>
            <w:shd w:val="clear" w:color="auto" w:fill="auto"/>
            <w:vAlign w:val="center"/>
          </w:tcPr>
          <w:p w14:paraId="358CB4EA">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对行政区域（含生产车间、办公楼内部）和生产区域实施喷洒式或烟雾式灭蚊子、苍蝇、蟑螂工作（特殊情况下应服从供水公司要求增加服务次数）：</w:t>
            </w:r>
          </w:p>
          <w:p w14:paraId="2FE06C05">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（1）越冬蚊杀灭阶段（每年12月至次年3月），每月一次：每月第1周周五开展1次集中消杀行动，逢法定节假日可适当调整；</w:t>
            </w:r>
          </w:p>
          <w:p w14:paraId="34D53C2F">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（2）应对准备阶段（4至5月），每周一次：每周五开展 1 次集中消杀行动；</w:t>
            </w:r>
          </w:p>
          <w:p w14:paraId="064D8193">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（3）防控强化阶段（6至11 月），每周二次：每周二、周五各开展1次集中消杀行动。</w:t>
            </w:r>
          </w:p>
        </w:tc>
        <w:tc>
          <w:tcPr>
            <w:tcW w:w="1255" w:type="pct"/>
            <w:gridSpan w:val="3"/>
            <w:shd w:val="clear" w:color="auto" w:fill="auto"/>
            <w:vAlign w:val="center"/>
          </w:tcPr>
          <w:p w14:paraId="6F0F459C">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（1）越冬蚊杀灭阶段（每年12月至次年3月），灭蚊、灭蟑螂、灭蝇次数没按要求完成，每少一次扣20分。</w:t>
            </w:r>
          </w:p>
          <w:p w14:paraId="4302E8A8">
            <w:pPr>
              <w:keepNext w:val="0"/>
              <w:keepLines w:val="0"/>
              <w:widowControl/>
              <w:suppressLineNumbers w:val="0"/>
              <w:jc w:val="left"/>
              <w:textAlignment w:val="center"/>
              <w:rPr>
                <w:rFonts w:hint="eastAsia" w:ascii="宋体" w:hAnsi="宋体" w:eastAsia="宋体" w:cs="宋体"/>
                <w:i w:val="0"/>
                <w:iCs w:val="0"/>
                <w:color w:val="auto"/>
                <w:kern w:val="0"/>
                <w:sz w:val="21"/>
                <w:szCs w:val="21"/>
                <w:highlight w:val="none"/>
                <w:u w:val="none"/>
                <w:lang w:val="en-US" w:eastAsia="zh-CN" w:bidi="ar"/>
              </w:rPr>
            </w:pPr>
            <w:r>
              <w:rPr>
                <w:rFonts w:hint="eastAsia" w:ascii="宋体" w:hAnsi="宋体" w:eastAsia="宋体" w:cs="宋体"/>
                <w:i w:val="0"/>
                <w:iCs w:val="0"/>
                <w:color w:val="auto"/>
                <w:kern w:val="0"/>
                <w:sz w:val="21"/>
                <w:szCs w:val="21"/>
                <w:highlight w:val="none"/>
                <w:u w:val="none"/>
                <w:lang w:val="en-US" w:eastAsia="zh-CN" w:bidi="ar"/>
              </w:rPr>
              <w:t>（2）应对准备阶段（4至5月），灭蚊、灭蟑螂、灭蝇次数没按要求完成，每少一次扣5分。</w:t>
            </w:r>
          </w:p>
          <w:p w14:paraId="2227F2B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（3）防控强化阶段（6至11月），灭蚊、灭蟑螂、灭蝇次数没按要求完成，每少一次扣3分。</w:t>
            </w:r>
          </w:p>
        </w:tc>
        <w:tc>
          <w:tcPr>
            <w:tcW w:w="610" w:type="pct"/>
            <w:shd w:val="clear" w:color="auto" w:fill="auto"/>
            <w:vAlign w:val="center"/>
          </w:tcPr>
          <w:p w14:paraId="6983DB5C">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20</w:t>
            </w:r>
          </w:p>
        </w:tc>
        <w:tc>
          <w:tcPr>
            <w:tcW w:w="404" w:type="pct"/>
            <w:shd w:val="clear" w:color="auto" w:fill="auto"/>
            <w:vAlign w:val="center"/>
          </w:tcPr>
          <w:p w14:paraId="21A79CAA">
            <w:pPr>
              <w:rPr>
                <w:rFonts w:hint="eastAsia" w:ascii="宋体" w:hAnsi="宋体" w:eastAsia="宋体" w:cs="宋体"/>
                <w:i w:val="0"/>
                <w:iCs w:val="0"/>
                <w:color w:val="auto"/>
                <w:sz w:val="21"/>
                <w:szCs w:val="21"/>
                <w:highlight w:val="none"/>
                <w:u w:val="none"/>
              </w:rPr>
            </w:pPr>
          </w:p>
        </w:tc>
        <w:tc>
          <w:tcPr>
            <w:tcW w:w="559" w:type="pct"/>
            <w:shd w:val="clear" w:color="auto" w:fill="auto"/>
            <w:vAlign w:val="center"/>
          </w:tcPr>
          <w:p w14:paraId="11BB7E75">
            <w:pPr>
              <w:jc w:val="center"/>
              <w:rPr>
                <w:rFonts w:hint="eastAsia" w:ascii="宋体" w:hAnsi="宋体" w:eastAsia="宋体" w:cs="宋体"/>
                <w:i w:val="0"/>
                <w:iCs w:val="0"/>
                <w:color w:val="auto"/>
                <w:sz w:val="21"/>
                <w:szCs w:val="21"/>
                <w:highlight w:val="none"/>
                <w:u w:val="none"/>
              </w:rPr>
            </w:pPr>
          </w:p>
        </w:tc>
      </w:tr>
      <w:tr w14:paraId="41711B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05" w:hRule="atLeast"/>
        </w:trPr>
        <w:tc>
          <w:tcPr>
            <w:tcW w:w="397" w:type="pct"/>
            <w:vMerge w:val="continue"/>
            <w:shd w:val="clear" w:color="auto" w:fill="auto"/>
            <w:vAlign w:val="center"/>
          </w:tcPr>
          <w:p w14:paraId="18B9AE42">
            <w:pPr>
              <w:jc w:val="center"/>
              <w:rPr>
                <w:rFonts w:hint="eastAsia" w:ascii="宋体" w:hAnsi="宋体" w:eastAsia="宋体" w:cs="宋体"/>
                <w:i w:val="0"/>
                <w:iCs w:val="0"/>
                <w:color w:val="auto"/>
                <w:sz w:val="21"/>
                <w:szCs w:val="21"/>
                <w:highlight w:val="none"/>
                <w:u w:val="none"/>
              </w:rPr>
            </w:pPr>
          </w:p>
        </w:tc>
        <w:tc>
          <w:tcPr>
            <w:tcW w:w="1772" w:type="pct"/>
            <w:gridSpan w:val="3"/>
            <w:shd w:val="clear" w:color="auto" w:fill="auto"/>
            <w:vAlign w:val="center"/>
          </w:tcPr>
          <w:p w14:paraId="22A7A8F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每月灭鼠次数不少于4次。</w:t>
            </w:r>
          </w:p>
        </w:tc>
        <w:tc>
          <w:tcPr>
            <w:tcW w:w="1255" w:type="pct"/>
            <w:gridSpan w:val="3"/>
            <w:shd w:val="clear" w:color="auto" w:fill="auto"/>
            <w:vAlign w:val="center"/>
          </w:tcPr>
          <w:p w14:paraId="026E9CE7">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灭鼠次数没按要求完成，每少一次扣5分。</w:t>
            </w:r>
          </w:p>
        </w:tc>
        <w:tc>
          <w:tcPr>
            <w:tcW w:w="610" w:type="pct"/>
            <w:shd w:val="clear" w:color="auto" w:fill="auto"/>
            <w:vAlign w:val="center"/>
          </w:tcPr>
          <w:p w14:paraId="1DE08C48">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404" w:type="pct"/>
            <w:shd w:val="clear" w:color="auto" w:fill="auto"/>
            <w:vAlign w:val="center"/>
          </w:tcPr>
          <w:p w14:paraId="524074B6">
            <w:pPr>
              <w:rPr>
                <w:rFonts w:hint="eastAsia" w:ascii="宋体" w:hAnsi="宋体" w:eastAsia="宋体" w:cs="宋体"/>
                <w:i w:val="0"/>
                <w:iCs w:val="0"/>
                <w:color w:val="auto"/>
                <w:sz w:val="21"/>
                <w:szCs w:val="21"/>
                <w:highlight w:val="none"/>
                <w:u w:val="none"/>
              </w:rPr>
            </w:pPr>
          </w:p>
        </w:tc>
        <w:tc>
          <w:tcPr>
            <w:tcW w:w="559" w:type="pct"/>
            <w:shd w:val="clear" w:color="auto" w:fill="auto"/>
            <w:vAlign w:val="center"/>
          </w:tcPr>
          <w:p w14:paraId="4A36EA4E">
            <w:pPr>
              <w:jc w:val="center"/>
              <w:rPr>
                <w:rFonts w:hint="eastAsia" w:ascii="宋体" w:hAnsi="宋体" w:eastAsia="宋体" w:cs="宋体"/>
                <w:i w:val="0"/>
                <w:iCs w:val="0"/>
                <w:color w:val="auto"/>
                <w:sz w:val="21"/>
                <w:szCs w:val="21"/>
                <w:highlight w:val="none"/>
                <w:u w:val="none"/>
              </w:rPr>
            </w:pPr>
          </w:p>
        </w:tc>
      </w:tr>
      <w:tr w14:paraId="30C425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110" w:hRule="atLeast"/>
        </w:trPr>
        <w:tc>
          <w:tcPr>
            <w:tcW w:w="397" w:type="pct"/>
            <w:vMerge w:val="continue"/>
            <w:shd w:val="clear" w:color="auto" w:fill="auto"/>
            <w:vAlign w:val="center"/>
          </w:tcPr>
          <w:p w14:paraId="34157CA5">
            <w:pPr>
              <w:jc w:val="center"/>
              <w:rPr>
                <w:rFonts w:hint="eastAsia" w:ascii="宋体" w:hAnsi="宋体" w:eastAsia="宋体" w:cs="宋体"/>
                <w:i w:val="0"/>
                <w:iCs w:val="0"/>
                <w:color w:val="auto"/>
                <w:sz w:val="21"/>
                <w:szCs w:val="21"/>
                <w:highlight w:val="none"/>
                <w:u w:val="none"/>
              </w:rPr>
            </w:pPr>
          </w:p>
        </w:tc>
        <w:tc>
          <w:tcPr>
            <w:tcW w:w="1772" w:type="pct"/>
            <w:gridSpan w:val="3"/>
            <w:shd w:val="clear" w:color="auto" w:fill="auto"/>
            <w:vAlign w:val="center"/>
          </w:tcPr>
          <w:p w14:paraId="2525A778">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每月对公司所有区域进行白蚁检查及处理不少于2次。</w:t>
            </w:r>
          </w:p>
        </w:tc>
        <w:tc>
          <w:tcPr>
            <w:tcW w:w="1255" w:type="pct"/>
            <w:gridSpan w:val="3"/>
            <w:shd w:val="clear" w:color="auto" w:fill="auto"/>
            <w:vAlign w:val="center"/>
          </w:tcPr>
          <w:p w14:paraId="1115DB90">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白蚁检查及处理没按要求完成，每次扣5分。</w:t>
            </w:r>
          </w:p>
        </w:tc>
        <w:tc>
          <w:tcPr>
            <w:tcW w:w="610" w:type="pct"/>
            <w:shd w:val="clear" w:color="auto" w:fill="auto"/>
            <w:vAlign w:val="center"/>
          </w:tcPr>
          <w:p w14:paraId="53DD86E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404" w:type="pct"/>
            <w:shd w:val="clear" w:color="auto" w:fill="auto"/>
            <w:vAlign w:val="center"/>
          </w:tcPr>
          <w:p w14:paraId="48A60FAC">
            <w:pPr>
              <w:rPr>
                <w:rFonts w:hint="eastAsia" w:ascii="宋体" w:hAnsi="宋体" w:eastAsia="宋体" w:cs="宋体"/>
                <w:i w:val="0"/>
                <w:iCs w:val="0"/>
                <w:color w:val="auto"/>
                <w:sz w:val="21"/>
                <w:szCs w:val="21"/>
                <w:highlight w:val="none"/>
                <w:u w:val="none"/>
              </w:rPr>
            </w:pPr>
          </w:p>
        </w:tc>
        <w:tc>
          <w:tcPr>
            <w:tcW w:w="559" w:type="pct"/>
            <w:shd w:val="clear" w:color="auto" w:fill="auto"/>
            <w:vAlign w:val="center"/>
          </w:tcPr>
          <w:p w14:paraId="49312CF1">
            <w:pPr>
              <w:jc w:val="center"/>
              <w:rPr>
                <w:rFonts w:hint="eastAsia" w:ascii="宋体" w:hAnsi="宋体" w:eastAsia="宋体" w:cs="宋体"/>
                <w:i w:val="0"/>
                <w:iCs w:val="0"/>
                <w:color w:val="auto"/>
                <w:sz w:val="21"/>
                <w:szCs w:val="21"/>
                <w:highlight w:val="none"/>
                <w:u w:val="none"/>
              </w:rPr>
            </w:pPr>
          </w:p>
        </w:tc>
      </w:tr>
      <w:tr w14:paraId="0C085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719" w:hRule="atLeast"/>
        </w:trPr>
        <w:tc>
          <w:tcPr>
            <w:tcW w:w="397" w:type="pct"/>
            <w:vMerge w:val="continue"/>
            <w:shd w:val="clear" w:color="auto" w:fill="auto"/>
            <w:vAlign w:val="center"/>
          </w:tcPr>
          <w:p w14:paraId="5C0670E1">
            <w:pPr>
              <w:jc w:val="center"/>
              <w:rPr>
                <w:rFonts w:hint="eastAsia" w:ascii="宋体" w:hAnsi="宋体" w:eastAsia="宋体" w:cs="宋体"/>
                <w:i w:val="0"/>
                <w:iCs w:val="0"/>
                <w:color w:val="auto"/>
                <w:sz w:val="21"/>
                <w:szCs w:val="21"/>
                <w:highlight w:val="none"/>
                <w:u w:val="none"/>
              </w:rPr>
            </w:pPr>
          </w:p>
        </w:tc>
        <w:tc>
          <w:tcPr>
            <w:tcW w:w="1772" w:type="pct"/>
            <w:gridSpan w:val="3"/>
            <w:shd w:val="clear" w:color="auto" w:fill="auto"/>
            <w:vAlign w:val="center"/>
          </w:tcPr>
          <w:p w14:paraId="0908AB11">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没有及时清理动物尸体及无害化处理。</w:t>
            </w:r>
          </w:p>
        </w:tc>
        <w:tc>
          <w:tcPr>
            <w:tcW w:w="1255" w:type="pct"/>
            <w:gridSpan w:val="3"/>
            <w:shd w:val="clear" w:color="auto" w:fill="auto"/>
            <w:vAlign w:val="center"/>
          </w:tcPr>
          <w:p w14:paraId="24FCDF05">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每发现一次扣2分。</w:t>
            </w:r>
          </w:p>
        </w:tc>
        <w:tc>
          <w:tcPr>
            <w:tcW w:w="610" w:type="pct"/>
            <w:shd w:val="clear" w:color="auto" w:fill="auto"/>
            <w:vAlign w:val="center"/>
          </w:tcPr>
          <w:p w14:paraId="1AF6843B">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10</w:t>
            </w:r>
          </w:p>
        </w:tc>
        <w:tc>
          <w:tcPr>
            <w:tcW w:w="404" w:type="pct"/>
            <w:shd w:val="clear" w:color="auto" w:fill="auto"/>
            <w:vAlign w:val="center"/>
          </w:tcPr>
          <w:p w14:paraId="5D7F46E1">
            <w:pPr>
              <w:jc w:val="center"/>
              <w:rPr>
                <w:rFonts w:hint="eastAsia" w:ascii="宋体" w:hAnsi="宋体" w:eastAsia="宋体" w:cs="宋体"/>
                <w:i w:val="0"/>
                <w:iCs w:val="0"/>
                <w:color w:val="auto"/>
                <w:sz w:val="21"/>
                <w:szCs w:val="21"/>
                <w:highlight w:val="none"/>
                <w:u w:val="none"/>
              </w:rPr>
            </w:pPr>
          </w:p>
        </w:tc>
        <w:tc>
          <w:tcPr>
            <w:tcW w:w="559" w:type="pct"/>
            <w:shd w:val="clear" w:color="auto" w:fill="auto"/>
            <w:vAlign w:val="center"/>
          </w:tcPr>
          <w:p w14:paraId="62D3DF64">
            <w:pPr>
              <w:jc w:val="center"/>
              <w:rPr>
                <w:rFonts w:hint="eastAsia" w:ascii="宋体" w:hAnsi="宋体" w:eastAsia="宋体" w:cs="宋体"/>
                <w:i w:val="0"/>
                <w:iCs w:val="0"/>
                <w:color w:val="auto"/>
                <w:sz w:val="21"/>
                <w:szCs w:val="21"/>
                <w:highlight w:val="none"/>
                <w:u w:val="none"/>
              </w:rPr>
            </w:pPr>
          </w:p>
        </w:tc>
      </w:tr>
      <w:tr w14:paraId="159D6A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397" w:type="pct"/>
            <w:shd w:val="clear" w:color="auto" w:fill="auto"/>
            <w:vAlign w:val="center"/>
          </w:tcPr>
          <w:p w14:paraId="1DD74DC3">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i w:val="0"/>
                <w:iCs w:val="0"/>
                <w:color w:val="auto"/>
                <w:kern w:val="0"/>
                <w:sz w:val="21"/>
                <w:szCs w:val="21"/>
                <w:highlight w:val="none"/>
                <w:u w:val="none"/>
                <w:lang w:val="en-US" w:eastAsia="zh-CN" w:bidi="ar"/>
              </w:rPr>
              <w:t>2</w:t>
            </w:r>
          </w:p>
        </w:tc>
        <w:tc>
          <w:tcPr>
            <w:tcW w:w="1772" w:type="pct"/>
            <w:gridSpan w:val="3"/>
            <w:shd w:val="clear" w:color="auto" w:fill="auto"/>
            <w:vAlign w:val="center"/>
          </w:tcPr>
          <w:p w14:paraId="2C85FC8E">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u w:val="none"/>
                <w:lang w:val="en-US" w:eastAsia="zh-CN" w:bidi="ar"/>
              </w:rPr>
              <w:t>服从甲方突击性任务、迎检活动安排、紧急服务等工作要求。</w:t>
            </w:r>
          </w:p>
        </w:tc>
        <w:tc>
          <w:tcPr>
            <w:tcW w:w="1255" w:type="pct"/>
            <w:gridSpan w:val="3"/>
            <w:shd w:val="clear" w:color="auto" w:fill="auto"/>
            <w:vAlign w:val="center"/>
          </w:tcPr>
          <w:p w14:paraId="1406F1E2">
            <w:pPr>
              <w:keepNext w:val="0"/>
              <w:keepLines w:val="0"/>
              <w:widowControl/>
              <w:suppressLineNumbers w:val="0"/>
              <w:jc w:val="left"/>
              <w:textAlignment w:val="center"/>
              <w:rPr>
                <w:rFonts w:hint="eastAsia" w:ascii="宋体" w:hAnsi="宋体" w:eastAsia="宋体" w:cs="宋体"/>
                <w:i w:val="0"/>
                <w:iCs w:val="0"/>
                <w:color w:val="auto"/>
                <w:sz w:val="21"/>
                <w:szCs w:val="21"/>
                <w:highlight w:val="none"/>
                <w:u w:val="none"/>
              </w:rPr>
            </w:pPr>
            <w:r>
              <w:rPr>
                <w:rFonts w:hint="eastAsia" w:ascii="宋体" w:hAnsi="宋体" w:eastAsia="宋体" w:cs="宋体"/>
                <w:color w:val="auto"/>
                <w:kern w:val="0"/>
                <w:szCs w:val="21"/>
                <w:highlight w:val="none"/>
                <w:lang w:val="en-US" w:eastAsia="zh-CN" w:bidi="ar"/>
              </w:rPr>
              <w:t>无正当理由拒不服从的，每次扣5分。</w:t>
            </w:r>
            <w:r>
              <w:rPr>
                <w:rFonts w:hint="eastAsia" w:ascii="宋体" w:hAnsi="宋体" w:eastAsia="宋体" w:cs="宋体"/>
                <w:i w:val="0"/>
                <w:iCs w:val="0"/>
                <w:color w:val="auto"/>
                <w:kern w:val="0"/>
                <w:sz w:val="21"/>
                <w:szCs w:val="21"/>
                <w:highlight w:val="none"/>
                <w:u w:val="none"/>
                <w:lang w:val="en-US" w:eastAsia="zh-CN" w:bidi="ar"/>
              </w:rPr>
              <w:t>扣完为止。</w:t>
            </w:r>
          </w:p>
        </w:tc>
        <w:tc>
          <w:tcPr>
            <w:tcW w:w="610" w:type="pct"/>
            <w:shd w:val="clear" w:color="auto" w:fill="auto"/>
            <w:vAlign w:val="center"/>
          </w:tcPr>
          <w:p w14:paraId="09AB2729">
            <w:pPr>
              <w:keepNext w:val="0"/>
              <w:keepLines w:val="0"/>
              <w:widowControl/>
              <w:suppressLineNumbers w:val="0"/>
              <w:jc w:val="center"/>
              <w:textAlignment w:val="center"/>
              <w:rPr>
                <w:rFonts w:hint="eastAsia" w:ascii="宋体" w:hAnsi="宋体" w:eastAsia="宋体" w:cs="宋体"/>
                <w:i w:val="0"/>
                <w:iCs w:val="0"/>
                <w:color w:val="auto"/>
                <w:sz w:val="21"/>
                <w:szCs w:val="21"/>
                <w:highlight w:val="none"/>
                <w:u w:val="none"/>
                <w:lang w:val="en-US"/>
              </w:rPr>
            </w:pPr>
            <w:r>
              <w:rPr>
                <w:rFonts w:hint="eastAsia" w:ascii="宋体" w:hAnsi="宋体" w:eastAsia="宋体" w:cs="宋体"/>
                <w:i w:val="0"/>
                <w:iCs w:val="0"/>
                <w:color w:val="auto"/>
                <w:kern w:val="0"/>
                <w:sz w:val="21"/>
                <w:szCs w:val="21"/>
                <w:highlight w:val="none"/>
                <w:u w:val="none"/>
                <w:lang w:val="en-US" w:eastAsia="zh-CN" w:bidi="ar"/>
              </w:rPr>
              <w:t>20</w:t>
            </w:r>
          </w:p>
        </w:tc>
        <w:tc>
          <w:tcPr>
            <w:tcW w:w="404" w:type="pct"/>
            <w:shd w:val="clear" w:color="auto" w:fill="auto"/>
            <w:vAlign w:val="center"/>
          </w:tcPr>
          <w:p w14:paraId="41B73E9B">
            <w:pPr>
              <w:jc w:val="center"/>
              <w:rPr>
                <w:rFonts w:hint="eastAsia" w:ascii="宋体" w:hAnsi="宋体" w:eastAsia="宋体" w:cs="宋体"/>
                <w:i w:val="0"/>
                <w:iCs w:val="0"/>
                <w:color w:val="auto"/>
                <w:sz w:val="21"/>
                <w:szCs w:val="21"/>
                <w:highlight w:val="none"/>
                <w:u w:val="none"/>
              </w:rPr>
            </w:pPr>
          </w:p>
        </w:tc>
        <w:tc>
          <w:tcPr>
            <w:tcW w:w="559" w:type="pct"/>
            <w:shd w:val="clear" w:color="auto" w:fill="auto"/>
            <w:vAlign w:val="center"/>
          </w:tcPr>
          <w:p w14:paraId="2C303F58">
            <w:pPr>
              <w:jc w:val="center"/>
              <w:rPr>
                <w:rFonts w:hint="eastAsia" w:ascii="宋体" w:hAnsi="宋体" w:eastAsia="宋体" w:cs="宋体"/>
                <w:i w:val="0"/>
                <w:iCs w:val="0"/>
                <w:color w:val="auto"/>
                <w:sz w:val="21"/>
                <w:szCs w:val="21"/>
                <w:highlight w:val="none"/>
                <w:u w:val="none"/>
              </w:rPr>
            </w:pPr>
          </w:p>
        </w:tc>
      </w:tr>
      <w:tr w14:paraId="5C0C4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22" w:hRule="atLeast"/>
        </w:trPr>
        <w:tc>
          <w:tcPr>
            <w:tcW w:w="397" w:type="pct"/>
            <w:shd w:val="clear" w:color="auto" w:fill="auto"/>
            <w:vAlign w:val="center"/>
          </w:tcPr>
          <w:p w14:paraId="7E778C2A">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合计</w:t>
            </w:r>
          </w:p>
        </w:tc>
        <w:tc>
          <w:tcPr>
            <w:tcW w:w="3638" w:type="pct"/>
            <w:gridSpan w:val="7"/>
            <w:shd w:val="clear" w:color="auto" w:fill="auto"/>
            <w:vAlign w:val="center"/>
          </w:tcPr>
          <w:p w14:paraId="06834298">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100分</w:t>
            </w:r>
          </w:p>
        </w:tc>
        <w:tc>
          <w:tcPr>
            <w:tcW w:w="404" w:type="pct"/>
            <w:shd w:val="clear" w:color="auto" w:fill="auto"/>
            <w:vAlign w:val="center"/>
          </w:tcPr>
          <w:p w14:paraId="42CE4BE1">
            <w:pPr>
              <w:jc w:val="center"/>
              <w:rPr>
                <w:rFonts w:hint="eastAsia" w:ascii="宋体" w:hAnsi="宋体" w:eastAsia="宋体" w:cs="宋体"/>
                <w:i w:val="0"/>
                <w:iCs w:val="0"/>
                <w:color w:val="auto"/>
                <w:sz w:val="21"/>
                <w:szCs w:val="21"/>
                <w:highlight w:val="none"/>
                <w:u w:val="none"/>
              </w:rPr>
            </w:pPr>
          </w:p>
        </w:tc>
        <w:tc>
          <w:tcPr>
            <w:tcW w:w="559" w:type="pct"/>
            <w:shd w:val="clear" w:color="auto" w:fill="auto"/>
            <w:vAlign w:val="center"/>
          </w:tcPr>
          <w:p w14:paraId="4FD84434">
            <w:pPr>
              <w:jc w:val="center"/>
              <w:rPr>
                <w:rFonts w:hint="eastAsia" w:ascii="宋体" w:hAnsi="宋体" w:eastAsia="宋体" w:cs="宋体"/>
                <w:i w:val="0"/>
                <w:iCs w:val="0"/>
                <w:color w:val="auto"/>
                <w:sz w:val="21"/>
                <w:szCs w:val="21"/>
                <w:highlight w:val="none"/>
                <w:u w:val="none"/>
              </w:rPr>
            </w:pPr>
          </w:p>
        </w:tc>
      </w:tr>
      <w:tr w14:paraId="2B01E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691" w:hRule="atLeast"/>
        </w:trPr>
        <w:tc>
          <w:tcPr>
            <w:tcW w:w="836" w:type="pct"/>
            <w:gridSpan w:val="2"/>
            <w:shd w:val="clear" w:color="auto" w:fill="auto"/>
            <w:vAlign w:val="center"/>
          </w:tcPr>
          <w:p w14:paraId="344980CE">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考核结果</w:t>
            </w:r>
          </w:p>
        </w:tc>
        <w:tc>
          <w:tcPr>
            <w:tcW w:w="709" w:type="pct"/>
            <w:shd w:val="clear" w:color="auto" w:fill="auto"/>
            <w:vAlign w:val="center"/>
          </w:tcPr>
          <w:p w14:paraId="1A4D51C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690" w:type="pct"/>
            <w:gridSpan w:val="2"/>
            <w:shd w:val="clear" w:color="auto" w:fill="auto"/>
            <w:vAlign w:val="center"/>
          </w:tcPr>
          <w:p w14:paraId="7E67731E">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合格</w:t>
            </w:r>
          </w:p>
        </w:tc>
        <w:tc>
          <w:tcPr>
            <w:tcW w:w="1189" w:type="pct"/>
            <w:gridSpan w:val="2"/>
            <w:shd w:val="clear" w:color="auto" w:fill="auto"/>
            <w:vAlign w:val="center"/>
          </w:tcPr>
          <w:p w14:paraId="36CEFB17">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p>
        </w:tc>
        <w:tc>
          <w:tcPr>
            <w:tcW w:w="610" w:type="pct"/>
            <w:shd w:val="clear" w:color="auto" w:fill="auto"/>
            <w:vAlign w:val="center"/>
          </w:tcPr>
          <w:p w14:paraId="302BC5F4">
            <w:pPr>
              <w:keepNext w:val="0"/>
              <w:keepLines w:val="0"/>
              <w:widowControl/>
              <w:suppressLineNumbers w:val="0"/>
              <w:jc w:val="center"/>
              <w:textAlignment w:val="center"/>
              <w:rPr>
                <w:rFonts w:hint="default"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不合格</w:t>
            </w:r>
          </w:p>
        </w:tc>
        <w:tc>
          <w:tcPr>
            <w:tcW w:w="404" w:type="pct"/>
            <w:shd w:val="clear" w:color="auto" w:fill="auto"/>
            <w:vAlign w:val="center"/>
          </w:tcPr>
          <w:p w14:paraId="57F81980">
            <w:pPr>
              <w:jc w:val="center"/>
              <w:rPr>
                <w:rFonts w:hint="eastAsia" w:ascii="宋体" w:hAnsi="宋体" w:eastAsia="宋体" w:cs="宋体"/>
                <w:b/>
                <w:bCs/>
                <w:i w:val="0"/>
                <w:iCs w:val="0"/>
                <w:color w:val="auto"/>
                <w:sz w:val="21"/>
                <w:szCs w:val="21"/>
                <w:highlight w:val="none"/>
                <w:u w:val="none"/>
              </w:rPr>
            </w:pPr>
          </w:p>
        </w:tc>
        <w:tc>
          <w:tcPr>
            <w:tcW w:w="559" w:type="pct"/>
            <w:shd w:val="clear" w:color="auto" w:fill="auto"/>
            <w:vAlign w:val="center"/>
          </w:tcPr>
          <w:p w14:paraId="06BDBBA7">
            <w:pPr>
              <w:jc w:val="center"/>
              <w:rPr>
                <w:rFonts w:hint="eastAsia" w:ascii="宋体" w:hAnsi="宋体" w:eastAsia="宋体" w:cs="宋体"/>
                <w:b/>
                <w:bCs/>
                <w:i w:val="0"/>
                <w:iCs w:val="0"/>
                <w:color w:val="auto"/>
                <w:sz w:val="21"/>
                <w:szCs w:val="21"/>
                <w:highlight w:val="none"/>
                <w:u w:val="none"/>
              </w:rPr>
            </w:pPr>
          </w:p>
        </w:tc>
      </w:tr>
      <w:tr w14:paraId="64E27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60" w:hRule="atLeast"/>
        </w:trPr>
        <w:tc>
          <w:tcPr>
            <w:tcW w:w="836" w:type="pct"/>
            <w:gridSpan w:val="2"/>
            <w:shd w:val="clear" w:color="auto" w:fill="auto"/>
            <w:noWrap/>
            <w:vAlign w:val="center"/>
          </w:tcPr>
          <w:p w14:paraId="54A311A9">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意见及建议</w:t>
            </w:r>
          </w:p>
        </w:tc>
        <w:tc>
          <w:tcPr>
            <w:tcW w:w="4163" w:type="pct"/>
            <w:gridSpan w:val="8"/>
            <w:shd w:val="clear" w:color="auto" w:fill="auto"/>
            <w:vAlign w:val="center"/>
          </w:tcPr>
          <w:p w14:paraId="7BE40840">
            <w:pPr>
              <w:jc w:val="center"/>
              <w:rPr>
                <w:rFonts w:hint="eastAsia" w:ascii="宋体" w:hAnsi="宋体" w:eastAsia="宋体" w:cs="宋体"/>
                <w:b/>
                <w:bCs/>
                <w:i w:val="0"/>
                <w:iCs w:val="0"/>
                <w:color w:val="auto"/>
                <w:kern w:val="2"/>
                <w:sz w:val="21"/>
                <w:szCs w:val="21"/>
                <w:highlight w:val="none"/>
                <w:u w:val="none"/>
                <w:lang w:val="en-US" w:eastAsia="zh-CN" w:bidi="ar-SA"/>
              </w:rPr>
            </w:pPr>
          </w:p>
        </w:tc>
      </w:tr>
      <w:tr w14:paraId="02637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0" w:hRule="atLeast"/>
        </w:trPr>
        <w:tc>
          <w:tcPr>
            <w:tcW w:w="836" w:type="pct"/>
            <w:gridSpan w:val="2"/>
            <w:shd w:val="clear" w:color="auto" w:fill="auto"/>
            <w:noWrap/>
            <w:vAlign w:val="center"/>
          </w:tcPr>
          <w:p w14:paraId="2E4F07AE">
            <w:pPr>
              <w:keepNext w:val="0"/>
              <w:keepLines w:val="0"/>
              <w:widowControl/>
              <w:suppressLineNumbers w:val="0"/>
              <w:jc w:val="center"/>
              <w:textAlignment w:val="center"/>
              <w:rPr>
                <w:rFonts w:hint="eastAsia" w:ascii="宋体" w:hAnsi="宋体" w:eastAsia="宋体" w:cs="宋体"/>
                <w:b/>
                <w:bCs/>
                <w:i w:val="0"/>
                <w:iCs w:val="0"/>
                <w:color w:val="auto"/>
                <w:kern w:val="0"/>
                <w:sz w:val="21"/>
                <w:szCs w:val="21"/>
                <w:highlight w:val="none"/>
                <w:u w:val="none"/>
                <w:lang w:val="en-US" w:eastAsia="zh-CN" w:bidi="ar"/>
              </w:rPr>
            </w:pPr>
            <w:r>
              <w:rPr>
                <w:rFonts w:hint="eastAsia" w:ascii="宋体" w:hAnsi="宋体" w:eastAsia="宋体" w:cs="宋体"/>
                <w:b/>
                <w:bCs/>
                <w:i w:val="0"/>
                <w:iCs w:val="0"/>
                <w:color w:val="auto"/>
                <w:kern w:val="0"/>
                <w:sz w:val="21"/>
                <w:szCs w:val="21"/>
                <w:highlight w:val="none"/>
                <w:u w:val="none"/>
                <w:lang w:val="en-US" w:eastAsia="zh-CN" w:bidi="ar"/>
              </w:rPr>
              <w:t>说明</w:t>
            </w:r>
          </w:p>
        </w:tc>
        <w:tc>
          <w:tcPr>
            <w:tcW w:w="2078" w:type="pct"/>
            <w:gridSpan w:val="4"/>
            <w:shd w:val="clear" w:color="auto" w:fill="auto"/>
            <w:vAlign w:val="center"/>
          </w:tcPr>
          <w:p w14:paraId="1700AD13">
            <w:pPr>
              <w:jc w:val="center"/>
              <w:rPr>
                <w:rFonts w:hint="eastAsia" w:ascii="宋体" w:hAnsi="宋体" w:eastAsia="宋体" w:cs="宋体"/>
                <w:b/>
                <w:bCs/>
                <w:i w:val="0"/>
                <w:iCs w:val="0"/>
                <w:color w:val="auto"/>
                <w:kern w:val="2"/>
                <w:sz w:val="21"/>
                <w:szCs w:val="21"/>
                <w:highlight w:val="none"/>
                <w:u w:val="none"/>
                <w:lang w:val="en-US" w:eastAsia="zh-CN" w:bidi="ar-SA"/>
              </w:rPr>
            </w:pPr>
          </w:p>
        </w:tc>
        <w:tc>
          <w:tcPr>
            <w:tcW w:w="2085" w:type="pct"/>
            <w:gridSpan w:val="4"/>
            <w:shd w:val="clear" w:color="auto" w:fill="auto"/>
            <w:vAlign w:val="center"/>
          </w:tcPr>
          <w:p w14:paraId="79BE0851">
            <w:pPr>
              <w:widowControl/>
              <w:jc w:val="center"/>
              <w:textAlignment w:val="center"/>
              <w:rPr>
                <w:rFonts w:hint="eastAsia" w:ascii="宋体" w:hAnsi="宋体" w:eastAsia="宋体" w:cs="宋体"/>
                <w:b/>
                <w:bCs/>
                <w:i w:val="0"/>
                <w:iCs w:val="0"/>
                <w:color w:val="auto"/>
                <w:kern w:val="2"/>
                <w:sz w:val="21"/>
                <w:szCs w:val="21"/>
                <w:highlight w:val="none"/>
                <w:u w:val="none"/>
                <w:lang w:val="en-US" w:eastAsia="zh-CN" w:bidi="ar-SA"/>
              </w:rPr>
            </w:pPr>
            <w:r>
              <w:rPr>
                <w:rFonts w:hint="eastAsia" w:ascii="宋体" w:hAnsi="宋体" w:eastAsia="宋体" w:cs="宋体"/>
                <w:b/>
                <w:bCs/>
                <w:i w:val="0"/>
                <w:iCs w:val="0"/>
                <w:color w:val="auto"/>
                <w:kern w:val="0"/>
                <w:sz w:val="21"/>
                <w:szCs w:val="21"/>
                <w:highlight w:val="none"/>
                <w:u w:val="none"/>
                <w:lang w:val="en-US" w:eastAsia="zh-CN" w:bidi="ar"/>
              </w:rPr>
              <w:t>如评委在检查时指出不当的地方，而服务单位人员态度懒散，置之不理。评委有权追扣分数(5-10分)</w:t>
            </w:r>
          </w:p>
        </w:tc>
      </w:tr>
    </w:tbl>
    <w:p w14:paraId="2915FFBD">
      <w:pPr>
        <w:keepNext w:val="0"/>
        <w:keepLines w:val="0"/>
        <w:pageBreakBefore w:val="0"/>
        <w:kinsoku/>
        <w:wordWrap/>
        <w:overflowPunct/>
        <w:topLinePunct w:val="0"/>
        <w:autoSpaceDE w:val="0"/>
        <w:autoSpaceDN w:val="0"/>
        <w:bidi w:val="0"/>
        <w:adjustRightInd w:val="0"/>
        <w:snapToGrid w:val="0"/>
        <w:spacing w:beforeAutospacing="0" w:afterAutospacing="0" w:line="360" w:lineRule="auto"/>
        <w:jc w:val="left"/>
        <w:textAlignment w:val="auto"/>
        <w:rPr>
          <w:rFonts w:ascii="宋体" w:hAnsi="宋体" w:eastAsia="宋体" w:cs="宋体"/>
          <w:kern w:val="0"/>
          <w:sz w:val="21"/>
          <w:szCs w:val="21"/>
          <w:highlight w:val="none"/>
          <w:lang w:bidi="ar"/>
        </w:rPr>
      </w:pPr>
    </w:p>
    <w:p w14:paraId="74196425">
      <w:pPr>
        <w:keepNext w:val="0"/>
        <w:keepLines w:val="0"/>
        <w:pageBreakBefore w:val="0"/>
        <w:kinsoku/>
        <w:wordWrap/>
        <w:overflowPunct/>
        <w:topLinePunct w:val="0"/>
        <w:autoSpaceDE w:val="0"/>
        <w:autoSpaceDN w:val="0"/>
        <w:bidi w:val="0"/>
        <w:adjustRightInd w:val="0"/>
        <w:snapToGrid w:val="0"/>
        <w:spacing w:beforeAutospacing="0" w:afterAutospacing="0" w:line="360" w:lineRule="auto"/>
        <w:jc w:val="left"/>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lang w:bidi="ar"/>
        </w:rPr>
        <w:t>考核单位：                     考核人：                        考核时间：</w:t>
      </w:r>
    </w:p>
    <w:p w14:paraId="778C26E0">
      <w:pPr>
        <w:keepNext w:val="0"/>
        <w:keepLines w:val="0"/>
        <w:pageBreakBefore w:val="0"/>
        <w:kinsoku/>
        <w:wordWrap/>
        <w:overflowPunct/>
        <w:topLinePunct w:val="0"/>
        <w:autoSpaceDE w:val="0"/>
        <w:autoSpaceDN w:val="0"/>
        <w:bidi w:val="0"/>
        <w:adjustRightInd w:val="0"/>
        <w:snapToGrid w:val="0"/>
        <w:spacing w:beforeAutospacing="0" w:afterAutospacing="0" w:line="360" w:lineRule="auto"/>
        <w:jc w:val="left"/>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lang w:bidi="ar"/>
        </w:rPr>
        <w:t xml:space="preserve"> </w:t>
      </w:r>
    </w:p>
    <w:p w14:paraId="48617AC7">
      <w:pPr>
        <w:keepNext w:val="0"/>
        <w:keepLines w:val="0"/>
        <w:pageBreakBefore w:val="0"/>
        <w:kinsoku/>
        <w:wordWrap/>
        <w:overflowPunct/>
        <w:topLinePunct w:val="0"/>
        <w:autoSpaceDE w:val="0"/>
        <w:autoSpaceDN w:val="0"/>
        <w:bidi w:val="0"/>
        <w:adjustRightInd w:val="0"/>
        <w:snapToGrid w:val="0"/>
        <w:spacing w:beforeAutospacing="0" w:afterAutospacing="0" w:line="360" w:lineRule="auto"/>
        <w:jc w:val="left"/>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lang w:bidi="ar"/>
        </w:rPr>
        <w:t>注：1、本考核评比实行百分制,与实际服务费挂钩。</w:t>
      </w:r>
    </w:p>
    <w:p w14:paraId="03DA7F92">
      <w:pPr>
        <w:keepNext w:val="0"/>
        <w:keepLines w:val="0"/>
        <w:pageBreakBefore w:val="0"/>
        <w:kinsoku/>
        <w:wordWrap/>
        <w:overflowPunct/>
        <w:topLinePunct w:val="0"/>
        <w:autoSpaceDE w:val="0"/>
        <w:autoSpaceDN w:val="0"/>
        <w:bidi w:val="0"/>
        <w:adjustRightInd w:val="0"/>
        <w:snapToGrid w:val="0"/>
        <w:spacing w:beforeAutospacing="0" w:afterAutospacing="0" w:line="360" w:lineRule="auto"/>
        <w:ind w:firstLine="424" w:firstLineChars="202"/>
        <w:jc w:val="left"/>
        <w:textAlignment w:val="auto"/>
        <w:rPr>
          <w:rFonts w:ascii="宋体" w:hAnsi="宋体" w:eastAsia="宋体" w:cs="宋体"/>
          <w:sz w:val="21"/>
          <w:szCs w:val="21"/>
          <w:highlight w:val="none"/>
        </w:rPr>
      </w:pPr>
      <w:r>
        <w:rPr>
          <w:rFonts w:hint="eastAsia" w:ascii="宋体" w:hAnsi="宋体" w:eastAsia="宋体" w:cs="宋体"/>
          <w:kern w:val="0"/>
          <w:sz w:val="21"/>
          <w:szCs w:val="21"/>
          <w:highlight w:val="none"/>
          <w:lang w:bidi="ar"/>
        </w:rPr>
        <w:t>2、每项考评对应无扣分的，实得分等于应得分。</w:t>
      </w:r>
    </w:p>
    <w:p w14:paraId="57B6727D">
      <w:pPr>
        <w:pStyle w:val="33"/>
        <w:keepNext w:val="0"/>
        <w:keepLines w:val="0"/>
        <w:pageBreakBefore w:val="0"/>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kern w:val="0"/>
          <w:sz w:val="21"/>
          <w:szCs w:val="21"/>
          <w:highlight w:val="none"/>
          <w:lang w:eastAsia="zh-CN" w:bidi="ar"/>
        </w:rPr>
      </w:pPr>
      <w:r>
        <w:rPr>
          <w:rFonts w:hint="eastAsia" w:ascii="宋体" w:hAnsi="宋体" w:eastAsia="宋体" w:cs="宋体"/>
          <w:kern w:val="0"/>
          <w:sz w:val="21"/>
          <w:szCs w:val="21"/>
          <w:highlight w:val="none"/>
          <w:lang w:bidi="ar"/>
        </w:rPr>
        <w:t>3、</w:t>
      </w:r>
      <w:r>
        <w:rPr>
          <w:rFonts w:hint="eastAsia" w:eastAsia="宋体" w:cs="宋体"/>
          <w:sz w:val="21"/>
          <w:szCs w:val="21"/>
          <w:highlight w:val="none"/>
        </w:rPr>
        <w:t>甲方（含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分公司）每月根据考评结果情况支付实际服务费给乙方</w:t>
      </w:r>
      <w:r>
        <w:rPr>
          <w:rFonts w:hint="eastAsia" w:eastAsia="宋体" w:cs="宋体"/>
          <w:kern w:val="0"/>
          <w:sz w:val="21"/>
          <w:szCs w:val="21"/>
          <w:highlight w:val="none"/>
          <w:lang w:eastAsia="zh-CN" w:bidi="ar"/>
        </w:rPr>
        <w:t>：</w:t>
      </w:r>
    </w:p>
    <w:p w14:paraId="44E01439">
      <w:pPr>
        <w:pStyle w:val="33"/>
        <w:keepNext w:val="0"/>
        <w:keepLines w:val="0"/>
        <w:pageBreakBefore w:val="0"/>
        <w:numPr>
          <w:ilvl w:val="0"/>
          <w:numId w:val="0"/>
        </w:numPr>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eastAsia="宋体" w:cs="宋体"/>
          <w:sz w:val="21"/>
          <w:szCs w:val="21"/>
          <w:highlight w:val="none"/>
        </w:rPr>
      </w:pPr>
      <w:r>
        <w:rPr>
          <w:rFonts w:hint="eastAsia" w:ascii="宋体" w:hAnsi="宋体" w:eastAsia="宋体" w:cs="宋体"/>
          <w:kern w:val="2"/>
          <w:sz w:val="21"/>
          <w:szCs w:val="21"/>
          <w:highlight w:val="none"/>
          <w:lang w:val="en-US" w:eastAsia="zh-CN" w:bidi="ar-SA"/>
        </w:rPr>
        <w:t>（1）</w:t>
      </w:r>
      <w:r>
        <w:rPr>
          <w:rFonts w:hint="eastAsia" w:eastAsia="宋体" w:cs="宋体"/>
          <w:kern w:val="0"/>
          <w:sz w:val="21"/>
          <w:szCs w:val="21"/>
          <w:highlight w:val="none"/>
          <w:lang w:eastAsia="zh-CN" w:bidi="ar"/>
        </w:rPr>
        <w:t>当实际考核项目总分满分为100分，</w:t>
      </w:r>
      <w:r>
        <w:rPr>
          <w:rFonts w:hint="eastAsia" w:eastAsia="宋体" w:cs="宋体"/>
          <w:kern w:val="0"/>
          <w:sz w:val="21"/>
          <w:szCs w:val="21"/>
          <w:highlight w:val="none"/>
          <w:lang w:bidi="ar"/>
        </w:rPr>
        <w:t>如</w:t>
      </w:r>
      <w:r>
        <w:rPr>
          <w:rFonts w:hint="eastAsia" w:eastAsia="宋体" w:cs="宋体"/>
          <w:sz w:val="21"/>
          <w:szCs w:val="21"/>
          <w:highlight w:val="none"/>
        </w:rPr>
        <w:t>甲方（含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分公司）对乙方的服务考核评分达到90分或以上的，该月服务费全额支付；如</w:t>
      </w:r>
      <w:r>
        <w:rPr>
          <w:rFonts w:hint="eastAsia" w:eastAsia="宋体" w:cs="宋体"/>
          <w:sz w:val="21"/>
          <w:szCs w:val="21"/>
          <w:highlight w:val="none"/>
        </w:rPr>
        <w:t>甲方（含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分公司）对乙方的服务考核评分不足90分的，该月实际支付的服务费=该月应支付服务费×当月考核评分占比；如发现累计两个月未达到60分时，且乙方没有提供令甲方</w:t>
      </w:r>
      <w:r>
        <w:rPr>
          <w:rFonts w:hint="eastAsia" w:eastAsia="宋体" w:cs="宋体"/>
          <w:sz w:val="21"/>
          <w:szCs w:val="21"/>
          <w:highlight w:val="none"/>
        </w:rPr>
        <w:t>（含</w:t>
      </w:r>
      <w:r>
        <w:rPr>
          <w:rFonts w:hint="eastAsia" w:ascii="宋体" w:hAnsi="宋体" w:eastAsia="宋体" w:cs="宋体"/>
          <w:kern w:val="0"/>
          <w:sz w:val="21"/>
          <w:szCs w:val="21"/>
          <w:highlight w:val="none"/>
          <w:lang w:bidi="ar"/>
        </w:rPr>
        <w:t>其权属</w:t>
      </w:r>
      <w:r>
        <w:rPr>
          <w:rFonts w:hint="eastAsia" w:eastAsia="宋体" w:cs="宋体"/>
          <w:kern w:val="0"/>
          <w:sz w:val="21"/>
          <w:szCs w:val="21"/>
          <w:highlight w:val="none"/>
          <w:lang w:bidi="ar"/>
        </w:rPr>
        <w:t>分公司）认可的整改方案的，甲方有权单方解除合同</w:t>
      </w:r>
      <w:r>
        <w:rPr>
          <w:rFonts w:hint="eastAsia" w:eastAsia="宋体" w:cs="宋体"/>
          <w:sz w:val="21"/>
          <w:szCs w:val="21"/>
          <w:highlight w:val="none"/>
        </w:rPr>
        <w:t>。</w:t>
      </w:r>
    </w:p>
    <w:p w14:paraId="1E9A4757">
      <w:pPr>
        <w:pStyle w:val="33"/>
        <w:keepNext w:val="0"/>
        <w:keepLines w:val="0"/>
        <w:pageBreakBefore w:val="0"/>
        <w:numPr>
          <w:ilvl w:val="0"/>
          <w:numId w:val="0"/>
        </w:numPr>
        <w:kinsoku/>
        <w:wordWrap/>
        <w:overflowPunct/>
        <w:topLinePunct w:val="0"/>
        <w:bidi w:val="0"/>
        <w:adjustRightInd/>
        <w:snapToGrid/>
        <w:spacing w:before="0" w:beforeAutospacing="0" w:after="0" w:afterAutospacing="0" w:line="360" w:lineRule="auto"/>
        <w:ind w:left="0" w:right="0" w:firstLine="420" w:firstLineChars="200"/>
        <w:jc w:val="both"/>
        <w:textAlignment w:val="auto"/>
        <w:rPr>
          <w:rFonts w:hint="eastAsia" w:ascii="宋体" w:hAnsi="宋体" w:eastAsia="宋体" w:cs="宋体"/>
          <w:kern w:val="2"/>
          <w:sz w:val="21"/>
          <w:szCs w:val="21"/>
          <w:highlight w:val="none"/>
          <w:lang w:val="en-US" w:eastAsia="zh-CN" w:bidi="ar-SA"/>
        </w:rPr>
      </w:pPr>
      <w:r>
        <w:rPr>
          <w:rFonts w:hint="eastAsia" w:ascii="宋体" w:hAnsi="宋体" w:eastAsia="宋体" w:cs="宋体"/>
          <w:kern w:val="2"/>
          <w:sz w:val="21"/>
          <w:szCs w:val="21"/>
          <w:highlight w:val="none"/>
          <w:lang w:val="en-US" w:eastAsia="zh-CN" w:bidi="ar-SA"/>
        </w:rPr>
        <w:t>（2）当实际考核项目总分满分不足100分，将考核分数按百分制进行折算（折算分数=实际得分/满分×100），折算后高于90%或以上的，该月服务费全额支付；如甲方（含其权属分公司）对乙方的服务考核评分折算后不足90%的，该月实际支付的服务费=该月应支付服务费×（折算分数/100）；如发现累计两个月折算后未达到60%时，且乙方没有提供令甲方（含其权属分公司）认可的整改方案的，甲方有权单方解除合同。</w:t>
      </w:r>
    </w:p>
    <w:p w14:paraId="0C45E1E7">
      <w:pPr>
        <w:pStyle w:val="33"/>
        <w:keepNext w:val="0"/>
        <w:keepLines w:val="0"/>
        <w:pageBreakBefore w:val="0"/>
        <w:kinsoku/>
        <w:wordWrap/>
        <w:overflowPunct/>
        <w:topLinePunct w:val="0"/>
        <w:bidi w:val="0"/>
        <w:snapToGrid w:val="0"/>
        <w:spacing w:before="0" w:beforeAutospacing="0" w:after="0" w:afterAutospacing="0" w:line="360" w:lineRule="auto"/>
        <w:jc w:val="both"/>
        <w:textAlignment w:val="auto"/>
        <w:rPr>
          <w:rFonts w:eastAsia="宋体" w:cs="宋体"/>
          <w:b/>
          <w:sz w:val="21"/>
          <w:szCs w:val="21"/>
          <w:highlight w:val="none"/>
        </w:rPr>
      </w:pPr>
    </w:p>
    <w:p w14:paraId="4251B4C4">
      <w:pPr>
        <w:rPr>
          <w:rFonts w:ascii="宋体" w:hAnsi="宋体" w:eastAsia="宋体" w:cs="宋体"/>
          <w:b/>
          <w:kern w:val="0"/>
          <w:sz w:val="24"/>
          <w:szCs w:val="24"/>
          <w:highlight w:val="none"/>
          <w:lang w:bidi="ar"/>
        </w:rPr>
        <w:sectPr>
          <w:footerReference r:id="rId6" w:type="first"/>
          <w:footerReference r:id="rId5" w:type="default"/>
          <w:pgSz w:w="11906" w:h="16838"/>
          <w:pgMar w:top="1440" w:right="1080" w:bottom="1440" w:left="1080" w:header="851" w:footer="992" w:gutter="0"/>
          <w:cols w:space="720" w:num="1"/>
          <w:titlePg/>
          <w:docGrid w:type="lines" w:linePitch="312" w:charSpace="0"/>
        </w:sectPr>
      </w:pPr>
    </w:p>
    <w:p w14:paraId="6A5DF498">
      <w:pPr>
        <w:pStyle w:val="5"/>
        <w:keepNext w:val="0"/>
        <w:keepLines w:val="0"/>
        <w:pageBreakBefore w:val="0"/>
        <w:widowControl/>
        <w:kinsoku/>
        <w:wordWrap/>
        <w:overflowPunct/>
        <w:topLinePunct w:val="0"/>
        <w:bidi w:val="0"/>
        <w:snapToGrid/>
        <w:spacing w:line="360" w:lineRule="auto"/>
        <w:rPr>
          <w:rFonts w:hint="eastAsia" w:ascii="宋体" w:hAnsi="宋体" w:eastAsia="宋体" w:cs="宋体"/>
          <w:b/>
          <w:sz w:val="21"/>
          <w:szCs w:val="21"/>
          <w:highlight w:val="none"/>
        </w:rPr>
      </w:pPr>
      <w:r>
        <w:rPr>
          <w:rFonts w:hint="eastAsia" w:ascii="宋体" w:hAnsi="宋体" w:eastAsia="宋体" w:cs="宋体"/>
          <w:b/>
          <w:sz w:val="21"/>
          <w:szCs w:val="21"/>
          <w:highlight w:val="none"/>
        </w:rPr>
        <w:t>附件三：清洁保洁危险作业交底表</w:t>
      </w:r>
    </w:p>
    <w:tbl>
      <w:tblPr>
        <w:tblStyle w:val="37"/>
        <w:tblW w:w="5000" w:type="pct"/>
        <w:tblInd w:w="0" w:type="dxa"/>
        <w:tblLayout w:type="autofit"/>
        <w:tblCellMar>
          <w:top w:w="0" w:type="dxa"/>
          <w:left w:w="0" w:type="dxa"/>
          <w:bottom w:w="0" w:type="dxa"/>
          <w:right w:w="0" w:type="dxa"/>
        </w:tblCellMar>
      </w:tblPr>
      <w:tblGrid>
        <w:gridCol w:w="598"/>
        <w:gridCol w:w="960"/>
        <w:gridCol w:w="1085"/>
        <w:gridCol w:w="929"/>
        <w:gridCol w:w="1326"/>
        <w:gridCol w:w="1192"/>
        <w:gridCol w:w="2121"/>
        <w:gridCol w:w="1855"/>
        <w:gridCol w:w="1779"/>
        <w:gridCol w:w="2143"/>
      </w:tblGrid>
      <w:tr w14:paraId="06F0AFD3">
        <w:tblPrEx>
          <w:tblCellMar>
            <w:top w:w="0" w:type="dxa"/>
            <w:left w:w="0" w:type="dxa"/>
            <w:bottom w:w="0" w:type="dxa"/>
            <w:right w:w="0" w:type="dxa"/>
          </w:tblCellMar>
        </w:tblPrEx>
        <w:trPr>
          <w:trHeight w:val="717" w:hRule="atLeast"/>
        </w:trPr>
        <w:tc>
          <w:tcPr>
            <w:tcW w:w="5000" w:type="pct"/>
            <w:gridSpan w:val="10"/>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E7066AF">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bidi="ar"/>
              </w:rPr>
              <w:t>清洁保洁危险作业交底表（XX年X月）</w:t>
            </w:r>
          </w:p>
        </w:tc>
      </w:tr>
      <w:tr w14:paraId="4A08B6B4">
        <w:tblPrEx>
          <w:tblCellMar>
            <w:top w:w="0" w:type="dxa"/>
            <w:left w:w="0" w:type="dxa"/>
            <w:bottom w:w="0" w:type="dxa"/>
            <w:right w:w="0" w:type="dxa"/>
          </w:tblCellMar>
        </w:tblPrEx>
        <w:trPr>
          <w:trHeight w:val="612"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60523FD0">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bidi="ar"/>
              </w:rPr>
              <w:t>序号</w:t>
            </w:r>
          </w:p>
        </w:tc>
        <w:tc>
          <w:tcPr>
            <w:tcW w:w="34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62C13CC">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bidi="ar"/>
              </w:rPr>
              <w:t>日期</w:t>
            </w:r>
          </w:p>
        </w:tc>
        <w:tc>
          <w:tcPr>
            <w:tcW w:w="38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45353A39">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bidi="ar"/>
              </w:rPr>
              <w:t>作业内容</w:t>
            </w:r>
          </w:p>
        </w:tc>
        <w:tc>
          <w:tcPr>
            <w:tcW w:w="33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1F5C1B4">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bidi="ar"/>
              </w:rPr>
              <w:t>作业地点</w:t>
            </w:r>
          </w:p>
        </w:tc>
        <w:tc>
          <w:tcPr>
            <w:tcW w:w="47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DA309AF">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bidi="ar"/>
              </w:rPr>
              <w:t>作业时间</w:t>
            </w:r>
          </w:p>
        </w:tc>
        <w:tc>
          <w:tcPr>
            <w:tcW w:w="42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80A7E6">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bidi="ar"/>
              </w:rPr>
              <w:t>作业人员</w:t>
            </w:r>
          </w:p>
        </w:tc>
        <w:tc>
          <w:tcPr>
            <w:tcW w:w="75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F9009FB">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bidi="ar"/>
              </w:rPr>
              <w:t>作业装备情况</w:t>
            </w:r>
          </w:p>
        </w:tc>
        <w:tc>
          <w:tcPr>
            <w:tcW w:w="663"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25F514C">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bidi="ar"/>
              </w:rPr>
              <w:t>服务单位管理员签名</w:t>
            </w:r>
          </w:p>
        </w:tc>
        <w:tc>
          <w:tcPr>
            <w:tcW w:w="63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634EEE8A">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bidi="ar"/>
              </w:rPr>
              <w:t>厂区管理人员签名</w:t>
            </w:r>
          </w:p>
        </w:tc>
        <w:tc>
          <w:tcPr>
            <w:tcW w:w="76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2517EFB9">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b/>
                <w:sz w:val="21"/>
                <w:szCs w:val="21"/>
                <w:highlight w:val="none"/>
              </w:rPr>
            </w:pPr>
            <w:r>
              <w:rPr>
                <w:rFonts w:hint="eastAsia" w:ascii="宋体" w:hAnsi="宋体" w:eastAsia="宋体" w:cs="宋体"/>
                <w:b/>
                <w:sz w:val="21"/>
                <w:szCs w:val="21"/>
                <w:highlight w:val="none"/>
                <w:lang w:bidi="ar"/>
              </w:rPr>
              <w:t>危险作业范围</w:t>
            </w:r>
          </w:p>
        </w:tc>
      </w:tr>
      <w:tr w14:paraId="301E0E4F">
        <w:tblPrEx>
          <w:tblCellMar>
            <w:top w:w="0" w:type="dxa"/>
            <w:left w:w="0" w:type="dxa"/>
            <w:bottom w:w="0" w:type="dxa"/>
            <w:right w:w="0" w:type="dxa"/>
          </w:tblCellMar>
        </w:tblPrEx>
        <w:trPr>
          <w:trHeight w:val="570"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B336A44">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例1</w:t>
            </w:r>
          </w:p>
        </w:tc>
        <w:tc>
          <w:tcPr>
            <w:tcW w:w="34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B1EB3A5">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3月1日</w:t>
            </w:r>
          </w:p>
        </w:tc>
        <w:tc>
          <w:tcPr>
            <w:tcW w:w="38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19376544">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二沉池清洗</w:t>
            </w:r>
          </w:p>
        </w:tc>
        <w:tc>
          <w:tcPr>
            <w:tcW w:w="332"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77A25D43">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1号二沉池</w:t>
            </w:r>
          </w:p>
        </w:tc>
        <w:tc>
          <w:tcPr>
            <w:tcW w:w="474"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0718D0E5">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15：00-17：00</w:t>
            </w:r>
          </w:p>
        </w:tc>
        <w:tc>
          <w:tcPr>
            <w:tcW w:w="426"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5EAF5DEA">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张一、张二</w:t>
            </w:r>
          </w:p>
        </w:tc>
        <w:tc>
          <w:tcPr>
            <w:tcW w:w="758" w:type="pct"/>
            <w:tcBorders>
              <w:top w:val="single" w:color="000000" w:sz="4" w:space="0"/>
              <w:left w:val="nil"/>
              <w:bottom w:val="single" w:color="000000" w:sz="4" w:space="0"/>
              <w:right w:val="single" w:color="000000" w:sz="4" w:space="0"/>
            </w:tcBorders>
            <w:shd w:val="clear" w:color="auto" w:fill="auto"/>
            <w:tcMar>
              <w:top w:w="15" w:type="dxa"/>
              <w:left w:w="15" w:type="dxa"/>
              <w:right w:w="15" w:type="dxa"/>
            </w:tcMar>
            <w:vAlign w:val="center"/>
          </w:tcPr>
          <w:p w14:paraId="3C8386D7">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已系安全绳、已穿救生衣（是否符合安全标准）</w:t>
            </w:r>
          </w:p>
        </w:tc>
        <w:tc>
          <w:tcPr>
            <w:tcW w:w="66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BAE4257">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李四</w:t>
            </w:r>
          </w:p>
        </w:tc>
        <w:tc>
          <w:tcPr>
            <w:tcW w:w="63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1D6AAC8">
            <w:pPr>
              <w:keepNext w:val="0"/>
              <w:keepLines w:val="0"/>
              <w:pageBreakBefore w:val="0"/>
              <w:widowControl/>
              <w:kinsoku/>
              <w:wordWrap/>
              <w:overflowPunct/>
              <w:topLinePunct w:val="0"/>
              <w:autoSpaceDE w:val="0"/>
              <w:autoSpaceDN w:val="0"/>
              <w:bidi w:val="0"/>
              <w:adjustRightInd w:val="0"/>
              <w:snapToGrid/>
              <w:jc w:val="center"/>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吴五</w:t>
            </w:r>
          </w:p>
        </w:tc>
        <w:tc>
          <w:tcPr>
            <w:tcW w:w="766" w:type="pct"/>
            <w:vMerge w:val="restart"/>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F381C06">
            <w:pPr>
              <w:widowControl/>
              <w:jc w:val="left"/>
              <w:textAlignment w:val="center"/>
              <w:rPr>
                <w:rFonts w:hint="eastAsia" w:ascii="宋体" w:hAnsi="宋体" w:eastAsia="宋体" w:cs="宋体"/>
                <w:sz w:val="21"/>
                <w:szCs w:val="21"/>
                <w:highlight w:val="none"/>
                <w:lang w:eastAsia="zh-CN" w:bidi="ar"/>
              </w:rPr>
            </w:pPr>
            <w:r>
              <w:rPr>
                <w:rFonts w:hint="eastAsia" w:ascii="宋体" w:hAnsi="宋体" w:eastAsia="宋体" w:cs="宋体"/>
                <w:sz w:val="21"/>
                <w:szCs w:val="21"/>
                <w:highlight w:val="none"/>
                <w:lang w:bidi="ar"/>
              </w:rPr>
              <w:t>1、水面垃圾打捞。(含取水口、絮凝池、沉淀池、滤池等构筑物)。</w:t>
            </w:r>
          </w:p>
          <w:p w14:paraId="2211A706">
            <w:pPr>
              <w:pStyle w:val="2"/>
              <w:rPr>
                <w:rFonts w:hint="eastAsia"/>
                <w:highlight w:val="none"/>
                <w:lang w:eastAsia="zh-CN"/>
              </w:rPr>
            </w:pPr>
          </w:p>
          <w:p w14:paraId="3977A4FB">
            <w:pPr>
              <w:keepNext w:val="0"/>
              <w:keepLines w:val="0"/>
              <w:pageBreakBefore w:val="0"/>
              <w:widowControl/>
              <w:kinsoku/>
              <w:wordWrap/>
              <w:overflowPunct/>
              <w:topLinePunct w:val="0"/>
              <w:autoSpaceDE w:val="0"/>
              <w:autoSpaceDN w:val="0"/>
              <w:bidi w:val="0"/>
              <w:adjustRightInd w:val="0"/>
              <w:snapToGrid/>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2、吸水井、</w:t>
            </w:r>
            <w:r>
              <w:rPr>
                <w:rFonts w:hint="eastAsia" w:ascii="宋体" w:hAnsi="宋体" w:eastAsia="宋体" w:cs="宋体"/>
                <w:sz w:val="21"/>
                <w:szCs w:val="21"/>
                <w:highlight w:val="none"/>
                <w:lang w:val="en-US" w:eastAsia="zh-CN" w:bidi="ar"/>
              </w:rPr>
              <w:t>消毒</w:t>
            </w:r>
            <w:r>
              <w:rPr>
                <w:rFonts w:hint="eastAsia" w:ascii="宋体" w:hAnsi="宋体" w:eastAsia="宋体" w:cs="宋体"/>
                <w:sz w:val="21"/>
                <w:szCs w:val="21"/>
                <w:highlight w:val="none"/>
                <w:lang w:bidi="ar"/>
              </w:rPr>
              <w:t>接触池、清水池</w:t>
            </w:r>
            <w:r>
              <w:rPr>
                <w:rFonts w:hint="eastAsia" w:ascii="宋体" w:hAnsi="宋体" w:eastAsia="宋体" w:cs="宋体"/>
                <w:sz w:val="21"/>
                <w:szCs w:val="21"/>
                <w:highlight w:val="none"/>
                <w:lang w:val="en-US" w:eastAsia="zh-CN" w:bidi="ar"/>
              </w:rPr>
              <w:t>等</w:t>
            </w:r>
            <w:r>
              <w:rPr>
                <w:rFonts w:hint="eastAsia" w:ascii="宋体" w:hAnsi="宋体" w:eastAsia="宋体" w:cs="宋体"/>
                <w:sz w:val="21"/>
                <w:szCs w:val="21"/>
                <w:highlight w:val="none"/>
                <w:lang w:bidi="ar"/>
              </w:rPr>
              <w:t>构筑物池内清洗。</w:t>
            </w:r>
          </w:p>
          <w:p w14:paraId="3362A679">
            <w:pPr>
              <w:keepNext w:val="0"/>
              <w:keepLines w:val="0"/>
              <w:pageBreakBefore w:val="0"/>
              <w:widowControl/>
              <w:kinsoku/>
              <w:wordWrap/>
              <w:overflowPunct/>
              <w:topLinePunct w:val="0"/>
              <w:autoSpaceDE w:val="0"/>
              <w:autoSpaceDN w:val="0"/>
              <w:bidi w:val="0"/>
              <w:adjustRightInd w:val="0"/>
              <w:snapToGrid/>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3、清理杂草丛。</w:t>
            </w:r>
          </w:p>
        </w:tc>
      </w:tr>
      <w:tr w14:paraId="637CE4FE">
        <w:tblPrEx>
          <w:tblCellMar>
            <w:top w:w="0" w:type="dxa"/>
            <w:left w:w="0" w:type="dxa"/>
            <w:bottom w:w="0" w:type="dxa"/>
            <w:right w:w="0" w:type="dxa"/>
          </w:tblCellMar>
        </w:tblPrEx>
        <w:trPr>
          <w:trHeight w:val="383"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2022C5BC">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34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9104D8E">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38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40E136">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33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1C9B769">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47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114656">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42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E4C60DD">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75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C3A6852">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66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345CC52">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63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5169F17">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76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EF3D216">
            <w:pPr>
              <w:keepNext w:val="0"/>
              <w:keepLines w:val="0"/>
              <w:pageBreakBefore w:val="0"/>
              <w:kinsoku/>
              <w:wordWrap/>
              <w:overflowPunct/>
              <w:topLinePunct w:val="0"/>
              <w:bidi w:val="0"/>
              <w:snapToGrid/>
              <w:rPr>
                <w:rFonts w:hint="eastAsia" w:ascii="宋体" w:hAnsi="宋体" w:eastAsia="宋体" w:cs="宋体"/>
                <w:sz w:val="21"/>
                <w:szCs w:val="21"/>
                <w:highlight w:val="none"/>
              </w:rPr>
            </w:pPr>
          </w:p>
        </w:tc>
      </w:tr>
      <w:tr w14:paraId="20460F2B">
        <w:tblPrEx>
          <w:tblCellMar>
            <w:top w:w="0" w:type="dxa"/>
            <w:left w:w="0" w:type="dxa"/>
            <w:bottom w:w="0" w:type="dxa"/>
            <w:right w:w="0" w:type="dxa"/>
          </w:tblCellMar>
        </w:tblPrEx>
        <w:trPr>
          <w:trHeight w:val="383"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A02F3CE">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34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0453F782">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38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AF40449">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33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E3166FF">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47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509AD30">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42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0BF328D">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75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704B3274">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66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559FE17">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63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4A568C9">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76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26F5B9C1">
            <w:pPr>
              <w:keepNext w:val="0"/>
              <w:keepLines w:val="0"/>
              <w:pageBreakBefore w:val="0"/>
              <w:kinsoku/>
              <w:wordWrap/>
              <w:overflowPunct/>
              <w:topLinePunct w:val="0"/>
              <w:bidi w:val="0"/>
              <w:snapToGrid/>
              <w:rPr>
                <w:rFonts w:hint="eastAsia" w:ascii="宋体" w:hAnsi="宋体" w:eastAsia="宋体" w:cs="宋体"/>
                <w:sz w:val="21"/>
                <w:szCs w:val="21"/>
                <w:highlight w:val="none"/>
              </w:rPr>
            </w:pPr>
          </w:p>
        </w:tc>
      </w:tr>
      <w:tr w14:paraId="4A268036">
        <w:tblPrEx>
          <w:tblCellMar>
            <w:top w:w="0" w:type="dxa"/>
            <w:left w:w="0" w:type="dxa"/>
            <w:bottom w:w="0" w:type="dxa"/>
            <w:right w:w="0" w:type="dxa"/>
          </w:tblCellMar>
        </w:tblPrEx>
        <w:trPr>
          <w:trHeight w:val="383"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7432130C">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34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9D29AC">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38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0E2E2B6">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33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6955435">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47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5440E1B">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42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E65047">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75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3F45E4">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66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56CCC8AA">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63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D515794">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76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2117044">
            <w:pPr>
              <w:keepNext w:val="0"/>
              <w:keepLines w:val="0"/>
              <w:pageBreakBefore w:val="0"/>
              <w:kinsoku/>
              <w:wordWrap/>
              <w:overflowPunct/>
              <w:topLinePunct w:val="0"/>
              <w:bidi w:val="0"/>
              <w:snapToGrid/>
              <w:rPr>
                <w:rFonts w:hint="eastAsia" w:ascii="宋体" w:hAnsi="宋体" w:eastAsia="宋体" w:cs="宋体"/>
                <w:sz w:val="21"/>
                <w:szCs w:val="21"/>
                <w:highlight w:val="none"/>
              </w:rPr>
            </w:pPr>
          </w:p>
        </w:tc>
      </w:tr>
      <w:tr w14:paraId="731C73DE">
        <w:tblPrEx>
          <w:tblCellMar>
            <w:top w:w="0" w:type="dxa"/>
            <w:left w:w="0" w:type="dxa"/>
            <w:bottom w:w="0" w:type="dxa"/>
            <w:right w:w="0" w:type="dxa"/>
          </w:tblCellMar>
        </w:tblPrEx>
        <w:trPr>
          <w:trHeight w:val="383" w:hRule="atLeast"/>
        </w:trPr>
        <w:tc>
          <w:tcPr>
            <w:tcW w:w="214" w:type="pct"/>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0AD32618">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343" w:type="pct"/>
            <w:tcBorders>
              <w:top w:val="single" w:color="000000" w:sz="4" w:space="0"/>
              <w:left w:val="nil"/>
              <w:bottom w:val="nil"/>
              <w:right w:val="single" w:color="000000" w:sz="4" w:space="0"/>
            </w:tcBorders>
            <w:shd w:val="clear" w:color="auto" w:fill="auto"/>
            <w:noWrap/>
            <w:tcMar>
              <w:top w:w="15" w:type="dxa"/>
              <w:left w:w="15" w:type="dxa"/>
              <w:right w:w="15" w:type="dxa"/>
            </w:tcMar>
            <w:vAlign w:val="center"/>
          </w:tcPr>
          <w:p w14:paraId="229A381F">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38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FA8FB37">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332"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497E931D">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474"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300B8B1">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42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2C11730B">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758"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1EE7865E">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663"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3340B11E">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636" w:type="pct"/>
            <w:tcBorders>
              <w:top w:val="single" w:color="000000" w:sz="4" w:space="0"/>
              <w:left w:val="nil"/>
              <w:bottom w:val="single" w:color="000000" w:sz="4" w:space="0"/>
              <w:right w:val="single" w:color="000000" w:sz="4" w:space="0"/>
            </w:tcBorders>
            <w:shd w:val="clear" w:color="auto" w:fill="auto"/>
            <w:noWrap/>
            <w:tcMar>
              <w:top w:w="15" w:type="dxa"/>
              <w:left w:w="15" w:type="dxa"/>
              <w:right w:w="15" w:type="dxa"/>
            </w:tcMar>
            <w:vAlign w:val="center"/>
          </w:tcPr>
          <w:p w14:paraId="6822F065">
            <w:pPr>
              <w:keepNext w:val="0"/>
              <w:keepLines w:val="0"/>
              <w:pageBreakBefore w:val="0"/>
              <w:kinsoku/>
              <w:wordWrap/>
              <w:overflowPunct/>
              <w:topLinePunct w:val="0"/>
              <w:autoSpaceDE w:val="0"/>
              <w:autoSpaceDN w:val="0"/>
              <w:bidi w:val="0"/>
              <w:adjustRightInd w:val="0"/>
              <w:snapToGrid/>
              <w:jc w:val="center"/>
              <w:rPr>
                <w:rFonts w:hint="eastAsia" w:ascii="宋体" w:hAnsi="宋体" w:eastAsia="宋体" w:cs="宋体"/>
                <w:sz w:val="21"/>
                <w:szCs w:val="21"/>
                <w:highlight w:val="none"/>
              </w:rPr>
            </w:pPr>
          </w:p>
        </w:tc>
        <w:tc>
          <w:tcPr>
            <w:tcW w:w="76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5CC50ABA">
            <w:pPr>
              <w:keepNext w:val="0"/>
              <w:keepLines w:val="0"/>
              <w:pageBreakBefore w:val="0"/>
              <w:kinsoku/>
              <w:wordWrap/>
              <w:overflowPunct/>
              <w:topLinePunct w:val="0"/>
              <w:bidi w:val="0"/>
              <w:snapToGrid/>
              <w:rPr>
                <w:rFonts w:hint="eastAsia" w:ascii="宋体" w:hAnsi="宋体" w:eastAsia="宋体" w:cs="宋体"/>
                <w:sz w:val="21"/>
                <w:szCs w:val="21"/>
                <w:highlight w:val="none"/>
              </w:rPr>
            </w:pPr>
          </w:p>
        </w:tc>
      </w:tr>
      <w:tr w14:paraId="07A9D5F4">
        <w:tblPrEx>
          <w:tblCellMar>
            <w:top w:w="0" w:type="dxa"/>
            <w:left w:w="0" w:type="dxa"/>
            <w:bottom w:w="0" w:type="dxa"/>
            <w:right w:w="0" w:type="dxa"/>
          </w:tblCellMar>
        </w:tblPrEx>
        <w:trPr>
          <w:trHeight w:val="383" w:hRule="atLeast"/>
        </w:trPr>
        <w:tc>
          <w:tcPr>
            <w:tcW w:w="4234" w:type="pct"/>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5116DD1">
            <w:pPr>
              <w:keepNext w:val="0"/>
              <w:keepLines w:val="0"/>
              <w:pageBreakBefore w:val="0"/>
              <w:widowControl/>
              <w:kinsoku/>
              <w:wordWrap/>
              <w:overflowPunct/>
              <w:topLinePunct w:val="0"/>
              <w:autoSpaceDE w:val="0"/>
              <w:autoSpaceDN w:val="0"/>
              <w:bidi w:val="0"/>
              <w:adjustRightInd w:val="0"/>
              <w:snapToGrid/>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工作要求：</w:t>
            </w:r>
          </w:p>
        </w:tc>
        <w:tc>
          <w:tcPr>
            <w:tcW w:w="76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7FFDAC42">
            <w:pPr>
              <w:keepNext w:val="0"/>
              <w:keepLines w:val="0"/>
              <w:pageBreakBefore w:val="0"/>
              <w:kinsoku/>
              <w:wordWrap/>
              <w:overflowPunct/>
              <w:topLinePunct w:val="0"/>
              <w:bidi w:val="0"/>
              <w:snapToGrid/>
              <w:rPr>
                <w:rFonts w:hint="eastAsia" w:ascii="宋体" w:hAnsi="宋体" w:eastAsia="宋体" w:cs="宋体"/>
                <w:sz w:val="21"/>
                <w:szCs w:val="21"/>
                <w:highlight w:val="none"/>
              </w:rPr>
            </w:pPr>
          </w:p>
        </w:tc>
      </w:tr>
      <w:tr w14:paraId="3A8662CA">
        <w:tblPrEx>
          <w:tblCellMar>
            <w:top w:w="0" w:type="dxa"/>
            <w:left w:w="0" w:type="dxa"/>
            <w:bottom w:w="0" w:type="dxa"/>
            <w:right w:w="0" w:type="dxa"/>
          </w:tblCellMar>
        </w:tblPrEx>
        <w:trPr>
          <w:trHeight w:val="383" w:hRule="atLeast"/>
        </w:trPr>
        <w:tc>
          <w:tcPr>
            <w:tcW w:w="4234" w:type="pct"/>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3CBA51EE">
            <w:pPr>
              <w:keepNext w:val="0"/>
              <w:keepLines w:val="0"/>
              <w:pageBreakBefore w:val="0"/>
              <w:widowControl/>
              <w:kinsoku/>
              <w:wordWrap/>
              <w:overflowPunct/>
              <w:topLinePunct w:val="0"/>
              <w:autoSpaceDE w:val="0"/>
              <w:autoSpaceDN w:val="0"/>
              <w:bidi w:val="0"/>
              <w:adjustRightInd w:val="0"/>
              <w:snapToGrid/>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1、危险作业前，必须检查作业工具是否完好，做好交底工作。</w:t>
            </w:r>
          </w:p>
        </w:tc>
        <w:tc>
          <w:tcPr>
            <w:tcW w:w="76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973D73C">
            <w:pPr>
              <w:keepNext w:val="0"/>
              <w:keepLines w:val="0"/>
              <w:pageBreakBefore w:val="0"/>
              <w:kinsoku/>
              <w:wordWrap/>
              <w:overflowPunct/>
              <w:topLinePunct w:val="0"/>
              <w:bidi w:val="0"/>
              <w:snapToGrid/>
              <w:rPr>
                <w:rFonts w:hint="eastAsia" w:ascii="宋体" w:hAnsi="宋体" w:eastAsia="宋体" w:cs="宋体"/>
                <w:sz w:val="21"/>
                <w:szCs w:val="21"/>
                <w:highlight w:val="none"/>
              </w:rPr>
            </w:pPr>
          </w:p>
        </w:tc>
      </w:tr>
      <w:tr w14:paraId="7C44006E">
        <w:tblPrEx>
          <w:tblCellMar>
            <w:top w:w="0" w:type="dxa"/>
            <w:left w:w="0" w:type="dxa"/>
            <w:bottom w:w="0" w:type="dxa"/>
            <w:right w:w="0" w:type="dxa"/>
          </w:tblCellMar>
        </w:tblPrEx>
        <w:trPr>
          <w:trHeight w:val="383" w:hRule="atLeast"/>
        </w:trPr>
        <w:tc>
          <w:tcPr>
            <w:tcW w:w="4234" w:type="pct"/>
            <w:gridSpan w:val="9"/>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14:paraId="286FE744">
            <w:pPr>
              <w:keepNext w:val="0"/>
              <w:keepLines w:val="0"/>
              <w:pageBreakBefore w:val="0"/>
              <w:widowControl/>
              <w:kinsoku/>
              <w:wordWrap/>
              <w:overflowPunct/>
              <w:topLinePunct w:val="0"/>
              <w:autoSpaceDE w:val="0"/>
              <w:autoSpaceDN w:val="0"/>
              <w:bidi w:val="0"/>
              <w:adjustRightInd w:val="0"/>
              <w:snapToGrid/>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2、危险作业时，必须做好安全防护措施（穿戴救生衣、安全带</w:t>
            </w:r>
            <w:r>
              <w:rPr>
                <w:rFonts w:hint="eastAsia" w:ascii="宋体" w:hAnsi="宋体" w:eastAsia="宋体" w:cs="宋体"/>
                <w:color w:val="auto"/>
                <w:kern w:val="0"/>
                <w:szCs w:val="21"/>
                <w:highlight w:val="none"/>
                <w:lang w:eastAsia="zh-CN" w:bidi="ar"/>
              </w:rPr>
              <w:t>（</w:t>
            </w:r>
            <w:r>
              <w:rPr>
                <w:rFonts w:hint="eastAsia" w:ascii="宋体" w:hAnsi="宋体" w:eastAsia="宋体" w:cs="宋体"/>
                <w:color w:val="auto"/>
                <w:kern w:val="0"/>
                <w:szCs w:val="21"/>
                <w:highlight w:val="none"/>
                <w:lang w:val="en-US" w:eastAsia="zh-CN" w:bidi="ar"/>
              </w:rPr>
              <w:t>绳</w:t>
            </w:r>
            <w:r>
              <w:rPr>
                <w:rFonts w:hint="eastAsia" w:ascii="宋体" w:hAnsi="宋体" w:eastAsia="宋体" w:cs="宋体"/>
                <w:color w:val="auto"/>
                <w:kern w:val="0"/>
                <w:szCs w:val="21"/>
                <w:highlight w:val="none"/>
                <w:lang w:eastAsia="zh-CN" w:bidi="ar"/>
              </w:rPr>
              <w:t>）</w:t>
            </w:r>
            <w:r>
              <w:rPr>
                <w:rFonts w:hint="eastAsia" w:ascii="宋体" w:hAnsi="宋体" w:eastAsia="宋体" w:cs="宋体"/>
                <w:sz w:val="21"/>
                <w:szCs w:val="21"/>
                <w:highlight w:val="none"/>
                <w:lang w:bidi="ar"/>
              </w:rPr>
              <w:t>、水鞋、手套等），需2人或以上为一组进行协同作业，不能单独作业。</w:t>
            </w:r>
          </w:p>
        </w:tc>
        <w:tc>
          <w:tcPr>
            <w:tcW w:w="76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074CD27">
            <w:pPr>
              <w:keepNext w:val="0"/>
              <w:keepLines w:val="0"/>
              <w:pageBreakBefore w:val="0"/>
              <w:kinsoku/>
              <w:wordWrap/>
              <w:overflowPunct/>
              <w:topLinePunct w:val="0"/>
              <w:bidi w:val="0"/>
              <w:snapToGrid/>
              <w:rPr>
                <w:rFonts w:hint="eastAsia" w:ascii="宋体" w:hAnsi="宋体" w:eastAsia="宋体" w:cs="宋体"/>
                <w:sz w:val="21"/>
                <w:szCs w:val="21"/>
                <w:highlight w:val="none"/>
              </w:rPr>
            </w:pPr>
          </w:p>
        </w:tc>
      </w:tr>
      <w:tr w14:paraId="37A39D05">
        <w:tblPrEx>
          <w:tblCellMar>
            <w:top w:w="0" w:type="dxa"/>
            <w:left w:w="0" w:type="dxa"/>
            <w:bottom w:w="0" w:type="dxa"/>
            <w:right w:w="0" w:type="dxa"/>
          </w:tblCellMar>
        </w:tblPrEx>
        <w:trPr>
          <w:trHeight w:val="383" w:hRule="atLeast"/>
        </w:trPr>
        <w:tc>
          <w:tcPr>
            <w:tcW w:w="4234" w:type="pct"/>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57449DE5">
            <w:pPr>
              <w:keepNext w:val="0"/>
              <w:keepLines w:val="0"/>
              <w:pageBreakBefore w:val="0"/>
              <w:widowControl/>
              <w:kinsoku/>
              <w:wordWrap/>
              <w:overflowPunct/>
              <w:topLinePunct w:val="0"/>
              <w:autoSpaceDE w:val="0"/>
              <w:autoSpaceDN w:val="0"/>
              <w:bidi w:val="0"/>
              <w:adjustRightInd w:val="0"/>
              <w:snapToGrid/>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3、危险作业时，清洁主管必须在场。</w:t>
            </w:r>
          </w:p>
        </w:tc>
        <w:tc>
          <w:tcPr>
            <w:tcW w:w="76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3450ECAE">
            <w:pPr>
              <w:keepNext w:val="0"/>
              <w:keepLines w:val="0"/>
              <w:pageBreakBefore w:val="0"/>
              <w:kinsoku/>
              <w:wordWrap/>
              <w:overflowPunct/>
              <w:topLinePunct w:val="0"/>
              <w:bidi w:val="0"/>
              <w:snapToGrid/>
              <w:rPr>
                <w:rFonts w:hint="eastAsia" w:ascii="宋体" w:hAnsi="宋体" w:eastAsia="宋体" w:cs="宋体"/>
                <w:sz w:val="21"/>
                <w:szCs w:val="21"/>
                <w:highlight w:val="none"/>
              </w:rPr>
            </w:pPr>
          </w:p>
        </w:tc>
      </w:tr>
      <w:tr w14:paraId="7924D399">
        <w:tblPrEx>
          <w:tblCellMar>
            <w:top w:w="0" w:type="dxa"/>
            <w:left w:w="0" w:type="dxa"/>
            <w:bottom w:w="0" w:type="dxa"/>
            <w:right w:w="0" w:type="dxa"/>
          </w:tblCellMar>
        </w:tblPrEx>
        <w:trPr>
          <w:trHeight w:val="403" w:hRule="atLeast"/>
        </w:trPr>
        <w:tc>
          <w:tcPr>
            <w:tcW w:w="4234" w:type="pct"/>
            <w:gridSpan w:val="9"/>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14:paraId="49ADB31F">
            <w:pPr>
              <w:keepNext w:val="0"/>
              <w:keepLines w:val="0"/>
              <w:pageBreakBefore w:val="0"/>
              <w:widowControl/>
              <w:kinsoku/>
              <w:wordWrap/>
              <w:overflowPunct/>
              <w:topLinePunct w:val="0"/>
              <w:autoSpaceDE w:val="0"/>
              <w:autoSpaceDN w:val="0"/>
              <w:bidi w:val="0"/>
              <w:adjustRightInd w:val="0"/>
              <w:snapToGrid/>
              <w:jc w:val="left"/>
              <w:textAlignment w:val="center"/>
              <w:rPr>
                <w:rFonts w:hint="eastAsia" w:ascii="宋体" w:hAnsi="宋体" w:eastAsia="宋体" w:cs="宋体"/>
                <w:sz w:val="21"/>
                <w:szCs w:val="21"/>
                <w:highlight w:val="none"/>
              </w:rPr>
            </w:pPr>
            <w:r>
              <w:rPr>
                <w:rFonts w:hint="eastAsia" w:ascii="宋体" w:hAnsi="宋体" w:eastAsia="宋体" w:cs="宋体"/>
                <w:sz w:val="21"/>
                <w:szCs w:val="21"/>
                <w:highlight w:val="none"/>
                <w:lang w:bidi="ar"/>
              </w:rPr>
              <w:t>4、阴雨及大雾、暴雨等恶劣天气，禁止下池作业。</w:t>
            </w:r>
          </w:p>
        </w:tc>
        <w:tc>
          <w:tcPr>
            <w:tcW w:w="766" w:type="pct"/>
            <w:vMerge w:val="continue"/>
            <w:tcBorders>
              <w:top w:val="nil"/>
              <w:left w:val="nil"/>
              <w:bottom w:val="single" w:color="000000" w:sz="4" w:space="0"/>
              <w:right w:val="single" w:color="000000" w:sz="4" w:space="0"/>
            </w:tcBorders>
            <w:shd w:val="clear" w:color="auto" w:fill="auto"/>
            <w:tcMar>
              <w:top w:w="15" w:type="dxa"/>
              <w:left w:w="15" w:type="dxa"/>
              <w:right w:w="15" w:type="dxa"/>
            </w:tcMar>
            <w:vAlign w:val="center"/>
          </w:tcPr>
          <w:p w14:paraId="4E72BCD6">
            <w:pPr>
              <w:keepNext w:val="0"/>
              <w:keepLines w:val="0"/>
              <w:pageBreakBefore w:val="0"/>
              <w:kinsoku/>
              <w:wordWrap/>
              <w:overflowPunct/>
              <w:topLinePunct w:val="0"/>
              <w:bidi w:val="0"/>
              <w:snapToGrid/>
              <w:rPr>
                <w:rFonts w:hint="eastAsia" w:ascii="宋体" w:hAnsi="宋体" w:eastAsia="宋体" w:cs="宋体"/>
                <w:sz w:val="21"/>
                <w:szCs w:val="21"/>
                <w:highlight w:val="none"/>
              </w:rPr>
            </w:pPr>
          </w:p>
        </w:tc>
      </w:tr>
    </w:tbl>
    <w:p w14:paraId="35E69F5E">
      <w:pPr>
        <w:pStyle w:val="33"/>
        <w:spacing w:before="0" w:after="0" w:line="360" w:lineRule="auto"/>
        <w:jc w:val="both"/>
        <w:rPr>
          <w:rFonts w:eastAsia="宋体" w:cs="宋体"/>
          <w:b/>
          <w:sz w:val="21"/>
          <w:szCs w:val="21"/>
          <w:highlight w:val="none"/>
        </w:rPr>
      </w:pPr>
    </w:p>
    <w:p w14:paraId="38958F04">
      <w:pPr>
        <w:rPr>
          <w:rFonts w:ascii="宋体" w:hAnsi="宋体" w:eastAsia="宋体" w:cs="宋体"/>
          <w:b/>
          <w:kern w:val="0"/>
          <w:sz w:val="24"/>
          <w:szCs w:val="24"/>
          <w:highlight w:val="none"/>
          <w:lang w:bidi="ar"/>
        </w:rPr>
        <w:sectPr>
          <w:pgSz w:w="16838" w:h="11906" w:orient="landscape"/>
          <w:pgMar w:top="1080" w:right="1440" w:bottom="1080" w:left="1440" w:header="851" w:footer="992" w:gutter="0"/>
          <w:cols w:space="720" w:num="1"/>
          <w:titlePg/>
          <w:docGrid w:type="lines" w:linePitch="326" w:charSpace="0"/>
        </w:sectPr>
      </w:pPr>
    </w:p>
    <w:p w14:paraId="6A1C2459">
      <w:pPr>
        <w:pStyle w:val="5"/>
        <w:widowControl/>
        <w:spacing w:line="360" w:lineRule="auto"/>
        <w:rPr>
          <w:rFonts w:hAnsi="宋体" w:cs="宋体"/>
          <w:b/>
          <w:sz w:val="21"/>
          <w:szCs w:val="21"/>
          <w:highlight w:val="none"/>
        </w:rPr>
      </w:pPr>
      <w:bookmarkStart w:id="470" w:name="OLE_LINK5"/>
      <w:r>
        <w:rPr>
          <w:rFonts w:hint="eastAsia" w:hAnsi="宋体" w:cs="宋体"/>
          <w:b/>
          <w:sz w:val="21"/>
          <w:szCs w:val="21"/>
          <w:highlight w:val="none"/>
        </w:rPr>
        <w:t>附件四：廉洁协议书</w:t>
      </w:r>
    </w:p>
    <w:bookmarkEnd w:id="470"/>
    <w:p w14:paraId="6A28823C">
      <w:pPr>
        <w:autoSpaceDN w:val="0"/>
        <w:spacing w:line="600" w:lineRule="exact"/>
        <w:ind w:right="31" w:rightChars="15"/>
        <w:jc w:val="center"/>
        <w:rPr>
          <w:rFonts w:ascii="宋体" w:hAnsi="宋体" w:eastAsia="宋体" w:cs="宋体"/>
          <w:b/>
          <w:sz w:val="32"/>
          <w:szCs w:val="32"/>
          <w:highlight w:val="none"/>
        </w:rPr>
      </w:pPr>
      <w:r>
        <w:rPr>
          <w:rFonts w:hint="eastAsia" w:ascii="宋体" w:hAnsi="宋体" w:eastAsia="宋体" w:cs="宋体"/>
          <w:b/>
          <w:kern w:val="0"/>
          <w:sz w:val="32"/>
          <w:szCs w:val="32"/>
          <w:highlight w:val="none"/>
          <w:lang w:bidi="ar"/>
        </w:rPr>
        <w:t>廉洁协议书</w:t>
      </w:r>
    </w:p>
    <w:p w14:paraId="61FEAE8B">
      <w:pPr>
        <w:autoSpaceDN w:val="0"/>
        <w:spacing w:line="360" w:lineRule="auto"/>
        <w:ind w:right="31" w:rightChars="15"/>
        <w:jc w:val="center"/>
        <w:rPr>
          <w:rFonts w:ascii="宋体" w:hAnsi="宋体" w:eastAsia="宋体" w:cs="宋体"/>
          <w:b/>
          <w:szCs w:val="21"/>
          <w:highlight w:val="none"/>
        </w:rPr>
      </w:pPr>
      <w:r>
        <w:rPr>
          <w:rFonts w:hint="eastAsia" w:ascii="宋体" w:hAnsi="宋体" w:eastAsia="宋体" w:cs="宋体"/>
          <w:b/>
          <w:kern w:val="0"/>
          <w:szCs w:val="21"/>
          <w:highlight w:val="none"/>
          <w:lang w:bidi="ar"/>
        </w:rPr>
        <w:t xml:space="preserve"> </w:t>
      </w:r>
    </w:p>
    <w:p w14:paraId="0620B628">
      <w:pPr>
        <w:autoSpaceDN w:val="0"/>
        <w:spacing w:line="360" w:lineRule="auto"/>
        <w:rPr>
          <w:rFonts w:ascii="宋体" w:hAnsi="宋体" w:eastAsia="宋体" w:cs="宋体"/>
          <w:szCs w:val="21"/>
          <w:highlight w:val="none"/>
        </w:rPr>
      </w:pPr>
      <w:r>
        <w:rPr>
          <w:rFonts w:hint="eastAsia" w:ascii="宋体" w:hAnsi="宋体" w:eastAsia="宋体" w:cs="宋体"/>
          <w:b/>
          <w:bCs/>
          <w:kern w:val="0"/>
          <w:szCs w:val="21"/>
          <w:highlight w:val="none"/>
          <w:lang w:bidi="ar"/>
        </w:rPr>
        <w:t>项目名称：</w:t>
      </w:r>
      <w:r>
        <w:rPr>
          <w:rFonts w:hint="eastAsia" w:ascii="宋体" w:hAnsi="宋体" w:eastAsia="宋体" w:cs="宋体"/>
          <w:kern w:val="0"/>
          <w:szCs w:val="21"/>
          <w:highlight w:val="none"/>
          <w:lang w:bidi="ar"/>
        </w:rPr>
        <w:t xml:space="preserve">                 （招标编号：</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w:t>
      </w:r>
    </w:p>
    <w:p w14:paraId="578B6D00">
      <w:pPr>
        <w:autoSpaceDN w:val="0"/>
        <w:spacing w:line="360" w:lineRule="auto"/>
        <w:rPr>
          <w:rFonts w:ascii="宋体" w:hAnsi="宋体" w:eastAsia="宋体" w:cs="宋体"/>
          <w:b/>
          <w:bCs/>
          <w:szCs w:val="21"/>
          <w:highlight w:val="none"/>
        </w:rPr>
      </w:pPr>
      <w:r>
        <w:rPr>
          <w:rFonts w:hint="eastAsia" w:ascii="宋体" w:hAnsi="宋体" w:eastAsia="宋体" w:cs="宋体"/>
          <w:b/>
          <w:bCs/>
          <w:kern w:val="0"/>
          <w:szCs w:val="21"/>
          <w:highlight w:val="none"/>
          <w:lang w:bidi="ar"/>
        </w:rPr>
        <w:t>甲方（业主单位）：</w:t>
      </w:r>
    </w:p>
    <w:p w14:paraId="2A5CB574">
      <w:pPr>
        <w:autoSpaceDN w:val="0"/>
        <w:spacing w:line="360" w:lineRule="auto"/>
        <w:rPr>
          <w:rFonts w:ascii="宋体" w:hAnsi="宋体" w:eastAsia="宋体" w:cs="宋体"/>
          <w:b/>
          <w:bCs/>
          <w:szCs w:val="21"/>
          <w:highlight w:val="none"/>
        </w:rPr>
      </w:pPr>
      <w:r>
        <w:rPr>
          <w:rFonts w:hint="eastAsia" w:ascii="宋体" w:hAnsi="宋体" w:eastAsia="宋体" w:cs="宋体"/>
          <w:b/>
          <w:bCs/>
          <w:kern w:val="0"/>
          <w:szCs w:val="21"/>
          <w:highlight w:val="none"/>
          <w:lang w:bidi="ar"/>
        </w:rPr>
        <w:t>乙方：</w:t>
      </w:r>
    </w:p>
    <w:p w14:paraId="290474FE">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为规范甲乙双方在订立、履行合同及经济业务往来过程中的行为，保持廉洁自律的工作作风,防止各种违法及不正当行为的发生,确保甲乙双方及其工作人员自觉遵守国家法律、法规及廉洁从业各项规定，特订立本协议。</w:t>
      </w:r>
    </w:p>
    <w:p w14:paraId="3FAC116A">
      <w:pPr>
        <w:autoSpaceDN w:val="0"/>
        <w:spacing w:line="360" w:lineRule="auto"/>
        <w:ind w:firstLine="422" w:firstLineChars="200"/>
        <w:rPr>
          <w:rFonts w:ascii="宋体" w:hAnsi="宋体" w:eastAsia="宋体" w:cs="宋体"/>
          <w:b/>
          <w:bCs/>
          <w:szCs w:val="21"/>
          <w:highlight w:val="none"/>
        </w:rPr>
      </w:pPr>
      <w:r>
        <w:rPr>
          <w:rFonts w:hint="eastAsia" w:ascii="宋体" w:hAnsi="宋体" w:eastAsia="宋体" w:cs="宋体"/>
          <w:b/>
          <w:bCs/>
          <w:kern w:val="0"/>
          <w:szCs w:val="21"/>
          <w:highlight w:val="none"/>
          <w:lang w:bidi="ar"/>
        </w:rPr>
        <w:t>第一条  甲乙双方的权利和义务</w:t>
      </w:r>
    </w:p>
    <w:p w14:paraId="5FC6AAA0">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（一）严格遵守党和国家有关法律法规等有关廉洁从业规定。</w:t>
      </w:r>
    </w:p>
    <w:p w14:paraId="794CFBFE">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（二）严格执行本项目的合同文件，自觉按合同办事。</w:t>
      </w:r>
    </w:p>
    <w:p w14:paraId="2529712E">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（三）双方的业务活动坚持公开、公正、诚信、透明的原则（除法律认定的商业秘密和合同文件另有规定之外）不得损害国家和集体利益，违反工程建设管理及其他法律法规规章制度。</w:t>
      </w:r>
    </w:p>
    <w:p w14:paraId="44EE1C48">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（四）建立健全廉洁制度，开展廉洁教育，设立廉洁监督公示牌，公布举报电话，监督并认真查处违法违纪行为。</w:t>
      </w:r>
    </w:p>
    <w:p w14:paraId="78BC0A8A">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（五）发现对方在业务活动中有违反廉洁规定的行为，有及时提醒对方纠正的权利和义务。</w:t>
      </w:r>
    </w:p>
    <w:p w14:paraId="45983CCD">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（六）发现对方严重违反本协议义务条款的行为，有向其上级有关部门举报、建议给予处理并要求告知处理结果的权利。</w:t>
      </w:r>
    </w:p>
    <w:p w14:paraId="1576A36F">
      <w:pPr>
        <w:autoSpaceDN w:val="0"/>
        <w:spacing w:line="360" w:lineRule="auto"/>
        <w:ind w:firstLine="422" w:firstLineChars="200"/>
        <w:rPr>
          <w:rFonts w:ascii="宋体" w:hAnsi="宋体" w:eastAsia="宋体" w:cs="宋体"/>
          <w:b/>
          <w:bCs/>
          <w:szCs w:val="21"/>
          <w:highlight w:val="none"/>
        </w:rPr>
      </w:pPr>
      <w:r>
        <w:rPr>
          <w:rFonts w:hint="eastAsia" w:ascii="宋体" w:hAnsi="宋体" w:eastAsia="宋体" w:cs="宋体"/>
          <w:b/>
          <w:bCs/>
          <w:kern w:val="0"/>
          <w:szCs w:val="21"/>
          <w:highlight w:val="none"/>
          <w:lang w:bidi="ar"/>
        </w:rPr>
        <w:t>第二条  甲方的义务</w:t>
      </w:r>
    </w:p>
    <w:p w14:paraId="604A4E03">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（一）甲方及其工作人员不得索要或接受乙方的礼金、有价证券和贵重物品，不得在乙方报销任何应由甲方或个人支付的费用。</w:t>
      </w:r>
    </w:p>
    <w:p w14:paraId="58AD0B37">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（二）甲方工作人员不得参加乙方安排的高消费宴请和娱乐活动；不得接受乙方提供的通讯工具、交通工具和高档办公用品。</w:t>
      </w:r>
    </w:p>
    <w:p w14:paraId="01202D13">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（三）甲方及其工作人员不得要求或者接受乙方为其住房装修、婚丧嫁娶活动、家属或亲友的工作安排以及出国出境、旅游等提供方便。</w:t>
      </w:r>
    </w:p>
    <w:p w14:paraId="73C72DE9">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（四）甲方工作人员不得向乙方介绍其家属或者亲友（包括家属或亲友开办的公司企业）从事于本项目涉及的经济业务活动。</w:t>
      </w:r>
    </w:p>
    <w:p w14:paraId="121A2F36">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（五）甲方及其工作人员不得以任何理由向乙方推荐分包单位，不得要求乙方购买合同规定外的材料和设备。</w:t>
      </w:r>
    </w:p>
    <w:p w14:paraId="67367142">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（六）甲方及其工作人员不得进行违反廉洁规定的其他活动。</w:t>
      </w:r>
    </w:p>
    <w:p w14:paraId="0BE6B1FA">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（七）甲方应对甲方工作人员进行廉洁监督管理，如甲方工作人员违反本协议第一、第二条，甲方应依据有关法律法规、党纪规定对其进行处理；涉嫌犯罪的，甲方应将其移交司法机关追究刑事责任。</w:t>
      </w:r>
    </w:p>
    <w:p w14:paraId="5C32EBCA">
      <w:pPr>
        <w:autoSpaceDN w:val="0"/>
        <w:spacing w:line="360" w:lineRule="auto"/>
        <w:ind w:firstLine="422" w:firstLineChars="200"/>
        <w:rPr>
          <w:rFonts w:ascii="宋体" w:hAnsi="宋体" w:eastAsia="宋体" w:cs="宋体"/>
          <w:b/>
          <w:bCs/>
          <w:szCs w:val="21"/>
          <w:highlight w:val="none"/>
        </w:rPr>
      </w:pPr>
      <w:r>
        <w:rPr>
          <w:rFonts w:hint="eastAsia" w:ascii="宋体" w:hAnsi="宋体" w:eastAsia="宋体" w:cs="宋体"/>
          <w:b/>
          <w:bCs/>
          <w:kern w:val="0"/>
          <w:szCs w:val="21"/>
          <w:highlight w:val="none"/>
          <w:lang w:bidi="ar"/>
        </w:rPr>
        <w:t>第三条  乙方义务</w:t>
      </w:r>
    </w:p>
    <w:p w14:paraId="56DE90FA">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（一）乙方不得以任何理由向甲方及其工作人员馈赠礼金、有价证券、贵重礼品，或报销应由甲方单位或个人支付的任何费用。</w:t>
      </w:r>
    </w:p>
    <w:p w14:paraId="6C0F91E6">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（二）乙方及其工作人员不得以考察、参观、洽谈业务、签订合同等的借口邀请甲方及其工作人员参加高消费的宴请、娱乐和健身等活动。</w:t>
      </w:r>
    </w:p>
    <w:p w14:paraId="19DAFA76">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（三）乙方不得为甲方单位和个人购置或提供通讯工具、交通工具和高档办公用品等。</w:t>
      </w:r>
    </w:p>
    <w:p w14:paraId="475210DB">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（四）乙方及其工作人员不得为甲方工作人员购买、装修、维修私人住房、汽车等。</w:t>
      </w:r>
    </w:p>
    <w:p w14:paraId="763ED237">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（五）乙方及其工作人员不得为甲方工作人员的婚丧嫁娶、家属或亲友的工作安排，及出国出境提供方便以及报销任何私人消费的费用。</w:t>
      </w:r>
    </w:p>
    <w:p w14:paraId="5706D131">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（六）乙方及其工作人员不得进行影响甲方及其工作人员公正执行合同和履行职务的其他活动。</w:t>
      </w:r>
    </w:p>
    <w:p w14:paraId="2EE0C066">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七）乙方应对乙方工作人员进行廉洁监督管理，如乙方工作人员违反本协议第一、第三条，乙方应依据有关法律法规、党纪规定对其进行处理；乙方工作人员涉嫌犯罪的，乙方应将其移交司法机关追究刑事责任。</w:t>
      </w:r>
    </w:p>
    <w:p w14:paraId="2AB0293B">
      <w:pPr>
        <w:autoSpaceDN w:val="0"/>
        <w:spacing w:line="360" w:lineRule="auto"/>
        <w:ind w:firstLine="422" w:firstLineChars="200"/>
        <w:rPr>
          <w:rFonts w:ascii="宋体" w:hAnsi="宋体" w:eastAsia="宋体" w:cs="宋体"/>
          <w:b/>
          <w:bCs/>
          <w:szCs w:val="21"/>
          <w:highlight w:val="none"/>
        </w:rPr>
      </w:pPr>
      <w:r>
        <w:rPr>
          <w:rFonts w:hint="eastAsia" w:ascii="宋体" w:hAnsi="宋体" w:eastAsia="宋体" w:cs="宋体"/>
          <w:b/>
          <w:bCs/>
          <w:kern w:val="0"/>
          <w:szCs w:val="21"/>
          <w:highlight w:val="none"/>
          <w:lang w:bidi="ar"/>
        </w:rPr>
        <w:t>第四条  违约责任</w:t>
      </w:r>
    </w:p>
    <w:p w14:paraId="3FFAF967">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（一）甲方违反本协议第一、第二条给乙方单位造成经济损失的，应予以赔偿。</w:t>
      </w:r>
    </w:p>
    <w:p w14:paraId="097F3CE8">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（二）乙方违反本协议第一、第三条给甲方单位造成经济损失的，应予以赔偿。</w:t>
      </w:r>
    </w:p>
    <w:p w14:paraId="4C76DCC4">
      <w:pPr>
        <w:autoSpaceDN w:val="0"/>
        <w:spacing w:line="360" w:lineRule="auto"/>
        <w:ind w:firstLine="422" w:firstLineChars="200"/>
        <w:rPr>
          <w:rFonts w:ascii="宋体" w:hAnsi="宋体" w:eastAsia="宋体" w:cs="宋体"/>
          <w:b/>
          <w:bCs/>
          <w:szCs w:val="21"/>
          <w:highlight w:val="none"/>
        </w:rPr>
      </w:pPr>
      <w:r>
        <w:rPr>
          <w:rFonts w:hint="eastAsia" w:ascii="宋体" w:hAnsi="宋体" w:eastAsia="宋体" w:cs="宋体"/>
          <w:b/>
          <w:bCs/>
          <w:kern w:val="0"/>
          <w:szCs w:val="21"/>
          <w:highlight w:val="none"/>
          <w:lang w:bidi="ar"/>
        </w:rPr>
        <w:t>第五条  监督检查</w:t>
      </w:r>
    </w:p>
    <w:p w14:paraId="24FAAF07">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甲乙双方的廉洁从业行为由甲乙双方或甲乙双方上级单位的纪检、监察部门负责监督，对本协议履行情况进行检查。</w:t>
      </w:r>
    </w:p>
    <w:p w14:paraId="518C3B3C">
      <w:pPr>
        <w:autoSpaceDN w:val="0"/>
        <w:spacing w:line="360" w:lineRule="auto"/>
        <w:ind w:firstLine="422" w:firstLineChars="200"/>
        <w:rPr>
          <w:rFonts w:ascii="宋体" w:hAnsi="宋体" w:eastAsia="宋体" w:cs="宋体"/>
          <w:b/>
          <w:bCs/>
          <w:szCs w:val="21"/>
          <w:highlight w:val="none"/>
        </w:rPr>
      </w:pPr>
      <w:r>
        <w:rPr>
          <w:rFonts w:hint="eastAsia" w:ascii="宋体" w:hAnsi="宋体" w:eastAsia="宋体" w:cs="宋体"/>
          <w:b/>
          <w:bCs/>
          <w:kern w:val="0"/>
          <w:szCs w:val="21"/>
          <w:highlight w:val="none"/>
          <w:lang w:bidi="ar"/>
        </w:rPr>
        <w:t>第六条 举报信访受理</w:t>
      </w:r>
    </w:p>
    <w:p w14:paraId="185EFFA7">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（一）举报受理部门：</w:t>
      </w:r>
      <w:r>
        <w:rPr>
          <w:rFonts w:hint="eastAsia" w:ascii="宋体" w:hAnsi="宋体" w:eastAsia="宋体" w:cs="宋体"/>
          <w:kern w:val="0"/>
          <w:szCs w:val="21"/>
          <w:highlight w:val="none"/>
          <w:lang w:eastAsia="zh-CN" w:bidi="ar"/>
        </w:rPr>
        <w:t>东莞市水务环境投资控股集团有限公司</w:t>
      </w:r>
      <w:r>
        <w:rPr>
          <w:rFonts w:hint="eastAsia" w:ascii="宋体" w:hAnsi="宋体" w:eastAsia="宋体" w:cs="宋体"/>
          <w:kern w:val="0"/>
          <w:szCs w:val="21"/>
          <w:highlight w:val="none"/>
          <w:lang w:bidi="ar"/>
        </w:rPr>
        <w:t>纪检监察部。</w:t>
      </w:r>
    </w:p>
    <w:p w14:paraId="29ABAD33">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（二）举报电话：（0769）23076092。</w:t>
      </w:r>
    </w:p>
    <w:p w14:paraId="02A7D9DE">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（三）举报邮箱：jcsj@dgswjt.cn。</w:t>
      </w:r>
    </w:p>
    <w:p w14:paraId="25461D51">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（四）信访地址：广东省东莞市东城街道育华路1号。</w:t>
      </w:r>
    </w:p>
    <w:p w14:paraId="3E125902">
      <w:pPr>
        <w:autoSpaceDN w:val="0"/>
        <w:spacing w:line="360" w:lineRule="auto"/>
        <w:ind w:firstLine="422" w:firstLineChars="200"/>
        <w:rPr>
          <w:rFonts w:ascii="宋体" w:hAnsi="宋体" w:eastAsia="宋体" w:cs="宋体"/>
          <w:b/>
          <w:bCs/>
          <w:szCs w:val="21"/>
          <w:highlight w:val="none"/>
        </w:rPr>
      </w:pPr>
      <w:r>
        <w:rPr>
          <w:rFonts w:hint="eastAsia" w:ascii="宋体" w:hAnsi="宋体" w:eastAsia="宋体" w:cs="宋体"/>
          <w:b/>
          <w:bCs/>
          <w:kern w:val="0"/>
          <w:szCs w:val="21"/>
          <w:highlight w:val="none"/>
          <w:lang w:bidi="ar"/>
        </w:rPr>
        <w:t>第七条 其他</w:t>
      </w:r>
    </w:p>
    <w:p w14:paraId="065EE1F6">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本协议有效期为甲乙双方法定代表人签字并盖章之日起至该工程/采购项目竣工验收完毕，质保期/服务期满后止。本协议一式</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份，甲、乙双方各执</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份，甲、乙双方上级主管部门各执</w:t>
      </w:r>
      <w:r>
        <w:rPr>
          <w:rFonts w:hint="eastAsia" w:ascii="宋体" w:hAnsi="宋体" w:eastAsia="宋体" w:cs="宋体"/>
          <w:kern w:val="0"/>
          <w:szCs w:val="21"/>
          <w:highlight w:val="none"/>
          <w:u w:val="single"/>
          <w:lang w:bidi="ar"/>
        </w:rPr>
        <w:t xml:space="preserve">   </w:t>
      </w:r>
      <w:r>
        <w:rPr>
          <w:rFonts w:hint="eastAsia" w:ascii="宋体" w:hAnsi="宋体" w:eastAsia="宋体" w:cs="宋体"/>
          <w:kern w:val="0"/>
          <w:szCs w:val="21"/>
          <w:highlight w:val="none"/>
          <w:lang w:bidi="ar"/>
        </w:rPr>
        <w:t>份。</w:t>
      </w:r>
    </w:p>
    <w:p w14:paraId="543DD346">
      <w:pPr>
        <w:autoSpaceDN w:val="0"/>
        <w:spacing w:line="360" w:lineRule="auto"/>
        <w:rPr>
          <w:rFonts w:ascii="宋体" w:hAnsi="宋体" w:eastAsia="宋体" w:cs="宋体"/>
          <w:szCs w:val="21"/>
          <w:highlight w:val="none"/>
        </w:rPr>
      </w:pPr>
    </w:p>
    <w:p w14:paraId="66157BE6">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 xml:space="preserve">甲方（盖章）：                   乙方（盖章）： </w:t>
      </w:r>
    </w:p>
    <w:p w14:paraId="60BF5516">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 xml:space="preserve"> </w:t>
      </w:r>
    </w:p>
    <w:p w14:paraId="4B6A644C">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法定代表人：                     法定代表人：</w:t>
      </w:r>
    </w:p>
    <w:p w14:paraId="175ACA78">
      <w:pPr>
        <w:autoSpaceDN w:val="0"/>
        <w:spacing w:line="360" w:lineRule="auto"/>
        <w:rPr>
          <w:rFonts w:ascii="宋体" w:hAnsi="宋体" w:eastAsia="宋体" w:cs="宋体"/>
          <w:szCs w:val="21"/>
          <w:highlight w:val="none"/>
        </w:rPr>
      </w:pPr>
      <w:r>
        <w:rPr>
          <w:rFonts w:hint="eastAsia" w:ascii="宋体" w:hAnsi="宋体" w:eastAsia="宋体" w:cs="宋体"/>
          <w:kern w:val="0"/>
          <w:szCs w:val="21"/>
          <w:highlight w:val="none"/>
          <w:lang w:bidi="ar"/>
        </w:rPr>
        <w:t xml:space="preserve"> </w:t>
      </w:r>
    </w:p>
    <w:p w14:paraId="774A45BB">
      <w:pPr>
        <w:autoSpaceDN w:val="0"/>
        <w:spacing w:line="360" w:lineRule="auto"/>
        <w:ind w:firstLine="420" w:firstLineChars="200"/>
        <w:rPr>
          <w:rFonts w:ascii="宋体" w:hAnsi="宋体" w:eastAsia="宋体" w:cs="宋体"/>
          <w:szCs w:val="21"/>
          <w:highlight w:val="none"/>
        </w:rPr>
      </w:pPr>
      <w:r>
        <w:rPr>
          <w:rFonts w:hint="eastAsia" w:ascii="宋体" w:hAnsi="宋体" w:eastAsia="宋体" w:cs="宋体"/>
          <w:kern w:val="0"/>
          <w:szCs w:val="21"/>
          <w:highlight w:val="none"/>
          <w:lang w:bidi="ar"/>
        </w:rPr>
        <w:t>签订日期：    年  月  日</w:t>
      </w:r>
    </w:p>
    <w:p w14:paraId="18464359">
      <w:pPr>
        <w:autoSpaceDN w:val="0"/>
        <w:spacing w:line="360" w:lineRule="auto"/>
        <w:rPr>
          <w:rFonts w:ascii="宋体" w:hAnsi="宋体" w:eastAsia="宋体" w:cs="宋体"/>
          <w:b/>
          <w:highlight w:val="none"/>
        </w:rPr>
      </w:pPr>
      <w:r>
        <w:rPr>
          <w:rFonts w:hint="eastAsia" w:ascii="宋体" w:hAnsi="宋体" w:eastAsia="宋体" w:cs="宋体"/>
          <w:kern w:val="0"/>
          <w:szCs w:val="21"/>
          <w:highlight w:val="none"/>
          <w:lang w:bidi="ar"/>
        </w:rPr>
        <w:t xml:space="preserve"> </w:t>
      </w:r>
      <w:r>
        <w:rPr>
          <w:rFonts w:hint="eastAsia" w:ascii="宋体" w:hAnsi="宋体" w:eastAsia="宋体" w:cs="宋体"/>
          <w:b/>
          <w:kern w:val="0"/>
          <w:sz w:val="24"/>
          <w:szCs w:val="24"/>
          <w:highlight w:val="none"/>
          <w:lang w:bidi="ar"/>
        </w:rPr>
        <w:br w:type="page"/>
      </w:r>
    </w:p>
    <w:p w14:paraId="7862C076">
      <w:pPr>
        <w:pageBreakBefore w:val="0"/>
        <w:ind w:left="317" w:hanging="527"/>
        <w:outlineLvl w:val="2"/>
        <w:rPr>
          <w:rFonts w:ascii="宋体" w:hAnsi="宋体" w:eastAsia="宋体" w:cs="宋体"/>
          <w:b/>
          <w:color w:val="auto"/>
          <w:highlight w:val="none"/>
        </w:rPr>
      </w:pPr>
      <w:r>
        <w:rPr>
          <w:rFonts w:hint="eastAsia" w:ascii="宋体" w:hAnsi="宋体" w:eastAsia="宋体" w:cs="宋体"/>
          <w:b/>
          <w:color w:val="auto"/>
          <w:highlight w:val="none"/>
        </w:rPr>
        <w:t>附件</w:t>
      </w:r>
      <w:r>
        <w:rPr>
          <w:rFonts w:hint="eastAsia" w:ascii="宋体" w:hAnsi="宋体" w:eastAsia="宋体" w:cs="宋体"/>
          <w:b/>
          <w:color w:val="auto"/>
          <w:highlight w:val="none"/>
          <w:lang w:val="en-US" w:eastAsia="zh-CN"/>
        </w:rPr>
        <w:t>五</w:t>
      </w:r>
      <w:r>
        <w:rPr>
          <w:rFonts w:hint="eastAsia" w:ascii="宋体" w:hAnsi="宋体" w:eastAsia="宋体" w:cs="宋体"/>
          <w:b/>
          <w:color w:val="auto"/>
          <w:highlight w:val="none"/>
        </w:rPr>
        <w:t>：安全生产管理协议</w:t>
      </w:r>
    </w:p>
    <w:p w14:paraId="6B5E1A8E">
      <w:pPr>
        <w:ind w:left="543" w:hanging="753"/>
        <w:jc w:val="center"/>
        <w:rPr>
          <w:rFonts w:ascii="宋体" w:hAnsi="宋体" w:eastAsia="宋体" w:cs="宋体"/>
          <w:b/>
          <w:bCs/>
          <w:color w:val="auto"/>
          <w:sz w:val="30"/>
          <w:szCs w:val="30"/>
          <w:highlight w:val="none"/>
        </w:rPr>
      </w:pPr>
      <w:r>
        <w:rPr>
          <w:rFonts w:hint="eastAsia" w:ascii="宋体" w:hAnsi="宋体" w:eastAsia="宋体" w:cs="宋体"/>
          <w:b/>
          <w:bCs/>
          <w:color w:val="auto"/>
          <w:sz w:val="30"/>
          <w:szCs w:val="30"/>
          <w:highlight w:val="none"/>
        </w:rPr>
        <w:t>安全生产管理协议</w:t>
      </w:r>
    </w:p>
    <w:p w14:paraId="266AEEF4">
      <w:pPr>
        <w:ind w:left="493" w:hanging="703"/>
        <w:jc w:val="center"/>
        <w:rPr>
          <w:rFonts w:ascii="宋体" w:hAnsi="宋体" w:eastAsia="宋体" w:cs="宋体"/>
          <w:b/>
          <w:bCs/>
          <w:color w:val="auto"/>
          <w:sz w:val="28"/>
          <w:szCs w:val="28"/>
          <w:highlight w:val="none"/>
        </w:rPr>
      </w:pPr>
    </w:p>
    <w:p w14:paraId="4E66C1A1">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甲方：</w:t>
      </w:r>
    </w:p>
    <w:p w14:paraId="7C5FE588">
      <w:pPr>
        <w:spacing w:line="360" w:lineRule="auto"/>
        <w:ind w:left="0" w:leftChars="-95" w:hanging="199" w:hangingChars="9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地址</w:t>
      </w:r>
      <w:r>
        <w:rPr>
          <w:rFonts w:hint="eastAsia" w:ascii="宋体" w:hAnsi="宋体" w:eastAsia="宋体" w:cs="宋体"/>
          <w:color w:val="auto"/>
          <w:szCs w:val="21"/>
          <w:highlight w:val="none"/>
          <w:lang w:eastAsia="zh-CN"/>
        </w:rPr>
        <w:t>：</w:t>
      </w:r>
    </w:p>
    <w:p w14:paraId="7C83D9C9">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hint="eastAsia" w:ascii="宋体" w:hAnsi="宋体" w:eastAsia="宋体" w:cs="宋体"/>
          <w:color w:val="auto"/>
          <w:szCs w:val="21"/>
          <w:highlight w:val="none"/>
          <w:lang w:eastAsia="zh-CN"/>
        </w:rPr>
        <w:t>：</w:t>
      </w:r>
    </w:p>
    <w:p w14:paraId="0246F8B5">
      <w:pPr>
        <w:spacing w:line="360" w:lineRule="auto"/>
        <w:ind w:left="0" w:leftChars="-95" w:hanging="199" w:hangingChars="95"/>
        <w:rPr>
          <w:rFonts w:hint="eastAsia" w:ascii="宋体" w:hAnsi="宋体" w:eastAsia="宋体" w:cs="宋体"/>
          <w:color w:val="auto"/>
          <w:szCs w:val="21"/>
          <w:highlight w:val="none"/>
          <w:lang w:eastAsia="zh-CN"/>
        </w:rPr>
      </w:pPr>
      <w:r>
        <w:rPr>
          <w:rFonts w:hint="eastAsia" w:ascii="宋体" w:hAnsi="宋体" w:eastAsia="宋体" w:cs="宋体"/>
          <w:color w:val="auto"/>
          <w:szCs w:val="21"/>
          <w:highlight w:val="none"/>
        </w:rPr>
        <w:t>传真</w:t>
      </w:r>
      <w:r>
        <w:rPr>
          <w:rFonts w:hint="eastAsia" w:ascii="宋体" w:hAnsi="宋体" w:eastAsia="宋体" w:cs="宋体"/>
          <w:color w:val="auto"/>
          <w:szCs w:val="21"/>
          <w:highlight w:val="none"/>
          <w:lang w:eastAsia="zh-CN"/>
        </w:rPr>
        <w:t>：</w:t>
      </w:r>
    </w:p>
    <w:p w14:paraId="1E313DA2">
      <w:pPr>
        <w:spacing w:line="360" w:lineRule="auto"/>
        <w:ind w:left="0" w:leftChars="-95" w:hanging="199" w:hangingChars="95"/>
        <w:rPr>
          <w:rFonts w:hint="eastAsia" w:ascii="宋体" w:hAnsi="宋体" w:eastAsia="宋体" w:cs="宋体"/>
          <w:color w:val="auto"/>
          <w:szCs w:val="21"/>
          <w:highlight w:val="none"/>
        </w:rPr>
      </w:pPr>
    </w:p>
    <w:p w14:paraId="794D8C9B">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乙方：</w:t>
      </w:r>
    </w:p>
    <w:p w14:paraId="75F7D74E">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地址</w:t>
      </w:r>
      <w:r>
        <w:rPr>
          <w:rFonts w:ascii="宋体" w:hAnsi="宋体" w:eastAsia="宋体" w:cs="宋体"/>
          <w:color w:val="auto"/>
          <w:szCs w:val="21"/>
          <w:highlight w:val="none"/>
        </w:rPr>
        <w:t>:</w:t>
      </w:r>
    </w:p>
    <w:p w14:paraId="2DE85FB0">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电话</w:t>
      </w:r>
      <w:r>
        <w:rPr>
          <w:rFonts w:ascii="宋体" w:hAnsi="宋体" w:eastAsia="宋体" w:cs="宋体"/>
          <w:color w:val="auto"/>
          <w:szCs w:val="21"/>
          <w:highlight w:val="none"/>
        </w:rPr>
        <w:t>:</w:t>
      </w:r>
    </w:p>
    <w:p w14:paraId="1A9056EA">
      <w:pPr>
        <w:spacing w:line="360" w:lineRule="auto"/>
        <w:ind w:left="0" w:leftChars="-95" w:hanging="199" w:hangingChars="95"/>
        <w:rPr>
          <w:rFonts w:ascii="宋体" w:hAnsi="宋体" w:eastAsia="宋体" w:cs="宋体"/>
          <w:color w:val="auto"/>
          <w:szCs w:val="21"/>
          <w:highlight w:val="none"/>
        </w:rPr>
      </w:pPr>
      <w:r>
        <w:rPr>
          <w:rFonts w:hint="eastAsia" w:ascii="宋体" w:hAnsi="宋体" w:eastAsia="宋体" w:cs="宋体"/>
          <w:color w:val="auto"/>
          <w:szCs w:val="21"/>
          <w:highlight w:val="none"/>
        </w:rPr>
        <w:t>传真</w:t>
      </w:r>
    </w:p>
    <w:p w14:paraId="20A6EB66">
      <w:pPr>
        <w:spacing w:line="360" w:lineRule="auto"/>
        <w:ind w:left="0" w:leftChars="-95" w:hanging="199" w:hangingChars="95"/>
        <w:rPr>
          <w:rFonts w:ascii="宋体" w:hAnsi="宋体" w:eastAsia="宋体" w:cs="宋体"/>
          <w:color w:val="auto"/>
          <w:szCs w:val="21"/>
          <w:highlight w:val="none"/>
        </w:rPr>
      </w:pPr>
    </w:p>
    <w:p w14:paraId="37CA71A7">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根据《中华人民共和国安全生产法》和《建设工程安全生产管理条例》的要求，为加强施工现场的安全管理，落实各自的安全生产职责，进一步加强施工单位和施工（维修）人员的安全管理，杜绝施工单位和施工（维修）人员因安全管理不善而引发的各类安全事故，保证甲、乙双方的财产和员工的人身安全不受侵害，经甲乙双方协商一致，签订协议如下：</w:t>
      </w:r>
    </w:p>
    <w:p w14:paraId="3E28DB82">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进场前乙方应将本企业的营业执照、企业资质等级证书、安全生产许可证、进场人员花名册、进场人员身体检查表、携带进场的机具一览表、特种作业人员及特种作业操作证的复印件报甲方。进场职工必须办好施工所在地所需办理的各种证件，不得使用未成年工、童工、超龄工和安排女工从事禁忌劳动，进场前，乙方必须严格遵守甲方及项目所在地的相关防疫要求。</w:t>
      </w:r>
    </w:p>
    <w:p w14:paraId="6D0AB75B">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2、乙方应设置专职或兼职安全员，对施工进行安全管理，并在施工作业前对所属员工进行安全教育培训，并且进行经常性的安全教育，保证从业人员具备必要的安全生产知识，熟悉有关的安全生产规章制度和安全操作规程，掌握本岗位的安全操作技能，了解事故应急处理措施，知悉自身在安全生产方面的权利和义务。未经安全生产教育和培训合格的从业人员，不得上岗作业。</w:t>
      </w:r>
    </w:p>
    <w:p w14:paraId="4F332D98">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3、乙方使用被派遣劳动者的，应当将被派遣劳动者纳入本单位从业人员统一管理，对被派遣劳动者进行岗位安全操作规程和安全操作技能的教育和培训。</w:t>
      </w:r>
    </w:p>
    <w:p w14:paraId="492AFF9D">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4、乙方应当在有较大危险因素的施工场所和有关设施、设备上，设置明显的安全警示标志。乙方应当对安全设备进行经常性维护、保养，并定期检测，保证正常运转。维护、保养、检测应当做好记录，并由乙方安全员或代表签字。</w:t>
      </w:r>
    </w:p>
    <w:p w14:paraId="535BD6AC">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5、乙方应当教育和督促从业人员严格执行本单位的安全生产规章制度和安全操作规程；并向从业人员如实告知作业场所和工作岗位存在的危险因素、防范措施以及事故应急措施。</w:t>
      </w:r>
    </w:p>
    <w:p w14:paraId="0BCF58EC">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6、乙方应严格遵守国家、地方政府有关安全生产及劳动保护的法律法规、标准、规定，贯彻执行甲方的各项安全管理规章制度。</w:t>
      </w:r>
    </w:p>
    <w:p w14:paraId="22CCD2A3">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7、乙方依法参加工伤保险，为从业人员缴纳保险费，并应当为从事危险作业的人员办理意外伤害保险。</w:t>
      </w:r>
    </w:p>
    <w:p w14:paraId="1B08E396">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8、乙方应当服从甲方的安全管理，保证施工区域的现场文明安全管理达标，现场临时用电、机器设备、安全防护齐全、完好。接受和配合甲方的安全监督检查，乙方现场的所有安全装置、防护设施必须依据经甲方审批后的安全技术施工方案进行搭设、安装，乙方必须无条件保证安全防护设施使用的搭设材料的质量，在用于安全防护的物资进场前将有关物资的材质证明报甲方，经甲方确认后方可使用。</w:t>
      </w:r>
    </w:p>
    <w:p w14:paraId="2E3315A3">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9、乙方携带进场的机器设备、机具必须是合格产品，乙方须对携带进场的机器设备、机具安全负责管理、维护及检查，对甲方自查发现的安全隐患落实整改措施。对由于乙方使用不合格机器设备、机具造成事故的，由乙方自行承担责任。</w:t>
      </w:r>
    </w:p>
    <w:p w14:paraId="0CFC9140">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10、甲方有权对整个施工现场的安全管理工作进行协调和监督管理。指导、监督、检查乙方的执业健康安全管理工作，对乙方施工中的违章指挥、违章作业和安全隐患提出整改意见，督促、检查乙方的隐患整改落实情况。</w:t>
      </w:r>
    </w:p>
    <w:p w14:paraId="28A287A3">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11、乙方在施工过程中违反有关安全管理规定、有违章现象发生、安全问题整改不到位或拒不接受甲方的正常安全管理的，依据有关法律法规规定进行处理。乙方施工中存在重大隐患或险情时，甲方有权要求乙方立即整改直至隐患消除，若乙方整改后仍达不到甲方要求的，甲方有权要求与乙方单方解除合同，并要求乙方清退出场。</w:t>
      </w:r>
    </w:p>
    <w:p w14:paraId="418BC899">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12、乙方施工人员未经许可不得随意到施工区域以外的其它工作场所活动，乙方施工人员擅自到施工区域以外的其它工作场所活动，出现人身损伤或伤亡的，由乙方自行负责一切责任。乙方施工人员需动用或施工涉及到甲方所属设备、电器、管线及其他设施等，必须事先征得甲方代表的同意，并采取安全防护措施。</w:t>
      </w:r>
    </w:p>
    <w:p w14:paraId="5D5CC34B">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13、在施工过程中，需要进行动土、动火、登高、吊装、断路、进入限制性空间等危险性较高的作业时，乙方的施工负责人、专职或兼职安全员必须现场确认，确保安全后，方可开始施工。</w:t>
      </w:r>
    </w:p>
    <w:p w14:paraId="5201577E">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14、因乙方原因，造成乙方损失，由乙方自负，给甲方造成财产损失和人员伤害，乙方要负全部责任，并全额赔偿甲方。</w:t>
      </w:r>
    </w:p>
    <w:p w14:paraId="1F29111C">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15、非因甲方原因，造成乙方损失的，甲方不承担任何责任，由乙方自行承担全部责任。</w:t>
      </w:r>
    </w:p>
    <w:p w14:paraId="1D309DD5">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16、乙方应严格遵守法律法规以及甲方的安全管理要求，并接受甲方的安全生产工作协调和监督，积极消除安全隐患。安全管理的基本要求包括但不限于以下条款：</w:t>
      </w:r>
    </w:p>
    <w:p w14:paraId="1FDBDA12">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①禁火区内严禁吸烟、动火。有火灾危险的作业区域，乙方必须配置足够的灭火设施。</w:t>
      </w:r>
    </w:p>
    <w:p w14:paraId="0EE0B4C4">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②焊接、气割作业时两瓶距离必须达到5M及以上，气瓶距可能产生火花的电器、设备和其它火源的间距必须达到10M及以上。</w:t>
      </w:r>
    </w:p>
    <w:p w14:paraId="3D5643F0">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③严禁在厂内道路、消防通道内搭建临时建筑或堆放物资。</w:t>
      </w:r>
    </w:p>
    <w:p w14:paraId="3E9E286C">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④施工场所的电动工具、电焊机等须有漏电保护器和相应的安全防护装置。</w:t>
      </w:r>
    </w:p>
    <w:p w14:paraId="799917AA">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⑤施工现场及居住室、办公室内的用电设施必须符合要求，严禁电线乱接、乱拉，刀闸和开关无盖，在电器设施上堆放物品。</w:t>
      </w:r>
    </w:p>
    <w:p w14:paraId="71204A40">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⑥防雷、防静电设施及用电设施要有良好接地。</w:t>
      </w:r>
    </w:p>
    <w:p w14:paraId="7075FEB5">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⑦施工现场的危险区域，如临边、深坑、土方堆填区等，必须设置围栏和危险标志，夜间要设信号灯。</w:t>
      </w:r>
    </w:p>
    <w:p w14:paraId="7A8C9214">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⑧乙方应当为从业人员提供符合国家标准或者行业标准的劳动防护用品，并监督、教育从业人员按照使用规则佩戴、使用，防止工伤事故的发生。乙方发生各类工伤事故，严禁隐瞒不报。发生重伤及重伤以上事故，应及时组织抢救、保护好现场，并立即报告甲方主管领导。</w:t>
      </w:r>
    </w:p>
    <w:p w14:paraId="01F185C8">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⑨登高架子、安全防护设施、脚手架搭设完毕必须经乙方安全员或代表验收合格后方可使用，对从甲方接手及自行搭设的安全防护设施、脚手架做好日常维护与管理。安全防护设施、脚手架的拆除必须在接到专业工程师的施工指令后方可拆除，不得私自拆改任何安全防护设施，若因施工必须拆改，须向甲方主管领导报告，经批准后方可拆改，并做好临时防护设施和警戒，在施工完成后须立即恢复该处的安全防护设施。进行受限空间作业前，必须检测氧气、有毒有害气体，确保符合作业条件，做好个人防护和专人监护后，方可进入。</w:t>
      </w:r>
    </w:p>
    <w:p w14:paraId="1C6FB131">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⑩乙方采用新工艺、新技术、新材料或者使用新设备，必须了解、掌握其安全技术特性，采取有效的安全防护措施，并对从业人员进行专门的安全生产教育和培训。乙方的电工、焊工、起重工、高处作业等特种作业人员必须按照国家有关规定经专门的安全作业培训，取得相应资格，方可上岗作业。</w:t>
      </w:r>
    </w:p>
    <w:p w14:paraId="1FE84091">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17、乙方必须接受甲方的检查与监督，并应主动配合，做好安全工作，凡有违反上述协议的即视为乙方违约，甲方有权视情况从工程结算款/服务价款中扣除2000元/次作为违约金。</w:t>
      </w:r>
    </w:p>
    <w:p w14:paraId="78DDE3B6">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18、如乙方因违反本条款规定，造成甲方损失或被第三方追偿的，甲方有权向乙方追偿，甲方可直接从应付款项中扣除。同时，乙方应按照暂定</w:t>
      </w:r>
      <w:r>
        <w:rPr>
          <w:rFonts w:hint="eastAsia" w:ascii="宋体" w:hAnsi="宋体" w:eastAsia="宋体" w:cs="宋体"/>
          <w:color w:val="auto"/>
          <w:szCs w:val="21"/>
          <w:highlight w:val="none"/>
          <w:lang w:val="en-US" w:eastAsia="zh-CN"/>
        </w:rPr>
        <w:t>总</w:t>
      </w:r>
      <w:r>
        <w:rPr>
          <w:rFonts w:hint="eastAsia" w:ascii="宋体" w:hAnsi="宋体" w:eastAsia="宋体" w:cs="宋体"/>
          <w:color w:val="auto"/>
          <w:szCs w:val="21"/>
          <w:highlight w:val="none"/>
        </w:rPr>
        <w:t>合同价（含销项税额）的30%向甲方支付违约金，如违约金不足以弥补损失的，甲方可要求乙方继续赔偿损失，并承担由此引起的一切法律责任和费用，包括但不限于甲方为处理纠纷所产生的诉讼仲裁费、鉴定费、担保费、赔偿金、律师费、行政部门的罚款等。乙方仍必须继续履行或采取补救措施，并不得因承担了违约责任，而减少改进及免除继续承担责任的义务。</w:t>
      </w:r>
    </w:p>
    <w:p w14:paraId="38FE1254">
      <w:pPr>
        <w:spacing w:line="360" w:lineRule="auto"/>
        <w:ind w:left="-210" w:firstLine="424" w:firstLineChars="202"/>
        <w:rPr>
          <w:rFonts w:hint="eastAsia" w:ascii="宋体" w:hAnsi="宋体" w:eastAsia="宋体" w:cs="宋体"/>
          <w:color w:val="auto"/>
          <w:szCs w:val="21"/>
          <w:highlight w:val="none"/>
        </w:rPr>
      </w:pPr>
      <w:r>
        <w:rPr>
          <w:rFonts w:hint="eastAsia" w:ascii="宋体" w:hAnsi="宋体" w:eastAsia="宋体" w:cs="宋体"/>
          <w:color w:val="auto"/>
          <w:szCs w:val="21"/>
          <w:highlight w:val="none"/>
        </w:rPr>
        <w:t>19、乙方对施工过程中潜在的安全风险不明确的，不可盲目施工，否则，造成的不良后果由乙方独自承担。</w:t>
      </w:r>
    </w:p>
    <w:p w14:paraId="11EBA300">
      <w:pPr>
        <w:spacing w:line="360" w:lineRule="auto"/>
        <w:ind w:left="-210" w:firstLine="424" w:firstLineChars="202"/>
        <w:rPr>
          <w:rFonts w:ascii="宋体" w:hAnsi="宋体" w:eastAsia="宋体" w:cs="宋体"/>
          <w:color w:val="auto"/>
          <w:szCs w:val="21"/>
          <w:highlight w:val="none"/>
        </w:rPr>
      </w:pPr>
      <w:r>
        <w:rPr>
          <w:rFonts w:hint="eastAsia" w:ascii="宋体" w:hAnsi="宋体" w:eastAsia="宋体" w:cs="宋体"/>
          <w:color w:val="auto"/>
          <w:szCs w:val="21"/>
          <w:highlight w:val="none"/>
        </w:rPr>
        <w:t>20、本协议自双方盖章、并经甲方法定代表人或负责人或授权代表及乙方法定代表人签字之日起生效。</w:t>
      </w:r>
    </w:p>
    <w:p w14:paraId="0515140E">
      <w:pPr>
        <w:spacing w:line="360" w:lineRule="auto"/>
        <w:ind w:left="317" w:hanging="527"/>
        <w:rPr>
          <w:rFonts w:ascii="宋体" w:hAnsi="宋体" w:eastAsia="宋体" w:cs="宋体"/>
          <w:b/>
          <w:bCs/>
          <w:color w:val="auto"/>
          <w:szCs w:val="21"/>
          <w:highlight w:val="none"/>
        </w:rPr>
      </w:pPr>
      <w:r>
        <w:rPr>
          <w:rFonts w:hint="eastAsia" w:ascii="宋体" w:hAnsi="宋体" w:eastAsia="宋体" w:cs="宋体"/>
          <w:b/>
          <w:bCs/>
          <w:color w:val="auto"/>
          <w:szCs w:val="21"/>
          <w:highlight w:val="none"/>
        </w:rPr>
        <w:t>乙方声明：</w:t>
      </w:r>
    </w:p>
    <w:p w14:paraId="28C6A57A">
      <w:pPr>
        <w:spacing w:line="360" w:lineRule="auto"/>
        <w:ind w:left="-210" w:firstLine="481" w:firstLineChars="228"/>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rPr>
        <w:t>乙方已认真阅读协议内容，对协议条款、</w:t>
      </w:r>
      <w:r>
        <w:rPr>
          <w:rFonts w:hint="eastAsia" w:ascii="宋体" w:hAnsi="宋体" w:eastAsia="宋体" w:cs="宋体"/>
          <w:b/>
          <w:bCs/>
          <w:color w:val="auto"/>
          <w:szCs w:val="21"/>
          <w:highlight w:val="none"/>
          <w:u w:val="single"/>
          <w:lang w:val="en-US" w:eastAsia="zh-CN"/>
        </w:rPr>
        <w:t xml:space="preserve">              项目</w:t>
      </w:r>
      <w:r>
        <w:rPr>
          <w:rFonts w:hint="eastAsia" w:ascii="宋体" w:hAnsi="宋体" w:eastAsia="宋体" w:cs="宋体"/>
          <w:b/>
          <w:bCs/>
          <w:color w:val="auto"/>
          <w:szCs w:val="21"/>
          <w:highlight w:val="none"/>
        </w:rPr>
        <w:t>的安全管理要求、安全风险充分理解，并自愿承担因违约造成的一切后果。</w:t>
      </w:r>
    </w:p>
    <w:p w14:paraId="0B98A624">
      <w:pPr>
        <w:spacing w:line="360" w:lineRule="auto"/>
        <w:ind w:left="-210" w:firstLine="424" w:firstLineChars="202"/>
        <w:rPr>
          <w:rFonts w:ascii="宋体" w:hAnsi="宋体" w:eastAsia="宋体" w:cs="宋体"/>
          <w:color w:val="auto"/>
          <w:szCs w:val="21"/>
          <w:highlight w:val="none"/>
        </w:rPr>
      </w:pPr>
    </w:p>
    <w:tbl>
      <w:tblPr>
        <w:tblStyle w:val="38"/>
        <w:tblW w:w="10204"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5102"/>
        <w:gridCol w:w="5102"/>
      </w:tblGrid>
      <w:tr w14:paraId="0171CC0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0907391C">
            <w:pPr>
              <w:spacing w:line="360" w:lineRule="auto"/>
              <w:jc w:val="both"/>
              <w:rPr>
                <w:rFonts w:hint="eastAsia" w:ascii="宋体" w:hAnsi="宋体" w:eastAsia="宋体" w:cs="宋体"/>
                <w:color w:val="auto"/>
                <w:sz w:val="21"/>
                <w:szCs w:val="21"/>
                <w:highlight w:val="none"/>
                <w:vertAlign w:val="baseline"/>
                <w:lang w:val="en-US"/>
              </w:rPr>
            </w:pPr>
            <w:r>
              <w:rPr>
                <w:rFonts w:hint="eastAsia" w:ascii="宋体" w:hAnsi="宋体" w:eastAsia="宋体" w:cs="宋体"/>
                <w:color w:val="auto"/>
                <w:sz w:val="21"/>
                <w:szCs w:val="21"/>
                <w:highlight w:val="none"/>
                <w:vertAlign w:val="baseline"/>
              </w:rPr>
              <w:t>甲方（盖章）</w:t>
            </w:r>
            <w:r>
              <w:rPr>
                <w:rFonts w:hint="eastAsia" w:ascii="宋体" w:hAnsi="宋体" w:eastAsia="宋体" w:cs="宋体"/>
                <w:color w:val="auto"/>
                <w:sz w:val="21"/>
                <w:szCs w:val="21"/>
                <w:highlight w:val="none"/>
                <w:vertAlign w:val="baseline"/>
                <w:lang w:eastAsia="zh-CN"/>
              </w:rPr>
              <w:t>：</w:t>
            </w:r>
          </w:p>
        </w:tc>
        <w:tc>
          <w:tcPr>
            <w:tcW w:w="5102" w:type="dxa"/>
            <w:tcBorders>
              <w:tl2br w:val="nil"/>
              <w:tr2bl w:val="nil"/>
            </w:tcBorders>
            <w:shd w:val="clear" w:color="auto" w:fill="auto"/>
            <w:tcMar>
              <w:top w:w="0" w:type="dxa"/>
              <w:left w:w="57" w:type="dxa"/>
              <w:bottom w:w="0" w:type="dxa"/>
              <w:right w:w="57" w:type="dxa"/>
            </w:tcMar>
            <w:vAlign w:val="top"/>
          </w:tcPr>
          <w:p w14:paraId="1B79EEB8">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rPr>
              <w:t>乙方（盖章）：</w:t>
            </w:r>
          </w:p>
        </w:tc>
      </w:tr>
      <w:tr w14:paraId="697320B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0" w:hRule="atLeast"/>
        </w:trPr>
        <w:tc>
          <w:tcPr>
            <w:tcW w:w="5102" w:type="dxa"/>
            <w:tcBorders>
              <w:tl2br w:val="nil"/>
              <w:tr2bl w:val="nil"/>
            </w:tcBorders>
            <w:tcMar>
              <w:top w:w="0" w:type="dxa"/>
              <w:left w:w="57" w:type="dxa"/>
              <w:bottom w:w="0" w:type="dxa"/>
              <w:right w:w="57" w:type="dxa"/>
            </w:tcMar>
            <w:vAlign w:val="top"/>
          </w:tcPr>
          <w:p w14:paraId="752F1054">
            <w:pPr>
              <w:spacing w:line="360" w:lineRule="auto"/>
              <w:jc w:val="both"/>
              <w:rPr>
                <w:rFonts w:hint="eastAsia" w:ascii="宋体" w:hAnsi="宋体" w:eastAsia="宋体" w:cs="宋体"/>
                <w:color w:val="auto"/>
                <w:sz w:val="21"/>
                <w:szCs w:val="21"/>
                <w:highlight w:val="none"/>
                <w:vertAlign w:val="baseline"/>
              </w:rPr>
            </w:pPr>
            <w:r>
              <w:rPr>
                <w:rFonts w:hint="eastAsia" w:ascii="宋体" w:hAnsi="宋体" w:eastAsia="宋体" w:cs="宋体"/>
                <w:color w:val="auto"/>
                <w:sz w:val="21"/>
                <w:szCs w:val="21"/>
                <w:highlight w:val="none"/>
                <w:vertAlign w:val="baseline"/>
              </w:rPr>
              <w:t>法定代表人或负责人或授权代表：</w:t>
            </w:r>
          </w:p>
        </w:tc>
        <w:tc>
          <w:tcPr>
            <w:tcW w:w="5102" w:type="dxa"/>
            <w:tcBorders>
              <w:tl2br w:val="nil"/>
              <w:tr2bl w:val="nil"/>
            </w:tcBorders>
            <w:shd w:val="clear" w:color="auto" w:fill="auto"/>
            <w:tcMar>
              <w:top w:w="0" w:type="dxa"/>
              <w:left w:w="57" w:type="dxa"/>
              <w:bottom w:w="0" w:type="dxa"/>
              <w:right w:w="57" w:type="dxa"/>
            </w:tcMar>
            <w:vAlign w:val="top"/>
          </w:tcPr>
          <w:p w14:paraId="62190BF1">
            <w:pPr>
              <w:spacing w:line="360" w:lineRule="auto"/>
              <w:jc w:val="both"/>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kern w:val="2"/>
                <w:sz w:val="21"/>
                <w:szCs w:val="21"/>
                <w:highlight w:val="none"/>
                <w:vertAlign w:val="baseline"/>
                <w:lang w:val="en-US" w:eastAsia="zh-CN" w:bidi="ar-SA"/>
              </w:rPr>
              <w:t>法定代表人：</w:t>
            </w:r>
          </w:p>
        </w:tc>
      </w:tr>
    </w:tbl>
    <w:p w14:paraId="2423E317">
      <w:pPr>
        <w:spacing w:line="360" w:lineRule="auto"/>
        <w:ind w:left="-210" w:firstLine="478" w:firstLineChars="228"/>
        <w:rPr>
          <w:rFonts w:ascii="宋体" w:hAnsi="宋体" w:eastAsia="宋体" w:cs="宋体"/>
          <w:color w:val="auto"/>
          <w:szCs w:val="21"/>
          <w:highlight w:val="none"/>
        </w:rPr>
      </w:pPr>
      <w:r>
        <w:rPr>
          <w:rFonts w:ascii="宋体" w:hAnsi="宋体" w:eastAsia="宋体" w:cs="宋体"/>
          <w:color w:val="auto"/>
          <w:szCs w:val="21"/>
          <w:highlight w:val="none"/>
        </w:rPr>
        <w:t xml:space="preserve">   </w:t>
      </w:r>
    </w:p>
    <w:p w14:paraId="29586029">
      <w:pPr>
        <w:spacing w:line="360" w:lineRule="auto"/>
        <w:ind w:left="-210"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签订日期：</w:t>
      </w:r>
    </w:p>
    <w:p w14:paraId="57494BCD">
      <w:pPr>
        <w:spacing w:line="360" w:lineRule="auto"/>
        <w:ind w:left="-210" w:firstLine="478" w:firstLineChars="228"/>
        <w:rPr>
          <w:rFonts w:ascii="宋体" w:hAnsi="宋体" w:eastAsia="宋体" w:cs="宋体"/>
          <w:color w:val="auto"/>
          <w:szCs w:val="21"/>
          <w:highlight w:val="none"/>
        </w:rPr>
      </w:pPr>
      <w:r>
        <w:rPr>
          <w:rFonts w:hint="eastAsia" w:ascii="宋体" w:hAnsi="宋体" w:eastAsia="宋体" w:cs="宋体"/>
          <w:color w:val="auto"/>
          <w:szCs w:val="21"/>
          <w:highlight w:val="none"/>
        </w:rPr>
        <w:t>签订地点：</w:t>
      </w:r>
      <w:r>
        <w:rPr>
          <w:rFonts w:hint="eastAsia" w:ascii="宋体" w:hAnsi="宋体" w:eastAsia="宋体" w:cs="宋体"/>
          <w:color w:val="auto"/>
          <w:kern w:val="0"/>
          <w:szCs w:val="21"/>
          <w:highlight w:val="none"/>
          <w:lang w:eastAsia="zh-CN"/>
        </w:rPr>
        <w:t>东莞市水务环境投资控股集团供水有限公司</w:t>
      </w:r>
    </w:p>
    <w:p w14:paraId="0BDB3F42">
      <w:pPr>
        <w:widowControl/>
        <w:rPr>
          <w:rFonts w:hint="eastAsia" w:hAnsi="宋体" w:cs="宋体"/>
          <w:b/>
          <w:sz w:val="21"/>
          <w:szCs w:val="21"/>
          <w:highlight w:val="none"/>
        </w:rPr>
      </w:pPr>
      <w:r>
        <w:rPr>
          <w:rFonts w:hint="eastAsia" w:hAnsi="宋体" w:cs="宋体"/>
          <w:b/>
          <w:sz w:val="21"/>
          <w:szCs w:val="21"/>
          <w:highlight w:val="none"/>
        </w:rPr>
        <w:br w:type="page"/>
      </w:r>
    </w:p>
    <w:p w14:paraId="2060EBB9">
      <w:pPr>
        <w:pStyle w:val="5"/>
        <w:widowControl/>
        <w:spacing w:line="360" w:lineRule="auto"/>
        <w:rPr>
          <w:rFonts w:hAnsi="宋体" w:cs="宋体"/>
          <w:b/>
          <w:sz w:val="21"/>
          <w:szCs w:val="21"/>
          <w:highlight w:val="none"/>
        </w:rPr>
      </w:pPr>
      <w:r>
        <w:rPr>
          <w:rFonts w:hint="eastAsia" w:hAnsi="宋体" w:cs="宋体"/>
          <w:b/>
          <w:sz w:val="21"/>
          <w:szCs w:val="21"/>
          <w:highlight w:val="none"/>
        </w:rPr>
        <w:t>附件</w:t>
      </w:r>
      <w:r>
        <w:rPr>
          <w:rFonts w:hint="eastAsia" w:hAnsi="宋体" w:cs="宋体"/>
          <w:b/>
          <w:sz w:val="21"/>
          <w:szCs w:val="21"/>
          <w:highlight w:val="none"/>
          <w:lang w:val="en-US" w:eastAsia="zh-CN"/>
        </w:rPr>
        <w:t>六</w:t>
      </w:r>
      <w:r>
        <w:rPr>
          <w:rFonts w:hint="eastAsia" w:hAnsi="宋体" w:cs="宋体"/>
          <w:b/>
          <w:sz w:val="21"/>
          <w:szCs w:val="21"/>
          <w:highlight w:val="none"/>
        </w:rPr>
        <w:t>：中标通知书</w:t>
      </w:r>
    </w:p>
    <w:p w14:paraId="59458281">
      <w:pPr>
        <w:pStyle w:val="33"/>
        <w:spacing w:before="0" w:after="0" w:line="360" w:lineRule="auto"/>
        <w:jc w:val="both"/>
        <w:rPr>
          <w:rFonts w:eastAsia="宋体" w:cs="宋体"/>
          <w:b/>
          <w:sz w:val="21"/>
          <w:szCs w:val="21"/>
          <w:highlight w:val="none"/>
        </w:rPr>
      </w:pPr>
    </w:p>
    <w:p w14:paraId="122E8AA8">
      <w:pPr>
        <w:pStyle w:val="33"/>
        <w:spacing w:before="0" w:after="0" w:line="360" w:lineRule="auto"/>
        <w:jc w:val="both"/>
        <w:rPr>
          <w:rFonts w:eastAsia="宋体" w:cs="宋体"/>
          <w:b/>
          <w:sz w:val="21"/>
          <w:szCs w:val="21"/>
          <w:highlight w:val="none"/>
        </w:rPr>
      </w:pPr>
    </w:p>
    <w:p w14:paraId="1F224AC0">
      <w:pPr>
        <w:pStyle w:val="5"/>
        <w:widowControl/>
        <w:spacing w:line="360" w:lineRule="auto"/>
        <w:rPr>
          <w:rFonts w:hint="eastAsia" w:hAnsi="宋体" w:cs="宋体"/>
          <w:b/>
          <w:sz w:val="21"/>
          <w:szCs w:val="21"/>
          <w:highlight w:val="none"/>
        </w:rPr>
      </w:pPr>
      <w:r>
        <w:rPr>
          <w:rFonts w:hint="eastAsia" w:hAnsi="宋体" w:cs="宋体"/>
          <w:b/>
          <w:sz w:val="21"/>
          <w:szCs w:val="21"/>
          <w:highlight w:val="none"/>
        </w:rPr>
        <w:t>附件</w:t>
      </w:r>
      <w:r>
        <w:rPr>
          <w:rFonts w:hint="eastAsia" w:hAnsi="宋体" w:cs="宋体"/>
          <w:b/>
          <w:sz w:val="21"/>
          <w:szCs w:val="21"/>
          <w:highlight w:val="none"/>
          <w:lang w:val="en-US" w:eastAsia="zh-CN"/>
        </w:rPr>
        <w:t>七</w:t>
      </w:r>
      <w:r>
        <w:rPr>
          <w:rFonts w:hint="eastAsia" w:hAnsi="宋体" w:cs="宋体"/>
          <w:b/>
          <w:sz w:val="21"/>
          <w:szCs w:val="21"/>
          <w:highlight w:val="none"/>
        </w:rPr>
        <w:t>：清洁保洁、绿化养护及除四害</w:t>
      </w:r>
      <w:r>
        <w:rPr>
          <w:rFonts w:hint="eastAsia" w:hAnsi="宋体" w:cs="宋体"/>
          <w:b/>
          <w:sz w:val="21"/>
          <w:szCs w:val="21"/>
          <w:highlight w:val="none"/>
          <w:lang w:val="en-US" w:eastAsia="zh-CN"/>
        </w:rPr>
        <w:t>服务管理团队</w:t>
      </w:r>
      <w:r>
        <w:rPr>
          <w:rFonts w:hint="eastAsia" w:hAnsi="宋体" w:cs="宋体"/>
          <w:b/>
          <w:sz w:val="21"/>
          <w:szCs w:val="21"/>
          <w:highlight w:val="none"/>
        </w:rPr>
        <w:t>名单</w:t>
      </w:r>
    </w:p>
    <w:p w14:paraId="4F07553B">
      <w:pPr>
        <w:spacing w:before="0" w:after="0"/>
        <w:outlineLvl w:val="9"/>
        <w:rPr>
          <w:rFonts w:eastAsia="宋体" w:cs="宋体"/>
          <w:b/>
          <w:sz w:val="21"/>
          <w:szCs w:val="21"/>
          <w:highlight w:val="none"/>
        </w:rPr>
      </w:pPr>
    </w:p>
    <w:p w14:paraId="3DFF63EA">
      <w:pPr>
        <w:pStyle w:val="33"/>
        <w:spacing w:before="0" w:after="0" w:line="360" w:lineRule="auto"/>
        <w:rPr>
          <w:rFonts w:eastAsia="宋体" w:cs="宋体"/>
          <w:b/>
          <w:sz w:val="21"/>
          <w:szCs w:val="21"/>
          <w:highlight w:val="none"/>
        </w:rPr>
      </w:pPr>
    </w:p>
    <w:p w14:paraId="647A1E4D">
      <w:pPr>
        <w:pStyle w:val="33"/>
        <w:spacing w:before="0" w:after="0" w:line="360" w:lineRule="auto"/>
        <w:rPr>
          <w:rFonts w:eastAsia="宋体" w:cs="宋体"/>
          <w:b/>
          <w:sz w:val="21"/>
          <w:szCs w:val="21"/>
          <w:highlight w:val="none"/>
        </w:rPr>
      </w:pPr>
    </w:p>
    <w:p w14:paraId="16EC6EAD">
      <w:pPr>
        <w:pStyle w:val="5"/>
        <w:widowControl/>
        <w:spacing w:line="360" w:lineRule="auto"/>
        <w:rPr>
          <w:rFonts w:hAnsi="宋体" w:cs="宋体"/>
          <w:b/>
          <w:sz w:val="21"/>
          <w:szCs w:val="21"/>
          <w:highlight w:val="none"/>
        </w:rPr>
      </w:pPr>
      <w:r>
        <w:rPr>
          <w:rFonts w:hint="eastAsia" w:hAnsi="宋体" w:cs="宋体"/>
          <w:b/>
          <w:sz w:val="21"/>
          <w:szCs w:val="21"/>
          <w:highlight w:val="none"/>
        </w:rPr>
        <w:t>附件</w:t>
      </w:r>
      <w:r>
        <w:rPr>
          <w:rFonts w:hint="eastAsia" w:hAnsi="宋体" w:cs="宋体"/>
          <w:b/>
          <w:sz w:val="21"/>
          <w:szCs w:val="21"/>
          <w:highlight w:val="none"/>
          <w:lang w:val="en-US" w:eastAsia="zh-CN"/>
        </w:rPr>
        <w:t>八</w:t>
      </w:r>
      <w:r>
        <w:rPr>
          <w:rFonts w:hint="eastAsia" w:hAnsi="宋体" w:cs="宋体"/>
          <w:b/>
          <w:sz w:val="21"/>
          <w:szCs w:val="21"/>
          <w:highlight w:val="none"/>
        </w:rPr>
        <w:t>：服务费计价表</w:t>
      </w:r>
    </w:p>
    <w:p w14:paraId="6038CA78">
      <w:pPr>
        <w:pStyle w:val="33"/>
        <w:keepNext w:val="0"/>
        <w:keepLines w:val="0"/>
        <w:pageBreakBefore w:val="0"/>
        <w:kinsoku/>
        <w:wordWrap/>
        <w:overflowPunct/>
        <w:topLinePunct w:val="0"/>
        <w:bidi w:val="0"/>
        <w:adjustRightInd/>
        <w:snapToGrid/>
        <w:spacing w:before="0" w:beforeAutospacing="0" w:after="0" w:afterAutospacing="0" w:line="360" w:lineRule="auto"/>
        <w:textAlignment w:val="auto"/>
        <w:rPr>
          <w:rFonts w:cs="宋体"/>
          <w:b/>
          <w:sz w:val="21"/>
          <w:szCs w:val="21"/>
          <w:highlight w:val="none"/>
        </w:rPr>
      </w:pPr>
    </w:p>
    <w:p w14:paraId="5D653A23">
      <w:pPr>
        <w:keepNext w:val="0"/>
        <w:keepLines w:val="0"/>
        <w:pageBreakBefore w:val="0"/>
        <w:kinsoku/>
        <w:wordWrap/>
        <w:overflowPunct/>
        <w:topLinePunct w:val="0"/>
        <w:autoSpaceDE w:val="0"/>
        <w:autoSpaceDN w:val="0"/>
        <w:bidi w:val="0"/>
        <w:adjustRightInd/>
        <w:snapToGrid/>
        <w:spacing w:beforeAutospacing="0" w:afterAutospacing="0" w:line="360" w:lineRule="auto"/>
        <w:jc w:val="left"/>
        <w:textAlignment w:val="auto"/>
        <w:rPr>
          <w:sz w:val="21"/>
          <w:szCs w:val="21"/>
          <w:highlight w:val="none"/>
        </w:rPr>
      </w:pPr>
      <w:r>
        <w:rPr>
          <w:rFonts w:hint="eastAsia" w:ascii="宋体" w:hAnsi="宋体" w:eastAsia="宋体" w:cs="宋体"/>
          <w:b/>
          <w:bCs/>
          <w:kern w:val="0"/>
          <w:sz w:val="21"/>
          <w:szCs w:val="21"/>
          <w:highlight w:val="none"/>
        </w:rPr>
        <w:t>1.东莞市水务环境投资控股集团供水有限公司2026-2027年度清洁保洁、绿化养护、除“四害”及灭蚁防治服务采购项目服务费计价表（模版）（注：该模版内容届时以合同签订为准）</w:t>
      </w:r>
    </w:p>
    <w:tbl>
      <w:tblPr>
        <w:tblStyle w:val="37"/>
        <w:tblW w:w="4999" w:type="pct"/>
        <w:tblInd w:w="0" w:type="dxa"/>
        <w:tblLayout w:type="autofit"/>
        <w:tblCellMar>
          <w:top w:w="0" w:type="dxa"/>
          <w:left w:w="108" w:type="dxa"/>
          <w:bottom w:w="0" w:type="dxa"/>
          <w:right w:w="108" w:type="dxa"/>
        </w:tblCellMar>
      </w:tblPr>
      <w:tblGrid>
        <w:gridCol w:w="741"/>
        <w:gridCol w:w="1359"/>
        <w:gridCol w:w="1319"/>
        <w:gridCol w:w="2174"/>
        <w:gridCol w:w="2145"/>
        <w:gridCol w:w="2630"/>
      </w:tblGrid>
      <w:tr w14:paraId="7210CEF3">
        <w:tblPrEx>
          <w:tblCellMar>
            <w:top w:w="0" w:type="dxa"/>
            <w:left w:w="108" w:type="dxa"/>
            <w:bottom w:w="0" w:type="dxa"/>
            <w:right w:w="108" w:type="dxa"/>
          </w:tblCellMar>
        </w:tblPrEx>
        <w:trPr>
          <w:trHeight w:val="900" w:hRule="atLeast"/>
        </w:trPr>
        <w:tc>
          <w:tcPr>
            <w:tcW w:w="357"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146BCB">
            <w:pPr>
              <w:widowControl/>
              <w:jc w:val="center"/>
              <w:textAlignment w:val="center"/>
              <w:rPr>
                <w:rFonts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序号</w:t>
            </w:r>
          </w:p>
        </w:tc>
        <w:tc>
          <w:tcPr>
            <w:tcW w:w="655"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1ED1BA0">
            <w:pPr>
              <w:widowControl/>
              <w:jc w:val="center"/>
              <w:textAlignment w:val="center"/>
              <w:rPr>
                <w:rFonts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名称</w:t>
            </w:r>
          </w:p>
        </w:tc>
        <w:tc>
          <w:tcPr>
            <w:tcW w:w="636"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F2A70C3">
            <w:pPr>
              <w:widowControl/>
              <w:jc w:val="center"/>
              <w:textAlignment w:val="center"/>
              <w:rPr>
                <w:rFonts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单位</w:t>
            </w:r>
          </w:p>
        </w:tc>
        <w:tc>
          <w:tcPr>
            <w:tcW w:w="104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D701B9B">
            <w:pPr>
              <w:widowControl/>
              <w:jc w:val="center"/>
              <w:textAlignment w:val="center"/>
              <w:rPr>
                <w:rFonts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工程量（面积)</w:t>
            </w:r>
          </w:p>
        </w:tc>
        <w:tc>
          <w:tcPr>
            <w:tcW w:w="2302"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76808FEC">
            <w:pPr>
              <w:widowControl/>
              <w:jc w:val="center"/>
              <w:textAlignment w:val="center"/>
              <w:rPr>
                <w:rFonts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金额（元）</w:t>
            </w:r>
          </w:p>
        </w:tc>
      </w:tr>
      <w:tr w14:paraId="14583C2D">
        <w:tblPrEx>
          <w:tblCellMar>
            <w:top w:w="0" w:type="dxa"/>
            <w:left w:w="108" w:type="dxa"/>
            <w:bottom w:w="0" w:type="dxa"/>
            <w:right w:w="108" w:type="dxa"/>
          </w:tblCellMar>
        </w:tblPrEx>
        <w:trPr>
          <w:trHeight w:val="1280" w:hRule="atLeast"/>
        </w:trPr>
        <w:tc>
          <w:tcPr>
            <w:tcW w:w="357"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E652F3">
            <w:pPr>
              <w:jc w:val="center"/>
              <w:rPr>
                <w:rFonts w:ascii="宋体" w:hAnsi="宋体" w:eastAsia="宋体" w:cs="宋体"/>
                <w:b/>
                <w:bCs/>
                <w:sz w:val="21"/>
                <w:szCs w:val="21"/>
                <w:highlight w:val="none"/>
              </w:rPr>
            </w:pPr>
          </w:p>
        </w:tc>
        <w:tc>
          <w:tcPr>
            <w:tcW w:w="655"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0C7CA66">
            <w:pPr>
              <w:jc w:val="center"/>
              <w:rPr>
                <w:rFonts w:ascii="宋体" w:hAnsi="宋体" w:eastAsia="宋体" w:cs="宋体"/>
                <w:b/>
                <w:bCs/>
                <w:sz w:val="21"/>
                <w:szCs w:val="21"/>
                <w:highlight w:val="none"/>
              </w:rPr>
            </w:pPr>
          </w:p>
        </w:tc>
        <w:tc>
          <w:tcPr>
            <w:tcW w:w="636"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A00F4D">
            <w:pPr>
              <w:jc w:val="center"/>
              <w:rPr>
                <w:rFonts w:ascii="宋体" w:hAnsi="宋体" w:eastAsia="宋体" w:cs="宋体"/>
                <w:b/>
                <w:bCs/>
                <w:sz w:val="21"/>
                <w:szCs w:val="21"/>
                <w:highlight w:val="none"/>
              </w:rPr>
            </w:pPr>
          </w:p>
        </w:tc>
        <w:tc>
          <w:tcPr>
            <w:tcW w:w="104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6BD33996">
            <w:pPr>
              <w:jc w:val="center"/>
              <w:rPr>
                <w:rFonts w:ascii="宋体" w:hAnsi="宋体" w:eastAsia="宋体" w:cs="宋体"/>
                <w:b/>
                <w:bCs/>
                <w:sz w:val="21"/>
                <w:szCs w:val="21"/>
                <w:highlight w:val="none"/>
              </w:rPr>
            </w:pPr>
          </w:p>
        </w:tc>
        <w:tc>
          <w:tcPr>
            <w:tcW w:w="10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3C3CAE">
            <w:pPr>
              <w:widowControl/>
              <w:jc w:val="center"/>
              <w:textAlignment w:val="center"/>
              <w:rPr>
                <w:rFonts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不含税</w:t>
            </w:r>
            <w:r>
              <w:rPr>
                <w:rFonts w:hint="eastAsia" w:ascii="宋体" w:hAnsi="宋体" w:eastAsia="宋体" w:cs="宋体"/>
                <w:b/>
                <w:bCs/>
                <w:kern w:val="0"/>
                <w:sz w:val="21"/>
                <w:szCs w:val="21"/>
                <w:highlight w:val="none"/>
                <w:lang w:val="en-US" w:eastAsia="zh-CN" w:bidi="ar"/>
              </w:rPr>
              <w:t>中标</w:t>
            </w:r>
            <w:r>
              <w:rPr>
                <w:rFonts w:hint="eastAsia" w:ascii="宋体" w:hAnsi="宋体" w:eastAsia="宋体" w:cs="宋体"/>
                <w:b/>
                <w:bCs/>
                <w:kern w:val="0"/>
                <w:sz w:val="21"/>
                <w:szCs w:val="21"/>
                <w:highlight w:val="none"/>
                <w:lang w:bidi="ar"/>
              </w:rPr>
              <w:t>综合单价（元/㎡/月）</w:t>
            </w:r>
          </w:p>
        </w:tc>
        <w:tc>
          <w:tcPr>
            <w:tcW w:w="12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3A598">
            <w:pPr>
              <w:widowControl/>
              <w:jc w:val="center"/>
              <w:textAlignment w:val="center"/>
              <w:rPr>
                <w:rFonts w:ascii="宋体" w:hAnsi="宋体" w:eastAsia="宋体" w:cs="宋体"/>
                <w:b/>
                <w:bCs/>
                <w:sz w:val="21"/>
                <w:szCs w:val="21"/>
                <w:highlight w:val="none"/>
              </w:rPr>
            </w:pPr>
            <w:r>
              <w:rPr>
                <w:rFonts w:hint="eastAsia" w:ascii="宋体" w:hAnsi="宋体" w:eastAsia="宋体" w:cs="宋体"/>
                <w:b/>
                <w:bCs/>
                <w:kern w:val="0"/>
                <w:sz w:val="21"/>
                <w:szCs w:val="21"/>
                <w:highlight w:val="none"/>
                <w:lang w:bidi="ar"/>
              </w:rPr>
              <w:t>不含税合计（元/月）</w:t>
            </w:r>
          </w:p>
        </w:tc>
      </w:tr>
    </w:tbl>
    <w:p w14:paraId="39C51A13">
      <w:pPr>
        <w:autoSpaceDE w:val="0"/>
        <w:autoSpaceDN w:val="0"/>
        <w:adjustRightInd w:val="0"/>
        <w:snapToGrid w:val="0"/>
        <w:spacing w:line="360" w:lineRule="auto"/>
        <w:jc w:val="left"/>
        <w:rPr>
          <w:rFonts w:ascii="宋体" w:hAnsi="宋体" w:eastAsia="宋体" w:cs="宋体"/>
          <w:kern w:val="0"/>
          <w:szCs w:val="21"/>
          <w:highlight w:val="none"/>
        </w:rPr>
      </w:pPr>
    </w:p>
    <w:p w14:paraId="0B4639DE">
      <w:pPr>
        <w:pStyle w:val="33"/>
        <w:spacing w:line="360" w:lineRule="auto"/>
        <w:rPr>
          <w:highlight w:val="none"/>
        </w:rPr>
      </w:pPr>
    </w:p>
    <w:p w14:paraId="5E13371B">
      <w:pPr>
        <w:spacing w:line="360" w:lineRule="auto"/>
        <w:rPr>
          <w:rFonts w:hint="eastAsia" w:ascii="宋体" w:hAnsi="宋体" w:eastAsia="宋体" w:cs="宋体"/>
          <w:color w:val="auto"/>
          <w:szCs w:val="24"/>
          <w:highlight w:val="none"/>
          <w:lang w:val="zh-CN"/>
        </w:rPr>
      </w:pPr>
      <w:r>
        <w:rPr>
          <w:rFonts w:ascii="宋体" w:hAnsi="宋体" w:eastAsia="宋体" w:cs="宋体"/>
          <w:color w:val="auto"/>
          <w:szCs w:val="21"/>
          <w:highlight w:val="none"/>
        </w:rPr>
        <w:br w:type="page"/>
      </w:r>
    </w:p>
    <w:p w14:paraId="0A867E63">
      <w:pPr>
        <w:pageBreakBefore/>
        <w:spacing w:before="120" w:beforeLines="50" w:after="120" w:afterLines="50" w:line="360" w:lineRule="auto"/>
        <w:ind w:firstLine="640"/>
        <w:jc w:val="center"/>
        <w:outlineLvl w:val="0"/>
        <w:rPr>
          <w:rFonts w:hint="eastAsia" w:ascii="宋体" w:hAnsi="宋体" w:eastAsia="宋体" w:cs="宋体"/>
          <w:b/>
          <w:bCs/>
          <w:color w:val="auto"/>
          <w:sz w:val="32"/>
          <w:szCs w:val="32"/>
          <w:highlight w:val="none"/>
          <w:lang w:val="zh-CN"/>
        </w:rPr>
      </w:pPr>
      <w:r>
        <w:rPr>
          <w:rFonts w:hint="eastAsia" w:ascii="宋体" w:hAnsi="宋体" w:eastAsia="宋体" w:cs="宋体"/>
          <w:b/>
          <w:bCs/>
          <w:color w:val="auto"/>
          <w:sz w:val="32"/>
          <w:szCs w:val="32"/>
          <w:highlight w:val="none"/>
          <w:lang w:val="zh-CN"/>
        </w:rPr>
        <w:t>第五篇 相关保函格式</w:t>
      </w:r>
      <w:bookmarkEnd w:id="461"/>
      <w:bookmarkEnd w:id="462"/>
      <w:bookmarkEnd w:id="463"/>
      <w:bookmarkEnd w:id="464"/>
      <w:bookmarkEnd w:id="465"/>
      <w:bookmarkEnd w:id="466"/>
      <w:bookmarkEnd w:id="467"/>
      <w:bookmarkEnd w:id="468"/>
      <w:bookmarkEnd w:id="469"/>
      <w:bookmarkStart w:id="471" w:name="_Toc447045091"/>
      <w:bookmarkStart w:id="472" w:name="_Toc447044604"/>
      <w:bookmarkStart w:id="473" w:name="_Toc447044480"/>
    </w:p>
    <w:p w14:paraId="54D84795">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bookmarkStart w:id="474" w:name="_Toc26521_WPSOffice_Level2"/>
      <w:r>
        <w:rPr>
          <w:rFonts w:hint="eastAsia" w:ascii="宋体" w:hAnsi="宋体" w:eastAsia="宋体" w:cs="宋体"/>
          <w:b/>
          <w:color w:val="auto"/>
          <w:kern w:val="0"/>
          <w:sz w:val="28"/>
          <w:szCs w:val="28"/>
          <w:highlight w:val="none"/>
        </w:rPr>
        <w:t>一、不可撤销银行履约保函格式</w:t>
      </w:r>
      <w:bookmarkEnd w:id="471"/>
      <w:bookmarkEnd w:id="472"/>
      <w:bookmarkEnd w:id="473"/>
      <w:bookmarkEnd w:id="474"/>
    </w:p>
    <w:p w14:paraId="78A96AE6">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不可撤销银行履约保函</w:t>
      </w:r>
    </w:p>
    <w:p w14:paraId="564F84BE">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1DEE1554">
      <w:pPr>
        <w:autoSpaceDE w:val="0"/>
        <w:autoSpaceDN w:val="0"/>
        <w:adjustRightInd w:val="0"/>
        <w:spacing w:line="360" w:lineRule="auto"/>
        <w:ind w:firstLine="63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银行编号：</w:t>
      </w:r>
    </w:p>
    <w:p w14:paraId="675D4DD7">
      <w:pPr>
        <w:widowControl/>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63B99CA9">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项目名称       （招标编号：                  ）</w:t>
      </w:r>
      <w:r>
        <w:rPr>
          <w:rFonts w:hint="eastAsia" w:ascii="宋体" w:hAnsi="宋体" w:eastAsia="宋体" w:cs="宋体"/>
          <w:color w:val="auto"/>
          <w:kern w:val="0"/>
          <w:szCs w:val="21"/>
          <w:highlight w:val="none"/>
        </w:rPr>
        <w:t>合同（招标文件）中规定的义务履行合同。</w:t>
      </w:r>
    </w:p>
    <w:p w14:paraId="35E59231">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的无条件、不可撤销银行履约保函，作为申请人履行上述合同的担保。</w:t>
      </w:r>
    </w:p>
    <w:p w14:paraId="6BD88F34">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（银行名称）</w:t>
      </w:r>
      <w:r>
        <w:rPr>
          <w:rFonts w:hint="eastAsia" w:ascii="宋体" w:hAnsi="宋体" w:eastAsia="宋体" w:cs="宋体"/>
          <w:color w:val="auto"/>
          <w:kern w:val="0"/>
          <w:szCs w:val="21"/>
          <w:highlight w:val="none"/>
        </w:rPr>
        <w:t>，受申请人的委托，无条件和不可撤销地在受益人出具本保函原件且提出因申请人没有履行上述合同规定，而要求我方承担保证责任</w:t>
      </w:r>
      <w:r>
        <w:rPr>
          <w:rFonts w:hint="eastAsia" w:ascii="宋体" w:hAnsi="宋体" w:eastAsia="宋体" w:cs="宋体"/>
          <w:color w:val="auto"/>
          <w:kern w:val="0"/>
          <w:szCs w:val="21"/>
          <w:highlight w:val="none"/>
          <w:lang w:val="en-US" w:eastAsia="zh-CN"/>
        </w:rPr>
        <w:t>后，</w:t>
      </w:r>
      <w:r>
        <w:rPr>
          <w:rFonts w:hint="eastAsia" w:ascii="宋体" w:hAnsi="宋体" w:eastAsia="宋体" w:cs="宋体"/>
          <w:color w:val="auto"/>
          <w:kern w:val="0"/>
          <w:szCs w:val="21"/>
          <w:highlight w:val="none"/>
        </w:rPr>
        <w:t>在保函限额内向受益人支付不超过人民币（大写）_________（¥_______元）的款项。</w:t>
      </w:r>
    </w:p>
    <w:p w14:paraId="6800ED50">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在向我行提出要求前，我行将不坚持要求受益人首先向申请人提出上述款项的索赔。</w:t>
      </w:r>
    </w:p>
    <w:p w14:paraId="45BBB1EA">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我方还同意，任何受益人与申请人之间可能对合同条款的修改、规范或其他合同文件的变动补充，都不能免除我方按本保函所承担的责任。因此，有关上述变动、补充和修改无须通知或征得我方同意。</w:t>
      </w:r>
    </w:p>
    <w:p w14:paraId="12C7251D">
      <w:pPr>
        <w:widowControl/>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本保函应从合同签订之日起至合同期限届满并且</w:t>
      </w:r>
      <w:r>
        <w:rPr>
          <w:rFonts w:hint="eastAsia" w:ascii="宋体" w:hAnsi="宋体" w:eastAsia="宋体" w:cs="宋体"/>
          <w:color w:val="auto"/>
          <w:kern w:val="0"/>
          <w:szCs w:val="21"/>
          <w:highlight w:val="none"/>
          <w:lang w:val="en-US" w:eastAsia="zh-CN"/>
        </w:rPr>
        <w:t>申请人</w:t>
      </w:r>
      <w:r>
        <w:rPr>
          <w:rFonts w:hint="eastAsia" w:ascii="宋体" w:hAnsi="宋体" w:eastAsia="宋体" w:cs="宋体"/>
          <w:color w:val="auto"/>
          <w:kern w:val="0"/>
          <w:szCs w:val="21"/>
          <w:highlight w:val="none"/>
        </w:rPr>
        <w:t>完成本项目合同及本项目合同下所有补充协议的全部服务义务，</w:t>
      </w:r>
      <w:r>
        <w:rPr>
          <w:rFonts w:hint="eastAsia" w:ascii="宋体" w:hAnsi="宋体" w:eastAsia="宋体" w:cs="宋体"/>
          <w:color w:val="auto"/>
          <w:kern w:val="0"/>
          <w:szCs w:val="21"/>
          <w:highlight w:val="none"/>
          <w:lang w:val="en-US" w:eastAsia="zh-CN"/>
        </w:rPr>
        <w:t>受益人</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val="en-US" w:eastAsia="zh-CN"/>
        </w:rPr>
        <w:t>申请人</w:t>
      </w:r>
      <w:r>
        <w:rPr>
          <w:rFonts w:hint="eastAsia" w:ascii="宋体" w:hAnsi="宋体" w:eastAsia="宋体" w:cs="宋体"/>
          <w:color w:val="auto"/>
          <w:kern w:val="0"/>
          <w:szCs w:val="21"/>
          <w:highlight w:val="none"/>
        </w:rPr>
        <w:t>支付全部款项后二十八（28）日内保持有效。</w:t>
      </w:r>
    </w:p>
    <w:p w14:paraId="7ACFCDB9">
      <w:pPr>
        <w:widowControl/>
        <w:autoSpaceDE w:val="0"/>
        <w:autoSpaceDN w:val="0"/>
        <w:adjustRightInd w:val="0"/>
        <w:spacing w:line="360" w:lineRule="auto"/>
        <w:ind w:firstLine="437"/>
        <w:jc w:val="left"/>
        <w:rPr>
          <w:rFonts w:hint="eastAsia" w:ascii="宋体" w:hAnsi="宋体" w:eastAsia="宋体" w:cs="宋体"/>
          <w:color w:val="auto"/>
          <w:kern w:val="0"/>
          <w:szCs w:val="21"/>
          <w:highlight w:val="none"/>
        </w:rPr>
      </w:pPr>
    </w:p>
    <w:p w14:paraId="70385981">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rPr>
        <w:t>担 保 银 行：</w:t>
      </w:r>
      <w:r>
        <w:rPr>
          <w:rFonts w:hint="eastAsia" w:ascii="宋体" w:hAnsi="宋体" w:eastAsia="宋体" w:cs="宋体"/>
          <w:color w:val="auto"/>
          <w:kern w:val="0"/>
          <w:szCs w:val="21"/>
          <w:highlight w:val="none"/>
          <w:u w:val="single"/>
        </w:rPr>
        <w:t xml:space="preserve">          银行全称          (盖章)   </w:t>
      </w:r>
    </w:p>
    <w:p w14:paraId="39ED0A1A">
      <w:pPr>
        <w:widowControl/>
        <w:autoSpaceDE w:val="0"/>
        <w:autoSpaceDN w:val="0"/>
        <w:adjustRightInd w:val="0"/>
        <w:spacing w:line="360" w:lineRule="auto"/>
        <w:ind w:firstLine="2520" w:firstLineChars="1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法定代表人或其授权的代表人：</w:t>
      </w:r>
      <w:r>
        <w:rPr>
          <w:rFonts w:hint="eastAsia" w:ascii="宋体" w:hAnsi="宋体" w:eastAsia="宋体" w:cs="宋体"/>
          <w:color w:val="auto"/>
          <w:kern w:val="0"/>
          <w:szCs w:val="21"/>
          <w:highlight w:val="none"/>
          <w:u w:val="single"/>
        </w:rPr>
        <w:t xml:space="preserve">       (职务)         </w:t>
      </w:r>
    </w:p>
    <w:p w14:paraId="13D50EC8">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(姓名)         </w:t>
      </w:r>
    </w:p>
    <w:p w14:paraId="7380DE38">
      <w:pPr>
        <w:widowControl/>
        <w:autoSpaceDE w:val="0"/>
        <w:autoSpaceDN w:val="0"/>
        <w:adjustRightInd w:val="0"/>
        <w:spacing w:line="360" w:lineRule="auto"/>
        <w:ind w:firstLine="5502" w:firstLineChars="2620"/>
        <w:jc w:val="left"/>
        <w:rPr>
          <w:rFonts w:hint="eastAsia" w:ascii="宋体" w:hAnsi="宋体" w:eastAsia="宋体" w:cs="宋体"/>
          <w:color w:val="auto"/>
          <w:kern w:val="0"/>
          <w:szCs w:val="21"/>
          <w:highlight w:val="none"/>
          <w:u w:val="single"/>
        </w:rPr>
      </w:pPr>
      <w:r>
        <w:rPr>
          <w:rFonts w:hint="eastAsia" w:ascii="宋体" w:hAnsi="宋体" w:eastAsia="宋体" w:cs="宋体"/>
          <w:color w:val="auto"/>
          <w:kern w:val="0"/>
          <w:szCs w:val="21"/>
          <w:highlight w:val="none"/>
          <w:u w:val="single"/>
        </w:rPr>
        <w:t xml:space="preserve">       (签章)         </w:t>
      </w:r>
    </w:p>
    <w:p w14:paraId="5D73A284">
      <w:pPr>
        <w:autoSpaceDE w:val="0"/>
        <w:autoSpaceDN w:val="0"/>
        <w:adjustRightInd w:val="0"/>
        <w:spacing w:line="360" w:lineRule="auto"/>
        <w:ind w:left="840" w:firstLine="420" w:firstLine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 xml:space="preserve">                                 </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年</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月</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日</w:t>
      </w:r>
    </w:p>
    <w:p w14:paraId="27B2A1F7">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0C45AF04">
      <w:pPr>
        <w:widowControl/>
        <w:autoSpaceDE w:val="0"/>
        <w:autoSpaceDN w:val="0"/>
        <w:adjustRightInd w:val="0"/>
        <w:spacing w:line="360" w:lineRule="auto"/>
        <w:jc w:val="left"/>
        <w:rPr>
          <w:rFonts w:hint="eastAsia" w:ascii="宋体" w:hAnsi="宋体" w:eastAsia="宋体" w:cs="宋体"/>
          <w:color w:val="auto"/>
          <w:kern w:val="0"/>
          <w:szCs w:val="21"/>
          <w:highlight w:val="none"/>
        </w:rPr>
      </w:pPr>
    </w:p>
    <w:p w14:paraId="6D572407">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sectPr>
          <w:footerReference r:id="rId8" w:type="first"/>
          <w:footerReference r:id="rId7" w:type="default"/>
          <w:pgSz w:w="12240" w:h="15840"/>
          <w:pgMar w:top="1191" w:right="1043" w:bottom="1191" w:left="1043" w:header="720" w:footer="720" w:gutter="0"/>
          <w:cols w:space="720" w:num="1"/>
          <w:titlePg/>
          <w:docGrid w:linePitch="326" w:charSpace="0"/>
        </w:sectPr>
      </w:pPr>
    </w:p>
    <w:p w14:paraId="5CC2E35D">
      <w:pPr>
        <w:numPr>
          <w:ilvl w:val="0"/>
          <w:numId w:val="0"/>
        </w:numPr>
        <w:outlineLvl w:val="1"/>
        <w:rPr>
          <w:rFonts w:hint="eastAsia" w:ascii="宋体" w:hAnsi="宋体" w:eastAsia="宋体" w:cs="宋体"/>
          <w:b/>
          <w:color w:val="auto"/>
          <w:kern w:val="0"/>
          <w:sz w:val="28"/>
          <w:szCs w:val="28"/>
          <w:highlight w:val="none"/>
          <w:lang w:val="en-US" w:eastAsia="zh-CN"/>
        </w:rPr>
      </w:pPr>
      <w:r>
        <w:rPr>
          <w:rFonts w:hint="eastAsia" w:ascii="宋体" w:hAnsi="宋体" w:eastAsia="宋体" w:cs="宋体"/>
          <w:b/>
          <w:color w:val="auto"/>
          <w:kern w:val="0"/>
          <w:sz w:val="28"/>
          <w:szCs w:val="28"/>
          <w:highlight w:val="none"/>
          <w:lang w:val="en-US" w:eastAsia="zh-CN" w:bidi="ar-SA"/>
        </w:rPr>
        <w:t>二、</w:t>
      </w:r>
      <w:r>
        <w:rPr>
          <w:rFonts w:hint="eastAsia" w:ascii="宋体" w:hAnsi="宋体" w:eastAsia="宋体" w:cs="宋体"/>
          <w:b/>
          <w:color w:val="auto"/>
          <w:kern w:val="0"/>
          <w:sz w:val="28"/>
          <w:szCs w:val="28"/>
          <w:highlight w:val="none"/>
          <w:lang w:val="en-US" w:eastAsia="zh-CN"/>
        </w:rPr>
        <w:t>履约保证保险凭证格式</w:t>
      </w:r>
    </w:p>
    <w:p w14:paraId="284DDCD9">
      <w:pPr>
        <w:autoSpaceDE w:val="0"/>
        <w:autoSpaceDN w:val="0"/>
        <w:adjustRightInd w:val="0"/>
        <w:jc w:val="center"/>
        <w:rPr>
          <w:rFonts w:hint="eastAsia" w:ascii="宋体" w:hAnsi="宋体" w:eastAsia="宋体" w:cs="宋体"/>
          <w:b/>
          <w:color w:val="auto"/>
          <w:kern w:val="0"/>
          <w:sz w:val="30"/>
          <w:szCs w:val="30"/>
          <w:highlight w:val="none"/>
          <w:lang w:val="en-US" w:eastAsia="zh-CN"/>
        </w:rPr>
      </w:pPr>
    </w:p>
    <w:p w14:paraId="1D494380">
      <w:pPr>
        <w:autoSpaceDE w:val="0"/>
        <w:autoSpaceDN w:val="0"/>
        <w:adjustRightInd w:val="0"/>
        <w:jc w:val="center"/>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履约保证保险凭证</w:t>
      </w:r>
    </w:p>
    <w:p w14:paraId="49359066">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3792565F">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编号：</w:t>
      </w:r>
    </w:p>
    <w:p w14:paraId="16829255">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（下称“受益人”）： </w:t>
      </w:r>
    </w:p>
    <w:p w14:paraId="56043074">
      <w:pPr>
        <w:autoSpaceDE w:val="0"/>
        <w:autoSpaceDN w:val="0"/>
        <w:adjustRightInd w:val="0"/>
        <w:spacing w:line="360" w:lineRule="auto"/>
        <w:ind w:firstLine="437"/>
        <w:jc w:val="left"/>
        <w:rPr>
          <w:rFonts w:hint="eastAsia" w:ascii="宋体" w:hAnsi="宋体" w:eastAsia="宋体" w:cs="宋体"/>
          <w:color w:val="auto"/>
          <w:kern w:val="0"/>
          <w:szCs w:val="21"/>
          <w:highlight w:val="none"/>
          <w:lang w:val="en-US" w:eastAsia="zh-CN"/>
        </w:rPr>
      </w:pPr>
    </w:p>
    <w:p w14:paraId="48D33ABC">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鉴于</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（下称“申请人”）已与贵方签订了</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。我方已接受申请人的请求，并出具《履约保证保险》保险单。 </w:t>
      </w:r>
    </w:p>
    <w:p w14:paraId="1EFEDC9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一、保证保险金额 </w:t>
      </w:r>
    </w:p>
    <w:p w14:paraId="060AE405">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我方承担的履约保证保险的保险金额（最高限额）为人民币（大写）</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元 （¥</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lang w:val="en-US" w:eastAsia="zh-CN"/>
        </w:rPr>
        <w:t xml:space="preserve"> ）。 </w:t>
      </w:r>
    </w:p>
    <w:p w14:paraId="7FED5F9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二、保证保险的责任范围 </w:t>
      </w:r>
    </w:p>
    <w:p w14:paraId="0AAE4A27">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在保险期间内，申请人因自身原因未按照与贵方签订的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w:t>
      </w:r>
      <w:r>
        <w:rPr>
          <w:rFonts w:hint="eastAsia" w:ascii="宋体" w:hAnsi="宋体" w:eastAsia="宋体" w:cs="宋体"/>
          <w:color w:val="auto"/>
          <w:kern w:val="0"/>
          <w:szCs w:val="21"/>
          <w:highlight w:val="none"/>
          <w:lang w:val="en-US" w:eastAsia="zh-CN"/>
        </w:rPr>
        <w:t xml:space="preserve">履行相关义务，给贵方造成损失的，贵方可向我方提出索赔，我方按照保险合同的约定承担损失赔偿责任。 </w:t>
      </w:r>
    </w:p>
    <w:p w14:paraId="1693350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三、代偿的安排 </w:t>
      </w:r>
    </w:p>
    <w:p w14:paraId="3E10B7D1">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贵方要求我方承担保证保险责任的，我方无条件和不可撤销地在贵方出具本履约保证保险原件且提出因申请人没有履行上述合同规定，而要求我方承担保证责任后，在保险限额内向贵方支付不超过人民币（大写）_________（¥_______元）的款项。</w:t>
      </w:r>
    </w:p>
    <w:p w14:paraId="3CED971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四、生效时间 </w:t>
      </w:r>
    </w:p>
    <w:p w14:paraId="27968CF8">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本保险凭证自我方法定代表人（或其授权代理人）签字并加盖保险承保章之日起生效。 </w:t>
      </w:r>
    </w:p>
    <w:p w14:paraId="37490FFF">
      <w:pPr>
        <w:numPr>
          <w:ilvl w:val="0"/>
          <w:numId w:val="0"/>
        </w:numPr>
        <w:autoSpaceDE w:val="0"/>
        <w:autoSpaceDN w:val="0"/>
        <w:adjustRightInd w:val="0"/>
        <w:spacing w:line="360" w:lineRule="auto"/>
        <w:ind w:firstLine="437" w:firstLineChars="0"/>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 w:val="21"/>
          <w:szCs w:val="21"/>
          <w:highlight w:val="none"/>
          <w:lang w:val="en-US" w:eastAsia="zh-CN" w:bidi="ar-SA"/>
        </w:rPr>
        <w:t>五、</w:t>
      </w:r>
      <w:r>
        <w:rPr>
          <w:rFonts w:hint="eastAsia" w:ascii="宋体" w:hAnsi="宋体" w:eastAsia="宋体" w:cs="宋体"/>
          <w:color w:val="auto"/>
          <w:kern w:val="0"/>
          <w:szCs w:val="21"/>
          <w:highlight w:val="none"/>
          <w:lang w:val="en-US" w:eastAsia="zh-CN"/>
        </w:rPr>
        <w:t>其他</w:t>
      </w:r>
    </w:p>
    <w:p w14:paraId="68E374F3">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w:t>
      </w:r>
      <w:r>
        <w:rPr>
          <w:rFonts w:hint="eastAsia" w:ascii="宋体" w:hAnsi="宋体" w:eastAsia="宋体" w:cs="宋体"/>
          <w:color w:val="auto"/>
          <w:kern w:val="0"/>
          <w:szCs w:val="21"/>
          <w:highlight w:val="none"/>
          <w:lang w:val="en-US" w:eastAsia="zh-CN"/>
        </w:rPr>
        <w:t>履约保证保险</w:t>
      </w:r>
      <w:r>
        <w:rPr>
          <w:rFonts w:hint="eastAsia" w:ascii="宋体" w:hAnsi="宋体" w:eastAsia="宋体" w:cs="宋体"/>
          <w:color w:val="auto"/>
          <w:kern w:val="0"/>
          <w:szCs w:val="21"/>
          <w:highlight w:val="none"/>
        </w:rPr>
        <w:t>应从合同签订之日起至合同期限届满并且</w:t>
      </w:r>
      <w:r>
        <w:rPr>
          <w:rFonts w:hint="eastAsia" w:ascii="宋体" w:hAnsi="宋体" w:eastAsia="宋体" w:cs="宋体"/>
          <w:color w:val="auto"/>
          <w:kern w:val="0"/>
          <w:szCs w:val="21"/>
          <w:highlight w:val="none"/>
          <w:lang w:val="en-US" w:eastAsia="zh-CN"/>
        </w:rPr>
        <w:t>申请人</w:t>
      </w:r>
      <w:r>
        <w:rPr>
          <w:rFonts w:hint="eastAsia" w:ascii="宋体" w:hAnsi="宋体" w:eastAsia="宋体" w:cs="宋体"/>
          <w:color w:val="auto"/>
          <w:kern w:val="0"/>
          <w:szCs w:val="21"/>
          <w:highlight w:val="none"/>
        </w:rPr>
        <w:t>完成本项目合同及本项目合同下所有补充协议的全部服务义务，</w:t>
      </w:r>
      <w:r>
        <w:rPr>
          <w:rFonts w:hint="eastAsia" w:ascii="宋体" w:hAnsi="宋体" w:eastAsia="宋体" w:cs="宋体"/>
          <w:color w:val="auto"/>
          <w:kern w:val="0"/>
          <w:szCs w:val="21"/>
          <w:highlight w:val="none"/>
          <w:lang w:val="en-US" w:eastAsia="zh-CN"/>
        </w:rPr>
        <w:t>受益人</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val="en-US" w:eastAsia="zh-CN"/>
        </w:rPr>
        <w:t>申请人</w:t>
      </w:r>
      <w:r>
        <w:rPr>
          <w:rFonts w:hint="eastAsia" w:ascii="宋体" w:hAnsi="宋体" w:eastAsia="宋体" w:cs="宋体"/>
          <w:color w:val="auto"/>
          <w:kern w:val="0"/>
          <w:szCs w:val="21"/>
          <w:highlight w:val="none"/>
        </w:rPr>
        <w:t>支付全部款项后二十八（28）日内保持有效。</w:t>
      </w:r>
    </w:p>
    <w:p w14:paraId="17691527">
      <w:pPr>
        <w:numPr>
          <w:ilvl w:val="0"/>
          <w:numId w:val="0"/>
        </w:numPr>
        <w:outlineLvl w:val="9"/>
        <w:rPr>
          <w:rFonts w:hint="eastAsia" w:ascii="宋体" w:hAnsi="宋体" w:eastAsia="宋体" w:cs="宋体"/>
          <w:color w:val="auto"/>
          <w:highlight w:val="none"/>
          <w:lang w:val="en-US" w:eastAsia="zh-CN"/>
        </w:rPr>
      </w:pPr>
    </w:p>
    <w:p w14:paraId="5A10C2A0">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附：《XXX 保险有限公司履约保证保险（X 款）条款》及保单 </w:t>
      </w:r>
    </w:p>
    <w:p w14:paraId="4062240A">
      <w:pPr>
        <w:autoSpaceDE w:val="0"/>
        <w:autoSpaceDN w:val="0"/>
        <w:adjustRightInd w:val="0"/>
        <w:spacing w:line="360" w:lineRule="auto"/>
        <w:ind w:firstLine="437"/>
        <w:jc w:val="center"/>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 xml:space="preserve">                                     </w:t>
      </w:r>
    </w:p>
    <w:p w14:paraId="5792FCFF">
      <w:pPr>
        <w:autoSpaceDE w:val="0"/>
        <w:autoSpaceDN w:val="0"/>
        <w:adjustRightInd w:val="0"/>
        <w:spacing w:line="360" w:lineRule="auto"/>
        <w:ind w:firstLine="437"/>
        <w:jc w:val="center"/>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                                      保险人：（盖章）</w:t>
      </w:r>
    </w:p>
    <w:p w14:paraId="4263CDFF">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 xml:space="preserve">法定代表人或授权代理人：________ </w:t>
      </w:r>
    </w:p>
    <w:p w14:paraId="03D7B551">
      <w:pPr>
        <w:autoSpaceDE w:val="0"/>
        <w:autoSpaceDN w:val="0"/>
        <w:adjustRightInd w:val="0"/>
        <w:spacing w:line="360" w:lineRule="auto"/>
        <w:ind w:firstLine="437"/>
        <w:jc w:val="righ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年 月 日</w:t>
      </w:r>
    </w:p>
    <w:p w14:paraId="48617486">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br w:type="page"/>
      </w:r>
    </w:p>
    <w:p w14:paraId="551CD494">
      <w:pPr>
        <w:autoSpaceDE w:val="0"/>
        <w:autoSpaceDN w:val="0"/>
        <w:adjustRightInd w:val="0"/>
        <w:spacing w:after="120" w:afterLines="50" w:line="360" w:lineRule="auto"/>
        <w:jc w:val="left"/>
        <w:outlineLvl w:val="1"/>
        <w:rPr>
          <w:rFonts w:hint="eastAsia" w:ascii="宋体" w:hAnsi="宋体" w:eastAsia="宋体" w:cs="宋体"/>
          <w:b/>
          <w:color w:val="auto"/>
          <w:kern w:val="0"/>
          <w:sz w:val="28"/>
          <w:szCs w:val="28"/>
          <w:highlight w:val="none"/>
        </w:rPr>
      </w:pPr>
      <w:r>
        <w:rPr>
          <w:rFonts w:hint="eastAsia" w:ascii="宋体" w:hAnsi="宋体" w:eastAsia="宋体" w:cs="宋体"/>
          <w:b/>
          <w:color w:val="auto"/>
          <w:kern w:val="0"/>
          <w:sz w:val="28"/>
          <w:szCs w:val="28"/>
          <w:highlight w:val="none"/>
          <w:lang w:val="en-US" w:eastAsia="zh-CN"/>
        </w:rPr>
        <w:t>三</w:t>
      </w:r>
      <w:r>
        <w:rPr>
          <w:rFonts w:hint="eastAsia" w:ascii="宋体" w:hAnsi="宋体" w:eastAsia="宋体" w:cs="宋体"/>
          <w:b/>
          <w:color w:val="auto"/>
          <w:kern w:val="0"/>
          <w:sz w:val="28"/>
          <w:szCs w:val="28"/>
          <w:highlight w:val="none"/>
        </w:rPr>
        <w:t>、担保公司履约担保书格式</w:t>
      </w:r>
    </w:p>
    <w:p w14:paraId="7B19E212">
      <w:pPr>
        <w:autoSpaceDE w:val="0"/>
        <w:autoSpaceDN w:val="0"/>
        <w:adjustRightInd w:val="0"/>
        <w:jc w:val="center"/>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担保公司履约担保书</w:t>
      </w:r>
    </w:p>
    <w:p w14:paraId="146A6786">
      <w:pPr>
        <w:widowControl/>
        <w:autoSpaceDE w:val="0"/>
        <w:autoSpaceDN w:val="0"/>
        <w:adjustRightInd w:val="0"/>
        <w:spacing w:before="100" w:beforeAutospacing="1" w:after="100" w:afterAutospacing="1"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b/>
          <w:color w:val="auto"/>
          <w:kern w:val="0"/>
          <w:szCs w:val="21"/>
          <w:highlight w:val="none"/>
          <w:u w:val="single"/>
        </w:rPr>
        <w:t xml:space="preserve">                    </w:t>
      </w:r>
      <w:r>
        <w:rPr>
          <w:rFonts w:hint="eastAsia" w:ascii="宋体" w:hAnsi="宋体" w:eastAsia="宋体" w:cs="宋体"/>
          <w:color w:val="auto"/>
          <w:kern w:val="0"/>
          <w:szCs w:val="21"/>
          <w:highlight w:val="none"/>
        </w:rPr>
        <w:t>（下称“受益人”）</w:t>
      </w:r>
    </w:p>
    <w:p w14:paraId="50566E8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鉴于</w:t>
      </w:r>
      <w:r>
        <w:rPr>
          <w:rFonts w:hint="eastAsia" w:ascii="宋体" w:hAnsi="宋体" w:eastAsia="宋体" w:cs="宋体"/>
          <w:color w:val="auto"/>
          <w:kern w:val="0"/>
          <w:szCs w:val="21"/>
          <w:highlight w:val="none"/>
          <w:u w:val="single"/>
        </w:rPr>
        <w:t xml:space="preserve">  （申请人的名称与地址）  </w:t>
      </w:r>
      <w:r>
        <w:rPr>
          <w:rFonts w:hint="eastAsia" w:ascii="宋体" w:hAnsi="宋体" w:eastAsia="宋体" w:cs="宋体"/>
          <w:color w:val="auto"/>
          <w:kern w:val="0"/>
          <w:szCs w:val="21"/>
          <w:highlight w:val="none"/>
        </w:rPr>
        <w:t>（下称“申请人”），已保证按拟签订的</w:t>
      </w:r>
      <w:r>
        <w:rPr>
          <w:rFonts w:hint="eastAsia" w:ascii="宋体" w:hAnsi="宋体" w:eastAsia="宋体" w:cs="宋体"/>
          <w:color w:val="auto"/>
          <w:kern w:val="0"/>
          <w:szCs w:val="21"/>
          <w:highlight w:val="none"/>
          <w:u w:val="single"/>
        </w:rPr>
        <w:t xml:space="preserve">          项目（招标编号：                  ）</w:t>
      </w:r>
      <w:r>
        <w:rPr>
          <w:rFonts w:hint="eastAsia" w:ascii="宋体" w:hAnsi="宋体" w:eastAsia="宋体" w:cs="宋体"/>
          <w:color w:val="auto"/>
          <w:kern w:val="0"/>
          <w:szCs w:val="21"/>
          <w:highlight w:val="none"/>
        </w:rPr>
        <w:t>合同（招标文件）中规定的义务履行合同。</w:t>
      </w:r>
    </w:p>
    <w:p w14:paraId="74DE6C5A">
      <w:pPr>
        <w:widowControl/>
        <w:autoSpaceDE w:val="0"/>
        <w:autoSpaceDN w:val="0"/>
        <w:adjustRightInd w:val="0"/>
        <w:spacing w:line="360" w:lineRule="auto"/>
        <w:ind w:firstLine="567" w:firstLineChars="27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根据上述合同（招标文件）规定，申请人应向受益人提供一份金额为人民币（大写）</w:t>
      </w:r>
      <w:r>
        <w:rPr>
          <w:rFonts w:hint="eastAsia" w:ascii="宋体" w:hAnsi="宋体" w:eastAsia="宋体" w:cs="宋体"/>
          <w:color w:val="auto"/>
          <w:kern w:val="0"/>
          <w:szCs w:val="21"/>
          <w:highlight w:val="none"/>
          <w:u w:val="single"/>
        </w:rPr>
        <w:t xml:space="preserve">     （RMB元）</w:t>
      </w:r>
      <w:r>
        <w:rPr>
          <w:rFonts w:hint="eastAsia" w:ascii="宋体" w:hAnsi="宋体" w:eastAsia="宋体" w:cs="宋体"/>
          <w:color w:val="auto"/>
          <w:kern w:val="0"/>
          <w:szCs w:val="21"/>
          <w:highlight w:val="none"/>
        </w:rPr>
        <w:t>的无条件、</w:t>
      </w:r>
      <w:r>
        <w:rPr>
          <w:rFonts w:hint="eastAsia" w:ascii="宋体" w:hAnsi="宋体" w:eastAsia="宋体" w:cs="宋体"/>
          <w:bCs/>
          <w:color w:val="auto"/>
          <w:kern w:val="0"/>
          <w:szCs w:val="21"/>
          <w:highlight w:val="none"/>
        </w:rPr>
        <w:t>不可撤销</w:t>
      </w:r>
      <w:r>
        <w:rPr>
          <w:rFonts w:hint="eastAsia" w:ascii="宋体" w:hAnsi="宋体" w:eastAsia="宋体" w:cs="宋体"/>
          <w:color w:val="auto"/>
          <w:kern w:val="0"/>
          <w:szCs w:val="21"/>
          <w:highlight w:val="none"/>
        </w:rPr>
        <w:t>履约担保，作为申请人履行上述合同的担保，</w:t>
      </w:r>
      <w:r>
        <w:rPr>
          <w:rFonts w:hint="eastAsia" w:ascii="宋体" w:hAnsi="宋体" w:eastAsia="宋体" w:cs="宋体"/>
          <w:color w:val="auto"/>
          <w:kern w:val="0"/>
          <w:szCs w:val="21"/>
          <w:highlight w:val="none"/>
          <w:lang w:eastAsia="zh-Hans"/>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在</w:t>
      </w:r>
      <w:r>
        <w:rPr>
          <w:rFonts w:hint="eastAsia" w:ascii="宋体" w:hAnsi="宋体" w:eastAsia="宋体" w:cs="宋体"/>
          <w:color w:val="auto"/>
          <w:kern w:val="0"/>
          <w:szCs w:val="21"/>
          <w:highlight w:val="none"/>
          <w:lang w:eastAsia="zh-Hans"/>
        </w:rPr>
        <w:t>本合同项下的保证责任为连带责任保证</w:t>
      </w:r>
      <w:r>
        <w:rPr>
          <w:rFonts w:hint="eastAsia" w:ascii="宋体" w:hAnsi="宋体" w:eastAsia="宋体" w:cs="宋体"/>
          <w:color w:val="auto"/>
          <w:kern w:val="0"/>
          <w:szCs w:val="21"/>
          <w:highlight w:val="none"/>
        </w:rPr>
        <w:t>。</w:t>
      </w:r>
    </w:p>
    <w:p w14:paraId="20397852">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（担保公司名称）  </w:t>
      </w:r>
      <w:r>
        <w:rPr>
          <w:rFonts w:hint="eastAsia" w:ascii="宋体" w:hAnsi="宋体" w:eastAsia="宋体" w:cs="宋体"/>
          <w:color w:val="auto"/>
          <w:kern w:val="0"/>
          <w:szCs w:val="21"/>
          <w:highlight w:val="none"/>
        </w:rPr>
        <w:t>，受申请人的委托，无条件和不可撤销地在受益人出具本担保书原件且提出因申请人没有履行上述合同规定，在担保书限额内向受益人支付不超过人民币（大写）_________（¥_______元）的款项。</w:t>
      </w:r>
    </w:p>
    <w:p w14:paraId="2934D44E">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我方还同意，任何受益人与申请人之间可能对合同条款的修改、规范或其他合同文件的变动补充，都不能免除我方按本担保函所承担的责任。因此，有关上述变动、补充和修改无须通知或征得我方同意。</w:t>
      </w:r>
    </w:p>
    <w:p w14:paraId="470DC199">
      <w:pPr>
        <w:autoSpaceDE w:val="0"/>
        <w:autoSpaceDN w:val="0"/>
        <w:adjustRightInd w:val="0"/>
        <w:spacing w:line="360" w:lineRule="auto"/>
        <w:ind w:firstLine="437"/>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本担保书从合同签订之日起至合同期限届满并且</w:t>
      </w:r>
      <w:r>
        <w:rPr>
          <w:rFonts w:hint="eastAsia" w:ascii="宋体" w:hAnsi="宋体" w:eastAsia="宋体" w:cs="宋体"/>
          <w:color w:val="auto"/>
          <w:kern w:val="0"/>
          <w:szCs w:val="21"/>
          <w:highlight w:val="none"/>
          <w:lang w:val="en-US" w:eastAsia="zh-CN"/>
        </w:rPr>
        <w:t>申请人</w:t>
      </w:r>
      <w:r>
        <w:rPr>
          <w:rFonts w:hint="eastAsia" w:ascii="宋体" w:hAnsi="宋体" w:eastAsia="宋体" w:cs="宋体"/>
          <w:color w:val="auto"/>
          <w:kern w:val="0"/>
          <w:szCs w:val="21"/>
          <w:highlight w:val="none"/>
        </w:rPr>
        <w:t>完成本项目合同及本项目合同下所有补充协议的全部服务义务，</w:t>
      </w:r>
      <w:r>
        <w:rPr>
          <w:rFonts w:hint="eastAsia" w:ascii="宋体" w:hAnsi="宋体" w:eastAsia="宋体" w:cs="宋体"/>
          <w:color w:val="auto"/>
          <w:kern w:val="0"/>
          <w:szCs w:val="21"/>
          <w:highlight w:val="none"/>
          <w:lang w:val="en-US" w:eastAsia="zh-CN"/>
        </w:rPr>
        <w:t>受益人</w:t>
      </w:r>
      <w:r>
        <w:rPr>
          <w:rFonts w:hint="eastAsia" w:ascii="宋体" w:hAnsi="宋体" w:eastAsia="宋体" w:cs="宋体"/>
          <w:color w:val="auto"/>
          <w:kern w:val="0"/>
          <w:szCs w:val="21"/>
          <w:highlight w:val="none"/>
        </w:rPr>
        <w:t>向</w:t>
      </w:r>
      <w:r>
        <w:rPr>
          <w:rFonts w:hint="eastAsia" w:ascii="宋体" w:hAnsi="宋体" w:eastAsia="宋体" w:cs="宋体"/>
          <w:color w:val="auto"/>
          <w:kern w:val="0"/>
          <w:szCs w:val="21"/>
          <w:highlight w:val="none"/>
          <w:lang w:val="en-US" w:eastAsia="zh-CN"/>
        </w:rPr>
        <w:t>申请人</w:t>
      </w:r>
      <w:r>
        <w:rPr>
          <w:rFonts w:hint="eastAsia" w:ascii="宋体" w:hAnsi="宋体" w:eastAsia="宋体" w:cs="宋体"/>
          <w:color w:val="auto"/>
          <w:kern w:val="0"/>
          <w:szCs w:val="21"/>
          <w:highlight w:val="none"/>
        </w:rPr>
        <w:t>支付全部款项后二十八（28）日内保持有效。</w:t>
      </w:r>
    </w:p>
    <w:p w14:paraId="7542A791">
      <w:pPr>
        <w:autoSpaceDE w:val="0"/>
        <w:autoSpaceDN w:val="0"/>
        <w:adjustRightInd w:val="0"/>
        <w:spacing w:line="360" w:lineRule="auto"/>
        <w:jc w:val="left"/>
        <w:rPr>
          <w:rFonts w:hint="eastAsia" w:ascii="宋体" w:hAnsi="宋体" w:eastAsia="宋体" w:cs="宋体"/>
          <w:color w:val="auto"/>
          <w:kern w:val="0"/>
          <w:szCs w:val="21"/>
          <w:highlight w:val="none"/>
        </w:rPr>
      </w:pPr>
    </w:p>
    <w:p w14:paraId="2167B402">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法定代表人或其授权的代理人：（签字或盖私章）</w:t>
      </w:r>
    </w:p>
    <w:p w14:paraId="093C186B">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担保公司盖章：</w:t>
      </w:r>
    </w:p>
    <w:p w14:paraId="663EEB8F">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联系电话：</w:t>
      </w:r>
    </w:p>
    <w:p w14:paraId="7D88350B">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地址：</w:t>
      </w:r>
    </w:p>
    <w:p w14:paraId="4D7AD0D5">
      <w:pPr>
        <w:autoSpaceDE w:val="0"/>
        <w:autoSpaceDN w:val="0"/>
        <w:adjustRightInd w:val="0"/>
        <w:spacing w:line="360" w:lineRule="auto"/>
        <w:ind w:firstLine="3990" w:firstLineChars="19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7C4F3144">
      <w:pPr>
        <w:autoSpaceDE w:val="0"/>
        <w:autoSpaceDN w:val="0"/>
        <w:adjustRightInd w:val="0"/>
        <w:spacing w:line="360" w:lineRule="auto"/>
        <w:ind w:right="368" w:rightChars="175"/>
        <w:jc w:val="left"/>
        <w:rPr>
          <w:rFonts w:hint="eastAsia" w:ascii="宋体" w:hAnsi="宋体" w:eastAsia="宋体" w:cs="宋体"/>
          <w:color w:val="auto"/>
          <w:kern w:val="0"/>
          <w:szCs w:val="21"/>
          <w:highlight w:val="none"/>
        </w:rPr>
      </w:pPr>
    </w:p>
    <w:p w14:paraId="7763BBE2">
      <w:pPr>
        <w:autoSpaceDE w:val="0"/>
        <w:autoSpaceDN w:val="0"/>
        <w:adjustRightInd w:val="0"/>
        <w:spacing w:line="360" w:lineRule="auto"/>
        <w:jc w:val="left"/>
        <w:rPr>
          <w:rFonts w:hint="eastAsia" w:ascii="宋体" w:hAnsi="宋体" w:eastAsia="宋体" w:cs="宋体"/>
          <w:color w:val="auto"/>
          <w:kern w:val="0"/>
          <w:szCs w:val="21"/>
          <w:highlight w:val="none"/>
        </w:rPr>
      </w:pPr>
    </w:p>
    <w:p w14:paraId="28ABE867">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863D084">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37589F45">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BA72142">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20CA3B95">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64B9588D">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7D0C11E8">
      <w:pPr>
        <w:autoSpaceDE w:val="0"/>
        <w:autoSpaceDN w:val="0"/>
        <w:adjustRightInd w:val="0"/>
        <w:spacing w:line="360" w:lineRule="auto"/>
        <w:ind w:firstLine="5775" w:firstLineChars="2750"/>
        <w:jc w:val="left"/>
        <w:rPr>
          <w:rFonts w:hint="eastAsia" w:ascii="宋体" w:hAnsi="宋体" w:eastAsia="宋体" w:cs="宋体"/>
          <w:color w:val="auto"/>
          <w:kern w:val="0"/>
          <w:szCs w:val="21"/>
          <w:highlight w:val="none"/>
        </w:rPr>
      </w:pPr>
    </w:p>
    <w:p w14:paraId="709731BC">
      <w:pPr>
        <w:autoSpaceDE w:val="0"/>
        <w:autoSpaceDN w:val="0"/>
        <w:adjustRightInd w:val="0"/>
        <w:spacing w:line="360" w:lineRule="auto"/>
        <w:ind w:firstLine="420" w:firstLineChars="200"/>
        <w:jc w:val="left"/>
        <w:rPr>
          <w:rFonts w:hint="eastAsia" w:ascii="宋体" w:hAnsi="宋体" w:eastAsia="宋体" w:cs="宋体"/>
          <w:color w:val="auto"/>
          <w:kern w:val="0"/>
          <w:szCs w:val="21"/>
          <w:highlight w:val="none"/>
        </w:rPr>
      </w:pPr>
    </w:p>
    <w:p w14:paraId="39426056">
      <w:pPr>
        <w:pageBreakBefore/>
        <w:numPr>
          <w:ilvl w:val="0"/>
          <w:numId w:val="0"/>
        </w:numPr>
        <w:tabs>
          <w:tab w:val="left" w:pos="1080"/>
        </w:tabs>
        <w:autoSpaceDE w:val="0"/>
        <w:autoSpaceDN w:val="0"/>
        <w:adjustRightInd w:val="0"/>
        <w:spacing w:line="360" w:lineRule="auto"/>
        <w:ind w:left="357" w:leftChars="-100" w:hanging="567" w:firstLineChars="0"/>
        <w:jc w:val="center"/>
        <w:outlineLvl w:val="0"/>
        <w:rPr>
          <w:rFonts w:hint="eastAsia" w:ascii="宋体" w:hAnsi="宋体" w:eastAsia="宋体" w:cs="宋体"/>
          <w:b/>
          <w:bCs/>
          <w:color w:val="auto"/>
          <w:kern w:val="44"/>
          <w:sz w:val="32"/>
          <w:szCs w:val="32"/>
          <w:highlight w:val="none"/>
          <w:lang w:val="zh-CN"/>
        </w:rPr>
      </w:pPr>
      <w:bookmarkStart w:id="475" w:name="_Toc25246"/>
      <w:bookmarkStart w:id="476" w:name="_Toc486167708"/>
      <w:bookmarkStart w:id="477" w:name="_Toc15817"/>
      <w:bookmarkStart w:id="478" w:name="_Toc9840"/>
      <w:bookmarkStart w:id="479" w:name="_Toc142508361"/>
      <w:bookmarkStart w:id="480" w:name="_Toc32761_WPSOffice_Level1"/>
      <w:bookmarkStart w:id="481" w:name="_Toc450662895"/>
      <w:r>
        <w:rPr>
          <w:rFonts w:hint="eastAsia" w:ascii="宋体" w:hAnsi="宋体" w:eastAsia="宋体" w:cs="宋体"/>
          <w:b/>
          <w:bCs/>
          <w:color w:val="auto"/>
          <w:kern w:val="44"/>
          <w:sz w:val="32"/>
          <w:szCs w:val="32"/>
          <w:highlight w:val="none"/>
          <w:lang w:val="zh-CN" w:eastAsia="zh-CN" w:bidi="ar-SA"/>
        </w:rPr>
        <w:t>第六篇</w:t>
      </w:r>
      <w:r>
        <w:rPr>
          <w:rFonts w:hint="eastAsia" w:ascii="宋体" w:hAnsi="宋体" w:eastAsia="宋体" w:cs="宋体"/>
          <w:b/>
          <w:bCs/>
          <w:color w:val="auto"/>
          <w:kern w:val="44"/>
          <w:sz w:val="32"/>
          <w:szCs w:val="32"/>
          <w:highlight w:val="none"/>
          <w:lang w:val="en-US" w:eastAsia="zh-CN"/>
        </w:rPr>
        <w:t xml:space="preserve"> </w:t>
      </w:r>
      <w:r>
        <w:rPr>
          <w:rFonts w:hint="eastAsia" w:ascii="宋体" w:hAnsi="宋体" w:eastAsia="宋体" w:cs="宋体"/>
          <w:b/>
          <w:bCs/>
          <w:color w:val="auto"/>
          <w:kern w:val="44"/>
          <w:sz w:val="32"/>
          <w:szCs w:val="32"/>
          <w:highlight w:val="none"/>
          <w:lang w:val="zh-CN"/>
        </w:rPr>
        <w:t>投标文件格式</w:t>
      </w:r>
      <w:bookmarkEnd w:id="475"/>
      <w:bookmarkEnd w:id="476"/>
      <w:bookmarkEnd w:id="477"/>
      <w:bookmarkEnd w:id="478"/>
      <w:bookmarkEnd w:id="479"/>
      <w:bookmarkEnd w:id="480"/>
      <w:bookmarkEnd w:id="481"/>
    </w:p>
    <w:p w14:paraId="582CF281">
      <w:pPr>
        <w:pStyle w:val="45"/>
        <w:numPr>
          <w:ilvl w:val="0"/>
          <w:numId w:val="0"/>
        </w:numPr>
        <w:jc w:val="center"/>
        <w:outlineLvl w:val="1"/>
        <w:rPr>
          <w:rFonts w:hint="eastAsia" w:ascii="宋体" w:hAnsi="宋体" w:eastAsia="宋体" w:cs="宋体"/>
          <w:b/>
          <w:bCs w:val="0"/>
          <w:color w:val="auto"/>
          <w:sz w:val="32"/>
          <w:szCs w:val="32"/>
          <w:highlight w:val="none"/>
          <w:lang w:val="en-US" w:eastAsia="zh-CN"/>
        </w:rPr>
      </w:pPr>
      <w:r>
        <w:rPr>
          <w:rFonts w:hint="eastAsia" w:ascii="宋体" w:hAnsi="宋体" w:eastAsia="宋体" w:cs="宋体"/>
          <w:b/>
          <w:bCs w:val="0"/>
          <w:color w:val="auto"/>
          <w:sz w:val="32"/>
          <w:szCs w:val="32"/>
          <w:highlight w:val="none"/>
          <w:lang w:val="en-US" w:eastAsia="zh-CN"/>
        </w:rPr>
        <w:t>一 商务标格式</w:t>
      </w:r>
    </w:p>
    <w:p w14:paraId="0D02BD09">
      <w:pPr>
        <w:rPr>
          <w:rFonts w:hint="eastAsia" w:ascii="宋体" w:hAnsi="宋体" w:eastAsia="宋体" w:cs="宋体"/>
          <w:color w:val="auto"/>
          <w:sz w:val="84"/>
          <w:highlight w:val="none"/>
        </w:rPr>
      </w:pPr>
      <w:bookmarkStart w:id="482" w:name="_Toc102860067"/>
      <w:bookmarkStart w:id="483" w:name="_Toc533708121"/>
      <w:bookmarkStart w:id="484" w:name="_Toc486167709"/>
      <w:bookmarkStart w:id="485" w:name="_Toc142508362"/>
      <w:bookmarkStart w:id="486" w:name="_Toc104991868"/>
      <w:bookmarkStart w:id="487" w:name="_Toc94107202"/>
      <w:bookmarkStart w:id="488" w:name="_Toc1977721"/>
      <w:bookmarkStart w:id="489" w:name="_Toc140596921"/>
      <w:bookmarkStart w:id="490" w:name="_Toc102860411"/>
      <w:bookmarkStart w:id="491" w:name="_Toc21133_WPSOffice_Level2"/>
      <w:r>
        <w:rPr>
          <w:rFonts w:hint="eastAsia" w:ascii="宋体" w:hAnsi="宋体" w:eastAsia="宋体" w:cs="宋体"/>
          <w:b/>
          <w:color w:val="auto"/>
          <w:kern w:val="0"/>
          <w:sz w:val="32"/>
          <w:szCs w:val="32"/>
          <w:highlight w:val="none"/>
        </w:rPr>
        <w:br w:type="page"/>
      </w:r>
    </w:p>
    <w:p w14:paraId="24A7D1CD">
      <w:pPr>
        <w:pStyle w:val="19"/>
        <w:spacing w:line="360" w:lineRule="auto"/>
        <w:jc w:val="center"/>
        <w:rPr>
          <w:rFonts w:hint="eastAsia" w:ascii="宋体" w:hAnsi="宋体" w:eastAsia="宋体" w:cs="宋体"/>
          <w:color w:val="auto"/>
          <w:sz w:val="84"/>
          <w:highlight w:val="none"/>
        </w:rPr>
      </w:pPr>
    </w:p>
    <w:p w14:paraId="6D9BF706">
      <w:pPr>
        <w:pStyle w:val="19"/>
        <w:spacing w:line="360" w:lineRule="auto"/>
        <w:jc w:val="center"/>
        <w:rPr>
          <w:rFonts w:hint="eastAsia" w:ascii="宋体" w:hAnsi="宋体" w:eastAsia="宋体" w:cs="宋体"/>
          <w:color w:val="auto"/>
          <w:sz w:val="84"/>
          <w:highlight w:val="none"/>
        </w:rPr>
      </w:pPr>
    </w:p>
    <w:p w14:paraId="0DA52DC3">
      <w:pPr>
        <w:pStyle w:val="19"/>
        <w:spacing w:line="360" w:lineRule="auto"/>
        <w:jc w:val="center"/>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566318F2">
      <w:pPr>
        <w:pStyle w:val="19"/>
        <w:spacing w:line="360" w:lineRule="auto"/>
        <w:rPr>
          <w:rFonts w:hint="eastAsia" w:ascii="宋体" w:hAnsi="宋体" w:eastAsia="宋体" w:cs="宋体"/>
          <w:color w:val="auto"/>
          <w:highlight w:val="none"/>
        </w:rPr>
      </w:pPr>
    </w:p>
    <w:p w14:paraId="6ED5FB9F">
      <w:pPr>
        <w:pStyle w:val="19"/>
        <w:spacing w:line="360" w:lineRule="auto"/>
        <w:rPr>
          <w:rFonts w:hint="eastAsia" w:ascii="宋体" w:hAnsi="宋体" w:eastAsia="宋体" w:cs="宋体"/>
          <w:color w:val="auto"/>
          <w:highlight w:val="none"/>
        </w:rPr>
      </w:pPr>
    </w:p>
    <w:p w14:paraId="2BCA16E6">
      <w:pPr>
        <w:pStyle w:val="19"/>
        <w:spacing w:line="360" w:lineRule="auto"/>
        <w:rPr>
          <w:rFonts w:hint="eastAsia" w:ascii="宋体" w:hAnsi="宋体" w:eastAsia="宋体" w:cs="宋体"/>
          <w:color w:val="auto"/>
          <w:highlight w:val="none"/>
        </w:rPr>
      </w:pPr>
    </w:p>
    <w:p w14:paraId="5A5D4796">
      <w:pPr>
        <w:pStyle w:val="19"/>
        <w:spacing w:line="360" w:lineRule="auto"/>
        <w:rPr>
          <w:rFonts w:hint="eastAsia" w:ascii="宋体" w:hAnsi="宋体" w:eastAsia="宋体" w:cs="宋体"/>
          <w:color w:val="auto"/>
          <w:highlight w:val="none"/>
        </w:rPr>
      </w:pPr>
    </w:p>
    <w:p w14:paraId="3974261B">
      <w:pPr>
        <w:pStyle w:val="19"/>
        <w:spacing w:line="360" w:lineRule="auto"/>
        <w:rPr>
          <w:rFonts w:hint="eastAsia" w:ascii="宋体" w:hAnsi="宋体" w:eastAsia="宋体" w:cs="宋体"/>
          <w:color w:val="auto"/>
          <w:highlight w:val="none"/>
        </w:rPr>
      </w:pPr>
    </w:p>
    <w:p w14:paraId="4AB1F8BF">
      <w:pPr>
        <w:pStyle w:val="19"/>
        <w:spacing w:line="360" w:lineRule="auto"/>
        <w:rPr>
          <w:rFonts w:hint="eastAsia" w:ascii="宋体" w:hAnsi="宋体" w:eastAsia="宋体" w:cs="宋体"/>
          <w:color w:val="auto"/>
          <w:highlight w:val="none"/>
        </w:rPr>
      </w:pPr>
    </w:p>
    <w:p w14:paraId="1C08602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52B500EC">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3E820945">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投标文件商务标 </w:t>
      </w:r>
    </w:p>
    <w:p w14:paraId="527AF47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4436A9FD">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67989725">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6D22168C">
      <w:pPr>
        <w:pStyle w:val="19"/>
        <w:spacing w:line="360" w:lineRule="auto"/>
        <w:rPr>
          <w:rFonts w:hint="eastAsia" w:ascii="宋体" w:hAnsi="宋体" w:eastAsia="宋体" w:cs="宋体"/>
          <w:color w:val="auto"/>
          <w:highlight w:val="none"/>
        </w:rPr>
      </w:pPr>
    </w:p>
    <w:p w14:paraId="6FC4913E">
      <w:pPr>
        <w:pStyle w:val="19"/>
        <w:spacing w:line="360" w:lineRule="auto"/>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1AEFC0BC">
      <w:pPr>
        <w:pStyle w:val="19"/>
        <w:spacing w:line="500" w:lineRule="exact"/>
        <w:jc w:val="center"/>
        <w:outlineLvl w:val="1"/>
        <w:rPr>
          <w:rFonts w:hint="eastAsia" w:ascii="宋体" w:hAnsi="宋体" w:eastAsia="宋体" w:cs="宋体"/>
          <w:b/>
          <w:bCs/>
          <w:color w:val="auto"/>
          <w:sz w:val="24"/>
          <w:szCs w:val="24"/>
          <w:highlight w:val="none"/>
        </w:rPr>
      </w:pPr>
      <w:bookmarkStart w:id="492" w:name="_Toc31361"/>
      <w:bookmarkStart w:id="493" w:name="_Toc25406"/>
      <w:bookmarkStart w:id="494" w:name="_Toc195714374"/>
      <w:bookmarkStart w:id="495" w:name="_Toc16205"/>
      <w:bookmarkStart w:id="496" w:name="_Toc10999"/>
      <w:bookmarkStart w:id="497" w:name="_Toc17612"/>
      <w:r>
        <w:rPr>
          <w:rFonts w:hint="eastAsia" w:ascii="宋体" w:hAnsi="宋体" w:eastAsia="宋体" w:cs="宋体"/>
          <w:b/>
          <w:bCs/>
          <w:color w:val="auto"/>
          <w:sz w:val="24"/>
          <w:szCs w:val="24"/>
          <w:highlight w:val="none"/>
        </w:rPr>
        <w:t>目录</w:t>
      </w:r>
      <w:bookmarkEnd w:id="492"/>
      <w:bookmarkEnd w:id="493"/>
      <w:bookmarkEnd w:id="494"/>
      <w:bookmarkEnd w:id="495"/>
      <w:bookmarkEnd w:id="496"/>
      <w:bookmarkEnd w:id="497"/>
    </w:p>
    <w:p w14:paraId="2D9BB8DD">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w:t>
      </w:r>
      <w:r>
        <w:rPr>
          <w:rFonts w:hint="eastAsia" w:ascii="宋体" w:hAnsi="宋体" w:eastAsia="宋体" w:cs="宋体"/>
          <w:b/>
          <w:bCs/>
          <w:color w:val="auto"/>
          <w:szCs w:val="21"/>
          <w:highlight w:val="none"/>
        </w:rPr>
        <w:t>、投标函；</w:t>
      </w:r>
    </w:p>
    <w:p w14:paraId="689AA712">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2</w:t>
      </w:r>
      <w:r>
        <w:rPr>
          <w:rFonts w:hint="eastAsia" w:ascii="宋体" w:hAnsi="宋体" w:eastAsia="宋体" w:cs="宋体"/>
          <w:b/>
          <w:bCs/>
          <w:color w:val="auto"/>
          <w:szCs w:val="21"/>
          <w:highlight w:val="none"/>
        </w:rPr>
        <w:t>、投标承诺书；</w:t>
      </w:r>
    </w:p>
    <w:p w14:paraId="0A1CE3AA">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3</w:t>
      </w:r>
      <w:r>
        <w:rPr>
          <w:rFonts w:hint="eastAsia" w:ascii="宋体" w:hAnsi="宋体" w:eastAsia="宋体" w:cs="宋体"/>
          <w:b/>
          <w:bCs/>
          <w:color w:val="auto"/>
          <w:szCs w:val="21"/>
          <w:highlight w:val="none"/>
        </w:rPr>
        <w:t>、供货及/或提供服务过程承诺函；</w:t>
      </w:r>
    </w:p>
    <w:p w14:paraId="6E77EE4F">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lang w:eastAsia="zh-CN"/>
        </w:rPr>
      </w:pPr>
      <w:r>
        <w:rPr>
          <w:rFonts w:hint="eastAsia" w:ascii="宋体" w:hAnsi="宋体" w:eastAsia="宋体" w:cs="宋体"/>
          <w:b/>
          <w:bCs/>
          <w:color w:val="auto"/>
          <w:szCs w:val="21"/>
          <w:highlight w:val="none"/>
          <w:lang w:val="en-US" w:eastAsia="zh-CN"/>
        </w:rPr>
        <w:t>4</w:t>
      </w:r>
      <w:r>
        <w:rPr>
          <w:rFonts w:hint="eastAsia" w:ascii="宋体" w:hAnsi="宋体" w:eastAsia="宋体" w:cs="宋体"/>
          <w:b/>
          <w:bCs/>
          <w:color w:val="auto"/>
          <w:szCs w:val="21"/>
          <w:highlight w:val="none"/>
        </w:rPr>
        <w:t>、投标人资格证明文件</w:t>
      </w:r>
      <w:r>
        <w:rPr>
          <w:rFonts w:hint="eastAsia" w:ascii="宋体" w:hAnsi="宋体" w:eastAsia="宋体" w:cs="宋体"/>
          <w:b/>
          <w:bCs/>
          <w:color w:val="auto"/>
          <w:szCs w:val="21"/>
          <w:highlight w:val="none"/>
          <w:lang w:eastAsia="zh-CN"/>
        </w:rPr>
        <w:t>；</w:t>
      </w:r>
    </w:p>
    <w:p w14:paraId="01DEDEB5">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5</w:t>
      </w:r>
      <w:r>
        <w:rPr>
          <w:rFonts w:hint="eastAsia" w:ascii="宋体" w:hAnsi="宋体" w:eastAsia="宋体" w:cs="宋体"/>
          <w:b/>
          <w:bCs/>
          <w:color w:val="auto"/>
          <w:szCs w:val="21"/>
          <w:highlight w:val="none"/>
        </w:rPr>
        <w:t>、投标人基本情况一览表；</w:t>
      </w:r>
    </w:p>
    <w:p w14:paraId="03CCA8F6">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6</w:t>
      </w:r>
      <w:r>
        <w:rPr>
          <w:rFonts w:hint="eastAsia" w:ascii="宋体" w:hAnsi="宋体" w:eastAsia="宋体" w:cs="宋体"/>
          <w:b/>
          <w:bCs/>
          <w:color w:val="auto"/>
          <w:szCs w:val="21"/>
          <w:highlight w:val="none"/>
        </w:rPr>
        <w:t>、投标人财务状况表；</w:t>
      </w:r>
    </w:p>
    <w:p w14:paraId="7D4F1092">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7</w:t>
      </w:r>
      <w:r>
        <w:rPr>
          <w:rFonts w:hint="eastAsia" w:ascii="宋体" w:hAnsi="宋体" w:eastAsia="宋体" w:cs="宋体"/>
          <w:b/>
          <w:bCs/>
          <w:color w:val="auto"/>
          <w:szCs w:val="21"/>
          <w:highlight w:val="none"/>
        </w:rPr>
        <w:t>、合同条款响应程度（合同条款偏离表）；</w:t>
      </w:r>
    </w:p>
    <w:p w14:paraId="045BA4A3">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8</w:t>
      </w:r>
      <w:r>
        <w:rPr>
          <w:rFonts w:hint="eastAsia" w:ascii="宋体" w:hAnsi="宋体" w:eastAsia="宋体" w:cs="宋体"/>
          <w:b/>
          <w:bCs/>
          <w:color w:val="auto"/>
          <w:szCs w:val="21"/>
          <w:highlight w:val="none"/>
        </w:rPr>
        <w:t>、业绩表；</w:t>
      </w:r>
    </w:p>
    <w:p w14:paraId="30A969EB">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lang w:val="en-US" w:eastAsia="zh-CN"/>
        </w:rPr>
      </w:pPr>
      <w:r>
        <w:rPr>
          <w:rFonts w:hint="eastAsia" w:ascii="宋体" w:hAnsi="宋体" w:eastAsia="宋体" w:cs="宋体"/>
          <w:b/>
          <w:bCs/>
          <w:color w:val="auto"/>
          <w:szCs w:val="21"/>
          <w:highlight w:val="none"/>
          <w:lang w:val="en-US" w:eastAsia="zh-CN"/>
        </w:rPr>
        <w:t>9、中标服务费承诺书；</w:t>
      </w:r>
    </w:p>
    <w:p w14:paraId="36A3D190">
      <w:pPr>
        <w:pBdr>
          <w:bottom w:val="single" w:color="auto" w:sz="6" w:space="0"/>
        </w:pBdr>
        <w:spacing w:line="500" w:lineRule="exact"/>
        <w:ind w:firstLine="472" w:firstLineChars="224"/>
        <w:jc w:val="left"/>
        <w:rPr>
          <w:rFonts w:hint="eastAsia" w:ascii="宋体" w:hAnsi="宋体" w:eastAsia="宋体" w:cs="宋体"/>
          <w:b/>
          <w:bCs/>
          <w:color w:val="auto"/>
          <w:szCs w:val="21"/>
          <w:highlight w:val="none"/>
        </w:rPr>
      </w:pPr>
      <w:r>
        <w:rPr>
          <w:rFonts w:hint="eastAsia" w:ascii="宋体" w:hAnsi="宋体" w:eastAsia="宋体" w:cs="宋体"/>
          <w:b/>
          <w:bCs/>
          <w:color w:val="auto"/>
          <w:szCs w:val="21"/>
          <w:highlight w:val="none"/>
          <w:lang w:val="en-US" w:eastAsia="zh-CN"/>
        </w:rPr>
        <w:t>10</w:t>
      </w:r>
      <w:r>
        <w:rPr>
          <w:rFonts w:hint="eastAsia" w:ascii="宋体" w:hAnsi="宋体" w:eastAsia="宋体" w:cs="宋体"/>
          <w:b/>
          <w:bCs/>
          <w:color w:val="auto"/>
          <w:szCs w:val="21"/>
          <w:highlight w:val="none"/>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p>
    <w:p w14:paraId="4332869F">
      <w:pPr>
        <w:pBdr>
          <w:bottom w:val="single" w:color="auto" w:sz="6" w:space="0"/>
        </w:pBdr>
        <w:spacing w:line="500" w:lineRule="exact"/>
        <w:ind w:firstLine="720" w:firstLineChars="224"/>
        <w:jc w:val="left"/>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rPr>
        <w:br w:type="page"/>
      </w:r>
    </w:p>
    <w:p w14:paraId="12C8B4A6">
      <w:pPr>
        <w:rPr>
          <w:rFonts w:hint="eastAsia" w:ascii="宋体" w:hAnsi="宋体" w:eastAsia="宋体" w:cs="宋体"/>
          <w:b/>
          <w:color w:val="auto"/>
          <w:kern w:val="0"/>
          <w:sz w:val="32"/>
          <w:szCs w:val="32"/>
          <w:highlight w:val="none"/>
        </w:rPr>
      </w:pPr>
    </w:p>
    <w:p w14:paraId="142A2284">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bookmarkStart w:id="498" w:name="_Toc13281"/>
      <w:bookmarkStart w:id="499" w:name="_Toc23782"/>
      <w:bookmarkStart w:id="500" w:name="_Toc27679"/>
      <w:r>
        <w:rPr>
          <w:rFonts w:hint="eastAsia" w:ascii="宋体" w:hAnsi="宋体" w:eastAsia="宋体" w:cs="宋体"/>
          <w:b/>
          <w:color w:val="auto"/>
          <w:kern w:val="0"/>
          <w:sz w:val="32"/>
          <w:szCs w:val="32"/>
          <w:highlight w:val="none"/>
          <w:lang w:val="en-US" w:eastAsia="zh-CN"/>
        </w:rPr>
        <w:t>1</w:t>
      </w:r>
      <w:r>
        <w:rPr>
          <w:rFonts w:hint="eastAsia" w:ascii="宋体" w:hAnsi="宋体" w:eastAsia="宋体" w:cs="宋体"/>
          <w:b/>
          <w:color w:val="auto"/>
          <w:kern w:val="0"/>
          <w:sz w:val="32"/>
          <w:szCs w:val="32"/>
          <w:highlight w:val="none"/>
        </w:rPr>
        <w:t>、投标函格式</w:t>
      </w:r>
      <w:bookmarkEnd w:id="482"/>
      <w:bookmarkEnd w:id="483"/>
      <w:bookmarkEnd w:id="484"/>
      <w:bookmarkEnd w:id="485"/>
      <w:bookmarkEnd w:id="486"/>
      <w:bookmarkEnd w:id="487"/>
      <w:bookmarkEnd w:id="488"/>
      <w:bookmarkEnd w:id="489"/>
      <w:bookmarkEnd w:id="490"/>
      <w:bookmarkEnd w:id="491"/>
      <w:bookmarkEnd w:id="498"/>
      <w:bookmarkEnd w:id="499"/>
      <w:bookmarkEnd w:id="500"/>
    </w:p>
    <w:p w14:paraId="44CAAE0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501" w:name="_Toc16695_WPSOffice_Level3"/>
      <w:r>
        <w:rPr>
          <w:rFonts w:hint="eastAsia" w:ascii="宋体" w:hAnsi="宋体" w:eastAsia="宋体" w:cs="宋体"/>
          <w:b/>
          <w:bCs/>
          <w:color w:val="auto"/>
          <w:sz w:val="30"/>
          <w:szCs w:val="30"/>
          <w:highlight w:val="none"/>
          <w:lang w:val="zh-CN"/>
        </w:rPr>
        <w:t>投 标 函</w:t>
      </w:r>
      <w:bookmarkEnd w:id="501"/>
    </w:p>
    <w:p w14:paraId="763970EF">
      <w:pPr>
        <w:autoSpaceDE w:val="0"/>
        <w:autoSpaceDN w:val="0"/>
        <w:adjustRightInd w:val="0"/>
        <w:spacing w:line="360" w:lineRule="auto"/>
        <w:outlineLvl w:val="9"/>
        <w:rPr>
          <w:rFonts w:hint="eastAsia" w:ascii="宋体" w:hAnsi="宋体" w:eastAsia="宋体" w:cs="宋体"/>
          <w:color w:val="auto"/>
          <w:szCs w:val="21"/>
          <w:highlight w:val="none"/>
          <w:lang w:val="zh-CN"/>
        </w:rPr>
      </w:pPr>
    </w:p>
    <w:p w14:paraId="695A60AE">
      <w:pPr>
        <w:autoSpaceDE w:val="0"/>
        <w:autoSpaceDN w:val="0"/>
        <w:adjustRightInd w:val="0"/>
        <w:spacing w:line="360" w:lineRule="auto"/>
        <w:outlineLvl w:val="9"/>
        <w:rPr>
          <w:rFonts w:hint="eastAsia" w:ascii="宋体" w:hAnsi="宋体" w:eastAsia="宋体" w:cs="宋体"/>
          <w:color w:val="auto"/>
          <w:szCs w:val="21"/>
          <w:highlight w:val="none"/>
          <w:lang w:val="zh-CN" w:eastAsia="zh-CN"/>
        </w:rPr>
      </w:pPr>
      <w:r>
        <w:rPr>
          <w:rFonts w:hint="eastAsia" w:ascii="宋体" w:hAnsi="宋体" w:eastAsia="宋体" w:cs="宋体"/>
          <w:color w:val="auto"/>
          <w:szCs w:val="21"/>
          <w:highlight w:val="none"/>
          <w:lang w:val="zh-CN"/>
        </w:rPr>
        <w:t>致：</w:t>
      </w:r>
      <w:r>
        <w:rPr>
          <w:rFonts w:hint="eastAsia" w:ascii="宋体" w:hAnsi="宋体" w:eastAsia="宋体" w:cs="宋体"/>
          <w:color w:val="auto"/>
          <w:kern w:val="0"/>
          <w:szCs w:val="21"/>
          <w:highlight w:val="none"/>
          <w:u w:val="single"/>
          <w:lang w:eastAsia="zh-CN"/>
        </w:rPr>
        <w:t>东莞市水务环境投资控股集团供水有限公司</w:t>
      </w:r>
    </w:p>
    <w:p w14:paraId="2044033F">
      <w:pPr>
        <w:autoSpaceDE w:val="0"/>
        <w:autoSpaceDN w:val="0"/>
        <w:adjustRightInd w:val="0"/>
        <w:spacing w:line="360" w:lineRule="auto"/>
        <w:outlineLvl w:val="9"/>
        <w:rPr>
          <w:rFonts w:hint="eastAsia" w:ascii="宋体" w:hAnsi="宋体" w:eastAsia="宋体" w:cs="宋体"/>
          <w:color w:val="auto"/>
          <w:szCs w:val="21"/>
          <w:highlight w:val="none"/>
        </w:rPr>
      </w:pPr>
    </w:p>
    <w:p w14:paraId="6FA81E5B">
      <w:pPr>
        <w:wordWrap w:val="0"/>
        <w:autoSpaceDE w:val="0"/>
        <w:autoSpaceDN w:val="0"/>
        <w:adjustRightInd w:val="0"/>
        <w:spacing w:line="360" w:lineRule="auto"/>
        <w:ind w:firstLine="42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根据贵方为</w:t>
      </w:r>
      <w:r>
        <w:rPr>
          <w:rFonts w:hint="eastAsia" w:ascii="宋体" w:hAnsi="宋体" w:eastAsia="宋体" w:cs="宋体"/>
          <w:color w:val="auto"/>
          <w:kern w:val="0"/>
          <w:szCs w:val="21"/>
          <w:highlight w:val="none"/>
          <w:u w:val="single"/>
          <w:lang w:eastAsia="zh-CN"/>
        </w:rPr>
        <w:t>东莞市水务环境投资控股集团供水有限公司2026-2027年度清洁保洁、绿化养护、除“四害”及灭蚁防治服务采购项目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)的投标邀请，我方（投标人名称）作为投标人正式授权</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授权代表全名，职务）代表我方进行有关本次投标的一切事宜。</w:t>
      </w:r>
    </w:p>
    <w:p w14:paraId="7F25FE4C">
      <w:pPr>
        <w:autoSpaceDE w:val="0"/>
        <w:autoSpaceDN w:val="0"/>
        <w:adjustRightInd w:val="0"/>
        <w:spacing w:line="360" w:lineRule="auto"/>
        <w:ind w:firstLine="42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我方已完全明白招标文件的所有条款要求，并重申以下几点：</w:t>
      </w:r>
    </w:p>
    <w:p w14:paraId="005403C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（—）我方决定参加招标编号为</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u w:val="single"/>
          <w:lang w:val="en-US" w:eastAsia="zh-CN"/>
        </w:rPr>
        <w:t xml:space="preserve">             </w:t>
      </w:r>
      <w:r>
        <w:rPr>
          <w:rFonts w:hint="eastAsia" w:ascii="宋体" w:hAnsi="宋体" w:eastAsia="宋体" w:cs="宋体"/>
          <w:color w:val="auto"/>
          <w:szCs w:val="21"/>
          <w:highlight w:val="none"/>
          <w:lang w:val="zh-CN"/>
        </w:rPr>
        <w:t>的投标；</w:t>
      </w:r>
    </w:p>
    <w:p w14:paraId="04E7F431">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（二）本投标文件的有效期自递交投标文件截止时间届满后90日有效，如中标，有效期将延至合同终止日为止；</w:t>
      </w:r>
    </w:p>
    <w:p w14:paraId="73E53E08">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（三）我方已详细研究了招标文件的所有内容包括修正文（如有）和所有已提供的参考资料以及有关附件并完全明白，我方放弃在此方面提出含糊意见或误解的一切权力；</w:t>
      </w:r>
    </w:p>
    <w:p w14:paraId="60EDAD74">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（四）我方明白并愿意在规定的递交投标文件截止时间和日期之后，投标有效期之内撤销投标，则不予退还我方投标保证金；</w:t>
      </w:r>
    </w:p>
    <w:p w14:paraId="27873C0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（五）我方同意按照贵方可能提出的要求而提供与投标有关的任何其它数据或信息；</w:t>
      </w:r>
    </w:p>
    <w:p w14:paraId="475709D9">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（六）我方理解贵方不一定接受最低报价或任何贵方可能收到的报价；</w:t>
      </w:r>
    </w:p>
    <w:p w14:paraId="1B9E9FBC">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（七）我方如果中标，将保证履行招标文件以及招标文件修改书（如有）中的全部责任和义务，按质、按量、按期完成《合同书》中的全部任务；</w:t>
      </w:r>
    </w:p>
    <w:p w14:paraId="0114940B">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（八）保证投标文件中所有资料均真实有效，否则按无效投标处理或可取消中标资格，并愿意接受按弄虚作假骗取中标的有关规定进行处理，并不予退还我方投标保证金；</w:t>
      </w:r>
    </w:p>
    <w:p w14:paraId="001A0C90">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（九）若我方中标后，我方一定按照招标文件的要求和投标文件的承诺签订和履行合同，否则贵方可取消我方中标资格，并依法不予退还我方投标保证金或履约担保，我方愿意接受违约处罚；</w:t>
      </w:r>
    </w:p>
    <w:p w14:paraId="62FD38A6">
      <w:pPr>
        <w:autoSpaceDE w:val="0"/>
        <w:autoSpaceDN w:val="0"/>
        <w:adjustRightInd w:val="0"/>
        <w:spacing w:line="360" w:lineRule="auto"/>
        <w:ind w:firstLine="315" w:firstLineChars="15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（十）若我方中标后，核查出投标文件内容前后不一致，我方愿按最高标准的承诺履约义务；</w:t>
      </w:r>
    </w:p>
    <w:p w14:paraId="0DCE3A14">
      <w:pPr>
        <w:autoSpaceDE w:val="0"/>
        <w:autoSpaceDN w:val="0"/>
        <w:adjustRightInd w:val="0"/>
        <w:spacing w:line="360" w:lineRule="auto"/>
        <w:ind w:firstLine="315" w:firstLineChars="150"/>
        <w:outlineLvl w:val="9"/>
        <w:rPr>
          <w:rFonts w:hint="eastAsia" w:ascii="宋体" w:hAnsi="宋体" w:eastAsia="宋体" w:cs="宋体"/>
          <w:color w:val="auto"/>
          <w:szCs w:val="21"/>
          <w:highlight w:val="none"/>
          <w:lang w:val="zh-CN"/>
        </w:rPr>
      </w:pPr>
      <w:bookmarkStart w:id="502" w:name="_Toc3743"/>
      <w:r>
        <w:rPr>
          <w:rFonts w:hint="eastAsia" w:ascii="宋体" w:hAnsi="宋体" w:eastAsia="宋体" w:cs="宋体"/>
          <w:color w:val="auto"/>
          <w:szCs w:val="21"/>
          <w:highlight w:val="none"/>
          <w:lang w:val="zh-CN"/>
        </w:rPr>
        <w:t>（十一）所有与本投标有关的函件请发往下列地址：</w:t>
      </w:r>
      <w:bookmarkEnd w:id="502"/>
    </w:p>
    <w:p w14:paraId="47AAA001">
      <w:pPr>
        <w:autoSpaceDE w:val="0"/>
        <w:autoSpaceDN w:val="0"/>
        <w:adjustRightInd w:val="0"/>
        <w:spacing w:line="360" w:lineRule="auto"/>
        <w:ind w:left="395" w:leftChars="-12" w:hanging="420" w:hangingChars="200"/>
        <w:outlineLvl w:val="9"/>
        <w:rPr>
          <w:rFonts w:hint="eastAsia" w:ascii="宋体" w:hAnsi="宋体" w:eastAsia="宋体" w:cs="宋体"/>
          <w:color w:val="auto"/>
          <w:szCs w:val="21"/>
          <w:highlight w:val="none"/>
          <w:u w:val="single"/>
          <w:lang w:val="zh-CN"/>
        </w:rPr>
      </w:pPr>
    </w:p>
    <w:p w14:paraId="10682A37">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u w:val="single"/>
          <w:lang w:val="zh-CN"/>
        </w:rPr>
      </w:pPr>
      <w:r>
        <w:rPr>
          <w:rFonts w:hint="eastAsia" w:ascii="宋体" w:hAnsi="宋体" w:eastAsia="宋体" w:cs="宋体"/>
          <w:color w:val="auto"/>
          <w:szCs w:val="21"/>
          <w:highlight w:val="none"/>
          <w:lang w:val="zh-CN"/>
        </w:rPr>
        <w:t>地  　址：</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邮政编码：</w:t>
      </w:r>
      <w:r>
        <w:rPr>
          <w:rFonts w:hint="eastAsia" w:ascii="宋体" w:hAnsi="宋体" w:eastAsia="宋体" w:cs="宋体"/>
          <w:color w:val="auto"/>
          <w:szCs w:val="21"/>
          <w:highlight w:val="none"/>
          <w:u w:val="single"/>
          <w:lang w:val="zh-CN"/>
        </w:rPr>
        <w:t xml:space="preserve">　　　　　　　　　　 </w:t>
      </w:r>
    </w:p>
    <w:p w14:paraId="4E2735D5">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电　　话：</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lang w:val="zh-CN"/>
        </w:rPr>
        <w:t>代表姓名：</w:t>
      </w:r>
      <w:r>
        <w:rPr>
          <w:rFonts w:hint="eastAsia" w:ascii="宋体" w:hAnsi="宋体" w:eastAsia="宋体" w:cs="宋体"/>
          <w:color w:val="auto"/>
          <w:szCs w:val="21"/>
          <w:highlight w:val="none"/>
          <w:u w:val="single"/>
          <w:lang w:val="zh-CN"/>
        </w:rPr>
        <w:t>　　　　　　　　　　　</w:t>
      </w:r>
    </w:p>
    <w:p w14:paraId="717D99B7">
      <w:pPr>
        <w:autoSpaceDE w:val="0"/>
        <w:autoSpaceDN w:val="0"/>
        <w:adjustRightInd w:val="0"/>
        <w:spacing w:line="360" w:lineRule="auto"/>
        <w:ind w:firstLine="420" w:firstLineChars="2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传　　真：</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 xml:space="preserve">        职　　务：</w:t>
      </w:r>
      <w:r>
        <w:rPr>
          <w:rFonts w:hint="eastAsia" w:ascii="宋体" w:hAnsi="宋体" w:eastAsia="宋体" w:cs="宋体"/>
          <w:color w:val="auto"/>
          <w:szCs w:val="21"/>
          <w:highlight w:val="none"/>
          <w:u w:val="single"/>
          <w:lang w:val="zh-CN"/>
        </w:rPr>
        <w:t xml:space="preserve">　　　　　　　　　　 </w:t>
      </w:r>
    </w:p>
    <w:p w14:paraId="34FFF026">
      <w:pPr>
        <w:autoSpaceDE w:val="0"/>
        <w:autoSpaceDN w:val="0"/>
        <w:adjustRightInd w:val="0"/>
        <w:spacing w:line="360" w:lineRule="auto"/>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ab/>
      </w:r>
      <w:r>
        <w:rPr>
          <w:rFonts w:hint="eastAsia" w:ascii="宋体" w:hAnsi="宋体" w:eastAsia="宋体" w:cs="宋体"/>
          <w:color w:val="auto"/>
          <w:szCs w:val="21"/>
          <w:highlight w:val="none"/>
        </w:rPr>
        <w:t>电子邮箱：</w:t>
      </w:r>
      <w:r>
        <w:rPr>
          <w:rFonts w:hint="eastAsia" w:ascii="宋体" w:hAnsi="宋体" w:eastAsia="宋体" w:cs="宋体"/>
          <w:color w:val="auto"/>
          <w:szCs w:val="21"/>
          <w:highlight w:val="none"/>
          <w:u w:val="single"/>
          <w:lang w:val="zh-CN"/>
        </w:rPr>
        <w:t>　　　　　　　　　　　</w:t>
      </w:r>
      <w:r>
        <w:rPr>
          <w:rFonts w:hint="eastAsia" w:ascii="宋体" w:hAnsi="宋体" w:eastAsia="宋体" w:cs="宋体"/>
          <w:color w:val="auto"/>
          <w:szCs w:val="21"/>
          <w:highlight w:val="none"/>
          <w:lang w:val="zh-CN"/>
        </w:rPr>
        <w:tab/>
      </w:r>
    </w:p>
    <w:p w14:paraId="49D54AAD">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p>
    <w:p w14:paraId="57EEE696">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4005689F">
      <w:pPr>
        <w:autoSpaceDE w:val="0"/>
        <w:autoSpaceDN w:val="0"/>
        <w:adjustRightInd w:val="0"/>
        <w:spacing w:line="360" w:lineRule="auto"/>
        <w:ind w:firstLine="4960" w:firstLineChars="2362"/>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64094F98">
      <w:pPr>
        <w:autoSpaceDE w:val="0"/>
        <w:autoSpaceDN w:val="0"/>
        <w:adjustRightInd w:val="0"/>
        <w:spacing w:line="360" w:lineRule="auto"/>
        <w:ind w:firstLine="4960" w:firstLineChars="2362"/>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25480FA0">
      <w:pPr>
        <w:tabs>
          <w:tab w:val="left" w:pos="567"/>
        </w:tabs>
        <w:autoSpaceDE w:val="0"/>
        <w:autoSpaceDN w:val="0"/>
        <w:adjustRightInd w:val="0"/>
        <w:spacing w:line="360" w:lineRule="auto"/>
        <w:ind w:left="357" w:leftChars="-100" w:hanging="567"/>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70CC6AE5">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bookmarkStart w:id="503" w:name="_Toc1977722"/>
      <w:bookmarkStart w:id="504" w:name="_Toc140596922"/>
      <w:bookmarkStart w:id="505" w:name="_Toc102860412"/>
      <w:bookmarkStart w:id="506" w:name="_Toc12417"/>
      <w:bookmarkStart w:id="507" w:name="_Toc533708122"/>
      <w:bookmarkStart w:id="508" w:name="_Toc142508363"/>
      <w:bookmarkStart w:id="509" w:name="_Toc94107203"/>
      <w:bookmarkStart w:id="510" w:name="_Toc102860068"/>
      <w:bookmarkStart w:id="511" w:name="_Toc28613_WPSOffice_Level2"/>
      <w:bookmarkStart w:id="512" w:name="_Toc104991869"/>
      <w:bookmarkStart w:id="513" w:name="_Toc30995"/>
      <w:bookmarkStart w:id="514" w:name="_Toc3104"/>
      <w:bookmarkStart w:id="515" w:name="_Toc486167710"/>
    </w:p>
    <w:p w14:paraId="7DBB2418">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2</w:t>
      </w:r>
      <w:r>
        <w:rPr>
          <w:rFonts w:hint="eastAsia" w:ascii="宋体" w:hAnsi="宋体" w:eastAsia="宋体" w:cs="宋体"/>
          <w:b/>
          <w:color w:val="auto"/>
          <w:kern w:val="0"/>
          <w:sz w:val="32"/>
          <w:szCs w:val="32"/>
          <w:highlight w:val="none"/>
        </w:rPr>
        <w:t>、投标承诺书格式</w:t>
      </w:r>
      <w:bookmarkEnd w:id="503"/>
      <w:bookmarkEnd w:id="504"/>
      <w:bookmarkEnd w:id="505"/>
      <w:bookmarkEnd w:id="506"/>
      <w:bookmarkEnd w:id="507"/>
      <w:bookmarkEnd w:id="508"/>
      <w:bookmarkEnd w:id="509"/>
      <w:bookmarkEnd w:id="510"/>
      <w:bookmarkEnd w:id="511"/>
      <w:bookmarkEnd w:id="512"/>
      <w:bookmarkEnd w:id="513"/>
      <w:bookmarkEnd w:id="514"/>
      <w:bookmarkEnd w:id="515"/>
    </w:p>
    <w:p w14:paraId="18523EC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投标承诺书</w:t>
      </w:r>
    </w:p>
    <w:p w14:paraId="51BDCA7B">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57D841D1">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（投标人名称）已完整阅读了</w:t>
      </w:r>
      <w:r>
        <w:rPr>
          <w:rFonts w:hint="eastAsia" w:ascii="宋体" w:hAnsi="宋体" w:eastAsia="宋体" w:cs="宋体"/>
          <w:color w:val="auto"/>
          <w:kern w:val="0"/>
          <w:szCs w:val="21"/>
          <w:highlight w:val="none"/>
          <w:u w:val="single"/>
          <w:lang w:eastAsia="zh-CN"/>
        </w:rPr>
        <w:t>东莞市水务环境投资控股集团供水有限公司2026-2027年度清洁保洁、绿化养护、除“四害”及灭蚁防治服务采购项目</w:t>
      </w:r>
      <w:r>
        <w:rPr>
          <w:rFonts w:hint="eastAsia" w:ascii="宋体" w:hAnsi="宋体" w:eastAsia="宋体" w:cs="宋体"/>
          <w:color w:val="auto"/>
          <w:kern w:val="0"/>
          <w:szCs w:val="21"/>
          <w:highlight w:val="none"/>
        </w:rPr>
        <w:t>（招标编号：</w:t>
      </w:r>
      <w:r>
        <w:rPr>
          <w:rFonts w:hint="eastAsia" w:ascii="宋体" w:hAnsi="宋体" w:eastAsia="宋体" w:cs="宋体"/>
          <w:szCs w:val="21"/>
          <w:highlight w:val="none"/>
          <w:lang w:val="en-US" w:eastAsia="zh-CN"/>
        </w:rPr>
        <w:t xml:space="preserve">                  </w:t>
      </w:r>
      <w:r>
        <w:rPr>
          <w:rFonts w:hint="eastAsia" w:ascii="宋体" w:hAnsi="宋体" w:eastAsia="宋体" w:cs="宋体"/>
          <w:color w:val="auto"/>
          <w:kern w:val="0"/>
          <w:szCs w:val="21"/>
          <w:highlight w:val="none"/>
        </w:rPr>
        <w:t>）招标文件的所有内容（包括澄清，以及所有已提供的参考资料和有关附件），并完全理解上述文件所表达的意思，该项目递交投标文件时间截止后，我方承诺不再对上述文件内容进行询问或</w:t>
      </w:r>
      <w:r>
        <w:rPr>
          <w:rFonts w:hint="eastAsia" w:ascii="宋体" w:hAnsi="宋体" w:eastAsia="宋体" w:cs="宋体"/>
          <w:color w:val="auto"/>
          <w:kern w:val="0"/>
          <w:szCs w:val="21"/>
          <w:highlight w:val="none"/>
          <w:lang w:eastAsia="zh-CN"/>
        </w:rPr>
        <w:t>异议</w:t>
      </w:r>
      <w:r>
        <w:rPr>
          <w:rFonts w:hint="eastAsia" w:ascii="宋体" w:hAnsi="宋体" w:eastAsia="宋体" w:cs="宋体"/>
          <w:color w:val="auto"/>
          <w:kern w:val="0"/>
          <w:szCs w:val="21"/>
          <w:highlight w:val="none"/>
        </w:rPr>
        <w:t>。</w:t>
      </w:r>
      <w:r>
        <w:rPr>
          <w:rFonts w:hint="eastAsia" w:ascii="宋体" w:hAnsi="宋体" w:eastAsia="宋体" w:cs="宋体"/>
          <w:color w:val="auto"/>
          <w:kern w:val="0"/>
          <w:szCs w:val="21"/>
          <w:highlight w:val="none"/>
        </w:rPr>
        <w:cr/>
      </w:r>
      <w:r>
        <w:rPr>
          <w:rFonts w:hint="eastAsia" w:ascii="宋体" w:hAnsi="宋体" w:eastAsia="宋体" w:cs="宋体"/>
          <w:color w:val="auto"/>
          <w:kern w:val="0"/>
          <w:szCs w:val="21"/>
          <w:highlight w:val="none"/>
        </w:rPr>
        <w:t xml:space="preserve">    我方承诺，若我方存在通过弄虚作假、虚假响应招标文件要求等手段骗取中标的，招标人有权或协助主管部门认定我方严重失信的不良行为，纳入相关企业信用“黑名单”，限制我方参与依法必须招标项目的投标，并向行政主管部门报送结果。同时，招标人有权根据《关于对环境保护领域失信生产经营单位及其有关人员开展联合惩戒的合作备忘录》等规定，通过“信用中国”网站向社会公示我方的失信行为，实现“一处失信、处处受限”。</w:t>
      </w:r>
    </w:p>
    <w:p w14:paraId="21D57BF6">
      <w:pPr>
        <w:widowControl/>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若我方在投标或履行本合同过程中存在提供虚假材料、虚假响应招标文件要求等弄虚作假行为，或未能根据招标文件投标人须知第</w:t>
      </w:r>
      <w:r>
        <w:rPr>
          <w:rFonts w:hint="eastAsia" w:ascii="宋体" w:hAnsi="宋体" w:eastAsia="宋体" w:cs="宋体"/>
          <w:color w:val="auto"/>
          <w:kern w:val="0"/>
          <w:szCs w:val="21"/>
          <w:highlight w:val="none"/>
          <w:lang w:val="en-US" w:eastAsia="zh-CN"/>
        </w:rPr>
        <w:t>31</w:t>
      </w:r>
      <w:r>
        <w:rPr>
          <w:rFonts w:hint="eastAsia" w:ascii="宋体" w:hAnsi="宋体" w:eastAsia="宋体" w:cs="宋体"/>
          <w:color w:val="auto"/>
          <w:kern w:val="0"/>
          <w:szCs w:val="21"/>
          <w:highlight w:val="none"/>
        </w:rPr>
        <w:t>.2款约定按时提供原件核查的，因此导致我方无法参与</w:t>
      </w:r>
      <w:r>
        <w:rPr>
          <w:rFonts w:hint="eastAsia" w:ascii="宋体" w:hAnsi="宋体" w:eastAsia="宋体" w:cs="宋体"/>
          <w:color w:val="auto"/>
          <w:kern w:val="0"/>
          <w:szCs w:val="21"/>
          <w:highlight w:val="none"/>
          <w:lang w:eastAsia="zh-CN"/>
        </w:rPr>
        <w:t>东莞市水务环境投资控股集团有限公司</w:t>
      </w:r>
      <w:r>
        <w:rPr>
          <w:rFonts w:hint="eastAsia" w:ascii="宋体" w:hAnsi="宋体" w:eastAsia="宋体" w:cs="宋体"/>
          <w:color w:val="auto"/>
          <w:kern w:val="0"/>
          <w:szCs w:val="21"/>
          <w:highlight w:val="none"/>
        </w:rPr>
        <w:t>相关招标采购活动的，由我方自行承担全部后果。</w:t>
      </w:r>
    </w:p>
    <w:p w14:paraId="66E56950">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p>
    <w:p w14:paraId="3955CE93">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51D4BF0">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3FDB9E4D">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5D9B213">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78E1C439">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87ABAE3">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055040B4">
      <w:pPr>
        <w:autoSpaceDE w:val="0"/>
        <w:autoSpaceDN w:val="0"/>
        <w:adjustRightInd w:val="0"/>
        <w:spacing w:line="360" w:lineRule="auto"/>
        <w:jc w:val="left"/>
        <w:rPr>
          <w:rFonts w:hint="eastAsia" w:ascii="宋体" w:hAnsi="宋体" w:eastAsia="宋体" w:cs="宋体"/>
          <w:color w:val="auto"/>
          <w:kern w:val="0"/>
          <w:sz w:val="24"/>
          <w:szCs w:val="24"/>
          <w:highlight w:val="none"/>
        </w:rPr>
      </w:pPr>
    </w:p>
    <w:p w14:paraId="6163F38A">
      <w:pPr>
        <w:autoSpaceDE w:val="0"/>
        <w:autoSpaceDN w:val="0"/>
        <w:adjustRightInd w:val="0"/>
        <w:spacing w:line="360" w:lineRule="auto"/>
        <w:ind w:firstLine="480" w:firstLineChars="200"/>
        <w:jc w:val="left"/>
        <w:outlineLvl w:val="9"/>
        <w:rPr>
          <w:rFonts w:hint="eastAsia" w:ascii="宋体" w:hAnsi="宋体" w:eastAsia="宋体" w:cs="宋体"/>
          <w:color w:val="auto"/>
          <w:kern w:val="0"/>
          <w:sz w:val="24"/>
          <w:szCs w:val="24"/>
          <w:highlight w:val="none"/>
        </w:rPr>
      </w:pPr>
    </w:p>
    <w:p w14:paraId="16453300">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p>
    <w:p w14:paraId="6321D1A1">
      <w:pPr>
        <w:autoSpaceDE w:val="0"/>
        <w:autoSpaceDN w:val="0"/>
        <w:adjustRightInd w:val="0"/>
        <w:spacing w:line="360" w:lineRule="auto"/>
        <w:jc w:val="left"/>
        <w:outlineLvl w:val="9"/>
        <w:rPr>
          <w:rFonts w:hint="eastAsia" w:ascii="宋体" w:hAnsi="宋体" w:eastAsia="宋体" w:cs="宋体"/>
          <w:color w:val="auto"/>
          <w:kern w:val="0"/>
          <w:sz w:val="24"/>
          <w:szCs w:val="24"/>
          <w:highlight w:val="none"/>
        </w:rPr>
      </w:pPr>
      <w:bookmarkStart w:id="516" w:name="_Toc316896755"/>
      <w:bookmarkStart w:id="517" w:name="_Toc311032584"/>
      <w:bookmarkStart w:id="518" w:name="_Toc326768876"/>
    </w:p>
    <w:p w14:paraId="4CCB34E1">
      <w:pPr>
        <w:pageBreakBefore/>
        <w:autoSpaceDE w:val="0"/>
        <w:autoSpaceDN w:val="0"/>
        <w:adjustRightInd w:val="0"/>
        <w:spacing w:line="360" w:lineRule="auto"/>
        <w:jc w:val="left"/>
        <w:outlineLvl w:val="1"/>
        <w:rPr>
          <w:rFonts w:hint="eastAsia" w:ascii="宋体" w:hAnsi="宋体" w:eastAsia="宋体" w:cs="宋体"/>
          <w:b/>
          <w:color w:val="auto"/>
          <w:kern w:val="44"/>
          <w:sz w:val="32"/>
          <w:szCs w:val="32"/>
          <w:highlight w:val="none"/>
        </w:rPr>
      </w:pPr>
      <w:bookmarkStart w:id="519" w:name="_Toc102860413"/>
      <w:bookmarkStart w:id="520" w:name="_Toc140596923"/>
      <w:bookmarkStart w:id="521" w:name="_Toc86764083"/>
      <w:bookmarkStart w:id="522" w:name="_Toc104991870"/>
      <w:bookmarkStart w:id="523" w:name="_Toc82182546"/>
      <w:bookmarkStart w:id="524" w:name="_Toc94107204"/>
      <w:bookmarkStart w:id="525" w:name="_Toc29910"/>
      <w:bookmarkStart w:id="526" w:name="_Toc142508364"/>
      <w:bookmarkStart w:id="527" w:name="_Toc24336"/>
      <w:bookmarkStart w:id="528" w:name="_Toc5075"/>
      <w:bookmarkStart w:id="529" w:name="_Toc102860069"/>
      <w:bookmarkStart w:id="530" w:name="_Toc533708123"/>
      <w:bookmarkStart w:id="531" w:name="_Toc1977723"/>
      <w:bookmarkStart w:id="532" w:name="_Toc7024_WPSOffice_Level2"/>
      <w:bookmarkStart w:id="533" w:name="_Toc486167711"/>
      <w:r>
        <w:rPr>
          <w:rFonts w:hint="eastAsia" w:ascii="宋体" w:hAnsi="宋体" w:eastAsia="宋体" w:cs="宋体"/>
          <w:b/>
          <w:color w:val="auto"/>
          <w:kern w:val="44"/>
          <w:sz w:val="32"/>
          <w:szCs w:val="32"/>
          <w:highlight w:val="none"/>
          <w:lang w:val="en-US" w:eastAsia="zh-CN"/>
        </w:rPr>
        <w:t>3</w:t>
      </w:r>
      <w:r>
        <w:rPr>
          <w:rFonts w:hint="eastAsia" w:ascii="宋体" w:hAnsi="宋体" w:eastAsia="宋体" w:cs="宋体"/>
          <w:b/>
          <w:color w:val="auto"/>
          <w:kern w:val="44"/>
          <w:sz w:val="32"/>
          <w:szCs w:val="32"/>
          <w:highlight w:val="none"/>
        </w:rPr>
        <w:t>、供货及/或提供服务过程承诺函格式</w:t>
      </w:r>
      <w:bookmarkEnd w:id="519"/>
      <w:bookmarkEnd w:id="520"/>
      <w:bookmarkEnd w:id="521"/>
      <w:bookmarkEnd w:id="522"/>
      <w:bookmarkEnd w:id="523"/>
      <w:bookmarkEnd w:id="524"/>
      <w:bookmarkEnd w:id="525"/>
      <w:bookmarkEnd w:id="526"/>
      <w:bookmarkEnd w:id="527"/>
      <w:bookmarkEnd w:id="528"/>
      <w:bookmarkEnd w:id="529"/>
    </w:p>
    <w:p w14:paraId="1351590F">
      <w:pPr>
        <w:autoSpaceDE w:val="0"/>
        <w:autoSpaceDN w:val="0"/>
        <w:adjustRightInd w:val="0"/>
        <w:spacing w:line="360" w:lineRule="auto"/>
        <w:jc w:val="center"/>
        <w:outlineLvl w:val="9"/>
        <w:rPr>
          <w:rFonts w:hint="eastAsia" w:ascii="宋体" w:hAnsi="宋体" w:eastAsia="宋体" w:cs="宋体"/>
          <w:b/>
          <w:color w:val="auto"/>
          <w:kern w:val="44"/>
          <w:sz w:val="30"/>
          <w:szCs w:val="30"/>
          <w:highlight w:val="none"/>
        </w:rPr>
      </w:pPr>
      <w:r>
        <w:rPr>
          <w:rFonts w:hint="eastAsia" w:ascii="宋体" w:hAnsi="宋体" w:eastAsia="宋体" w:cs="宋体"/>
          <w:b/>
          <w:color w:val="auto"/>
          <w:kern w:val="44"/>
          <w:sz w:val="30"/>
          <w:szCs w:val="30"/>
          <w:highlight w:val="none"/>
        </w:rPr>
        <w:t>供货及/或提供服务过程承诺函</w:t>
      </w:r>
    </w:p>
    <w:p w14:paraId="54A3601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致</w:t>
      </w:r>
      <w:r>
        <w:rPr>
          <w:rFonts w:hint="eastAsia" w:ascii="宋体" w:hAnsi="宋体" w:eastAsia="宋体" w:cs="宋体"/>
          <w:color w:val="auto"/>
          <w:kern w:val="0"/>
          <w:szCs w:val="21"/>
          <w:highlight w:val="none"/>
          <w:lang w:eastAsia="zh-CN"/>
        </w:rPr>
        <w:t>东莞市水务环境投资控股集团供水有限公司</w:t>
      </w:r>
      <w:r>
        <w:rPr>
          <w:rFonts w:hint="eastAsia" w:ascii="宋体" w:hAnsi="宋体" w:eastAsia="宋体" w:cs="宋体"/>
          <w:color w:val="auto"/>
          <w:kern w:val="0"/>
          <w:szCs w:val="21"/>
          <w:highlight w:val="none"/>
        </w:rPr>
        <w:t>：</w:t>
      </w:r>
    </w:p>
    <w:p w14:paraId="1F0B72C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我方</w:t>
      </w:r>
      <w:r>
        <w:rPr>
          <w:rFonts w:hint="eastAsia" w:ascii="宋体" w:hAnsi="宋体" w:eastAsia="宋体" w:cs="宋体"/>
          <w:color w:val="auto"/>
          <w:kern w:val="0"/>
          <w:szCs w:val="21"/>
          <w:highlight w:val="none"/>
          <w:u w:val="single"/>
        </w:rPr>
        <w:t xml:space="preserve">                   </w:t>
      </w:r>
      <w:r>
        <w:rPr>
          <w:rFonts w:hint="eastAsia" w:ascii="宋体" w:hAnsi="宋体" w:eastAsia="宋体" w:cs="宋体"/>
          <w:color w:val="auto"/>
          <w:kern w:val="0"/>
          <w:szCs w:val="21"/>
          <w:highlight w:val="none"/>
        </w:rPr>
        <w:t>（投标人名称）为招标人公开招标的</w:t>
      </w:r>
      <w:r>
        <w:rPr>
          <w:rFonts w:hint="eastAsia" w:ascii="宋体" w:hAnsi="宋体" w:eastAsia="宋体" w:cs="宋体"/>
          <w:color w:val="auto"/>
          <w:kern w:val="0"/>
          <w:szCs w:val="21"/>
          <w:highlight w:val="none"/>
          <w:lang w:eastAsia="zh-CN"/>
        </w:rPr>
        <w:t>东莞市水务环境投资控股集团供水有限公司2026-2027年度清洁保洁、绿化养护、除“四害”及灭蚁防治服务采购项目</w:t>
      </w:r>
      <w:r>
        <w:rPr>
          <w:rFonts w:hint="eastAsia" w:ascii="宋体" w:hAnsi="宋体" w:eastAsia="宋体" w:cs="宋体"/>
          <w:color w:val="auto"/>
          <w:kern w:val="0"/>
          <w:szCs w:val="21"/>
          <w:highlight w:val="none"/>
        </w:rPr>
        <w:t>(招标编号：</w:t>
      </w:r>
      <w:r>
        <w:rPr>
          <w:rFonts w:hint="eastAsia" w:ascii="宋体" w:hAnsi="宋体" w:eastAsia="宋体" w:cs="宋体"/>
          <w:szCs w:val="21"/>
          <w:highlight w:val="none"/>
          <w:lang w:val="en-US" w:eastAsia="zh-CN"/>
        </w:rPr>
        <w:t xml:space="preserve">                  </w:t>
      </w:r>
      <w:r>
        <w:rPr>
          <w:rFonts w:hint="eastAsia" w:ascii="宋体" w:hAnsi="宋体" w:eastAsia="宋体" w:cs="宋体"/>
          <w:color w:val="auto"/>
          <w:kern w:val="0"/>
          <w:szCs w:val="21"/>
          <w:highlight w:val="none"/>
        </w:rPr>
        <w:t>)的投标单位，为确保供货及/或提供服务过程中的人身、财产安全，我方承诺，如我方获得中标资格，将严格按照下列要求开展工作。</w:t>
      </w:r>
    </w:p>
    <w:p w14:paraId="3AE1C81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1、我方承诺将严格遵守国家、地方政府有关安全生产及劳动保护的法律法规、标准、规定，贯彻执行招标人的各项安全管理规章制度。</w:t>
      </w:r>
    </w:p>
    <w:p w14:paraId="3146BD21">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2、我方承诺将依法参加工伤保险，为安排至招标人从事本项目的工作人员缴纳保险费，并为从事危险作业的人员办理意外伤害保险。</w:t>
      </w:r>
    </w:p>
    <w:p w14:paraId="0E79DE6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3、我方承诺服从招标人的安全管理，保证作业区域的现场文明安全管理达标，现场临时用电、机器设备、安全防护齐全、完好，并接受和配合招标人的安全监督检查，我方提供到招标人现场作业的所有安全装置、防护设施必须依据经招标人审批后的安全技术方案进行搭设、安装，同时我方无条件保证安全防护设施使用的搭设材料的质量安全，在用于安全防护的物资进场前将有关物资的材质证明报招标人，经招标人确认后方可使用。</w:t>
      </w:r>
    </w:p>
    <w:p w14:paraId="2441014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4、我方承诺携带进场的机器设备、机具必须是合格产品，并对携带进场的机器设备、机具安全负责管理、维护及检查，对招标人和自查发现的安全隐患落实整改措施。如我方使用不合格机器设备、机具造成事故的，由我方自行承担责任。</w:t>
      </w:r>
    </w:p>
    <w:p w14:paraId="7D7C0BA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5、我方人员未经许可不随意到作业区域以外的其它工作场所活动，我方作业人员擅自到作业区域以外的其它工作场所活动，出现人身损害或财产损失的，由我方自行负责一切责任。我方作业人员如需动用或作业涉及到招标人所属设备、电器、管线及其他设施等，承诺事先征得招标人代表的同意，并采取安全防护措施。</w:t>
      </w:r>
    </w:p>
    <w:p w14:paraId="3E59DB0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6、我方承诺在进行卸货等工作时，严格遵守相关劳动安全规定，并按要求佩戴相关安全劳动防护用具。我方承诺做好安全防护措施，在工作过程中出现的安全事故由我方自行处理并承担全部责任。我方承诺我方人员在招标人场所遵守招标人的一切规章制度和安全条例，服从招标人的监督。我方在提供服务过程中，如因违反招标人相关规章制度、安全条例，或因不服从招标人监督而发生安全事故的，其结果与责任均由我方负责，招标人无须承担任何结果与责任。</w:t>
      </w:r>
    </w:p>
    <w:p w14:paraId="24931FA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7、我方承诺协助和指导招标人进行货物的储存，对招标人的储存方式、方法、储存数量、仓库的安全设施设备、安全生产规章制度等是否符合国家标准或者国家有关规定提出合理的建议，并进行技术指导。</w:t>
      </w:r>
    </w:p>
    <w:p w14:paraId="70ABCF4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8、我方车辆在招标人场所行驶时，将严格遵守厂区道路限行，限速和限重要求，如因我方未遵守前述要求，对厂区/招标人（含其人员）、我方人员、第三方造成损失的，由我方承担赔偿责任。</w:t>
      </w:r>
    </w:p>
    <w:p w14:paraId="4D3DDF9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如我方开展服务项目需进行外出调研或现场作业的，由我方派人负责安全保卫工作，按国家有关规定，对作业的现场人员进行安全防护、劳动保护等，并承担相应的费用。若发生工作人员或第三人人身伤害等事故的，由我方全部承担责任。</w:t>
      </w:r>
    </w:p>
    <w:p w14:paraId="20F46E64">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10、因我方原因，造成我方损失，由我方自负，给招标人造成财产损失和人员伤害，我方承担全部责任，并全额赔偿招标人。</w:t>
      </w:r>
    </w:p>
    <w:p w14:paraId="1FD03ED8">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11、非因招标人原因，造成我方损失的，招标人无需承担任何责任，由我方自行承担全部责任。</w:t>
      </w:r>
    </w:p>
    <w:p w14:paraId="33528EF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12、我方承诺严格遵守法律法规以及招标人的安全管理要求，并接受招标人的安全生产工作协调和监督，积极消除安全隐患。安全管理的基本要求包括但不限于以下条款：</w:t>
      </w:r>
    </w:p>
    <w:p w14:paraId="08A07BF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①禁火区内严禁吸烟、动火。有火灾危险的作业区域，我方承诺配置足够的灭火设施。</w:t>
      </w:r>
    </w:p>
    <w:p w14:paraId="1BF68F4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②我方承诺焊接、气割作业时两瓶距离必须达到5M及以上，气瓶距可能产生火花的电器、设备和其它火源的间距必须达到10M及以上。</w:t>
      </w:r>
    </w:p>
    <w:p w14:paraId="4593F309">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③我方承诺不在厂内道路、消防通道内搭建临时建筑或堆放物资。</w:t>
      </w:r>
    </w:p>
    <w:p w14:paraId="618380BC">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④我方承诺电动工具、电焊机等均具有漏电保护器和相应的安全防护装置。</w:t>
      </w:r>
    </w:p>
    <w:p w14:paraId="70DE425F">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⑤我方承诺用电设施符合要求，杜绝电线乱接、乱拉，刀闸和开关无盖，在电器设施上堆放物品等行为。</w:t>
      </w:r>
    </w:p>
    <w:p w14:paraId="580AC375">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⑥我方承诺防雷、防静电设施及用电设施有良好接地。</w:t>
      </w:r>
    </w:p>
    <w:p w14:paraId="24C05916">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⑦我方承诺为从业人员提供符合国家标准或者行业标准的劳动防护用品，并监督、教育从业人员按照使用规则佩戴、使用，防止工伤事故的发生。我方承诺，如发生各类工伤事故，绝不隐瞒不报。发生重伤及重伤以上事故，应及时组织抢救、保护好现场，并立即报告招标人主管领导。</w:t>
      </w:r>
    </w:p>
    <w:p w14:paraId="2180618D">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13、我方承诺接受招标人的检查与监督，并主动配合，做好安全工作，凡有违反上述条款的即视为我方违约，招标人有权视情况从货物/服务价款中扣除</w:t>
      </w:r>
      <w:r>
        <w:rPr>
          <w:rFonts w:hint="eastAsia" w:ascii="宋体" w:hAnsi="宋体" w:eastAsia="宋体" w:cs="宋体"/>
          <w:color w:val="auto"/>
          <w:kern w:val="0"/>
          <w:szCs w:val="21"/>
          <w:highlight w:val="none"/>
          <w:lang w:val="en-US" w:eastAsia="zh-CN"/>
        </w:rPr>
        <w:t>2000</w:t>
      </w:r>
      <w:r>
        <w:rPr>
          <w:rFonts w:hint="eastAsia" w:ascii="宋体" w:hAnsi="宋体" w:eastAsia="宋体" w:cs="宋体"/>
          <w:color w:val="auto"/>
          <w:kern w:val="0"/>
          <w:szCs w:val="21"/>
          <w:highlight w:val="none"/>
        </w:rPr>
        <w:t>元/次作为违约金。</w:t>
      </w:r>
    </w:p>
    <w:p w14:paraId="1246BC32">
      <w:pPr>
        <w:autoSpaceDE w:val="0"/>
        <w:autoSpaceDN w:val="0"/>
        <w:adjustRightInd w:val="0"/>
        <w:spacing w:line="360" w:lineRule="auto"/>
        <w:ind w:firstLine="420" w:firstLineChars="200"/>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如因我方违反上述条款造成安全生产事故的，我方将承担由此引发的一切责任与后果，如造成招标人损失的，我方将予以足额赔偿，同时，招标人有权没收我方提交的履约担保。</w:t>
      </w:r>
    </w:p>
    <w:p w14:paraId="768101DB">
      <w:pPr>
        <w:autoSpaceDE w:val="0"/>
        <w:autoSpaceDN w:val="0"/>
        <w:adjustRightInd w:val="0"/>
        <w:spacing w:line="360" w:lineRule="auto"/>
        <w:ind w:firstLine="5040"/>
        <w:rPr>
          <w:rFonts w:hint="eastAsia" w:ascii="宋体" w:hAnsi="宋体" w:eastAsia="宋体" w:cs="宋体"/>
          <w:color w:val="auto"/>
          <w:kern w:val="0"/>
          <w:szCs w:val="21"/>
          <w:highlight w:val="none"/>
        </w:rPr>
      </w:pPr>
      <w:bookmarkStart w:id="534" w:name="_Toc104991872"/>
      <w:bookmarkStart w:id="535" w:name="_Toc102860415"/>
      <w:bookmarkStart w:id="536" w:name="_Toc1140"/>
      <w:bookmarkStart w:id="537" w:name="_Toc102860071"/>
      <w:bookmarkStart w:id="538" w:name="_Toc18346"/>
      <w:bookmarkStart w:id="539" w:name="_Toc94107206"/>
      <w:bookmarkStart w:id="540" w:name="_Toc140596925"/>
      <w:bookmarkStart w:id="541" w:name="_Toc142508366"/>
      <w:bookmarkStart w:id="542" w:name="_Toc13416"/>
      <w:r>
        <w:rPr>
          <w:rFonts w:hint="eastAsia" w:ascii="宋体" w:hAnsi="宋体" w:eastAsia="宋体" w:cs="宋体"/>
          <w:color w:val="auto"/>
          <w:kern w:val="0"/>
          <w:szCs w:val="21"/>
          <w:highlight w:val="none"/>
        </w:rPr>
        <w:t xml:space="preserve">                                 </w:t>
      </w:r>
    </w:p>
    <w:p w14:paraId="73D558F4">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F337496">
      <w:pPr>
        <w:autoSpaceDE w:val="0"/>
        <w:autoSpaceDN w:val="0"/>
        <w:adjustRightInd w:val="0"/>
        <w:spacing w:line="360" w:lineRule="auto"/>
        <w:ind w:firstLine="4960" w:firstLineChars="2362"/>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法定代表人或其授权代表签名：</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（电子签名）</w:t>
      </w:r>
    </w:p>
    <w:p w14:paraId="373F7DD4">
      <w:pPr>
        <w:autoSpaceDE w:val="0"/>
        <w:autoSpaceDN w:val="0"/>
        <w:adjustRightInd w:val="0"/>
        <w:spacing w:line="360" w:lineRule="auto"/>
        <w:ind w:firstLine="4960" w:firstLineChars="2362"/>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0BE6678">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说明：由投标人使用投标人的企业数字证书，法定代表人或其授权代表数字证书电子签名。</w:t>
      </w:r>
    </w:p>
    <w:p w14:paraId="1C29C9B2">
      <w:pPr>
        <w:keepNext w:val="0"/>
        <w:keepLines w:val="0"/>
        <w:pageBreakBefore/>
        <w:widowControl w:val="0"/>
        <w:tabs>
          <w:tab w:val="left" w:pos="567"/>
        </w:tabs>
        <w:kinsoku/>
        <w:wordWrap/>
        <w:overflowPunct/>
        <w:topLinePunct w:val="0"/>
        <w:autoSpaceDE w:val="0"/>
        <w:autoSpaceDN w:val="0"/>
        <w:bidi w:val="0"/>
        <w:adjustRightInd w:val="0"/>
        <w:snapToGrid/>
        <w:spacing w:line="360" w:lineRule="auto"/>
        <w:jc w:val="left"/>
        <w:textAlignment w:val="auto"/>
        <w:outlineLvl w:val="1"/>
        <w:rPr>
          <w:rFonts w:hint="eastAsia" w:ascii="宋体" w:hAnsi="宋体" w:eastAsia="宋体" w:cs="宋体"/>
          <w:b/>
          <w:color w:val="auto"/>
          <w:kern w:val="0"/>
          <w:sz w:val="32"/>
          <w:szCs w:val="32"/>
          <w:highlight w:val="none"/>
        </w:rPr>
      </w:pPr>
      <w:r>
        <w:rPr>
          <w:rFonts w:hint="eastAsia" w:ascii="宋体" w:hAnsi="宋体" w:eastAsia="宋体" w:cs="宋体"/>
          <w:b/>
          <w:color w:val="auto"/>
          <w:kern w:val="0"/>
          <w:sz w:val="32"/>
          <w:szCs w:val="32"/>
          <w:highlight w:val="none"/>
          <w:lang w:val="en-US" w:eastAsia="zh-CN"/>
        </w:rPr>
        <w:t>4</w:t>
      </w:r>
      <w:r>
        <w:rPr>
          <w:rFonts w:hint="eastAsia" w:ascii="宋体" w:hAnsi="宋体" w:eastAsia="宋体" w:cs="宋体"/>
          <w:b/>
          <w:color w:val="auto"/>
          <w:kern w:val="0"/>
          <w:sz w:val="32"/>
          <w:szCs w:val="32"/>
          <w:highlight w:val="none"/>
        </w:rPr>
        <w:t>、</w:t>
      </w:r>
      <w:bookmarkEnd w:id="530"/>
      <w:bookmarkEnd w:id="531"/>
      <w:bookmarkEnd w:id="532"/>
      <w:bookmarkEnd w:id="533"/>
      <w:bookmarkEnd w:id="534"/>
      <w:bookmarkEnd w:id="535"/>
      <w:bookmarkEnd w:id="536"/>
      <w:bookmarkEnd w:id="537"/>
      <w:bookmarkEnd w:id="538"/>
      <w:bookmarkEnd w:id="539"/>
      <w:bookmarkEnd w:id="540"/>
      <w:bookmarkEnd w:id="541"/>
      <w:bookmarkEnd w:id="542"/>
      <w:bookmarkStart w:id="543" w:name="_Toc6190"/>
      <w:bookmarkStart w:id="544" w:name="_Toc94107209"/>
      <w:bookmarkStart w:id="545" w:name="_Toc142508369"/>
      <w:bookmarkStart w:id="546" w:name="_Toc26516"/>
      <w:bookmarkStart w:id="547" w:name="_Toc102860418"/>
      <w:bookmarkStart w:id="548" w:name="_Toc104991875"/>
      <w:bookmarkStart w:id="549" w:name="_Toc23083"/>
      <w:bookmarkStart w:id="550" w:name="_Toc140596928"/>
      <w:bookmarkStart w:id="551" w:name="_Toc1977725"/>
      <w:bookmarkStart w:id="552" w:name="_Toc102860074"/>
      <w:bookmarkStart w:id="553" w:name="_Toc533708124"/>
      <w:bookmarkStart w:id="554" w:name="_Toc20759_WPSOffice_Level2"/>
      <w:bookmarkStart w:id="555" w:name="_Toc486167712"/>
      <w:r>
        <w:rPr>
          <w:rFonts w:hint="eastAsia" w:ascii="宋体" w:hAnsi="宋体" w:eastAsia="宋体" w:cs="宋体"/>
          <w:b/>
          <w:color w:val="auto"/>
          <w:kern w:val="0"/>
          <w:sz w:val="32"/>
          <w:szCs w:val="32"/>
          <w:highlight w:val="none"/>
        </w:rPr>
        <w:t>投标人资格证明文件</w:t>
      </w:r>
      <w:bookmarkEnd w:id="543"/>
      <w:bookmarkEnd w:id="544"/>
      <w:bookmarkEnd w:id="545"/>
      <w:bookmarkEnd w:id="546"/>
      <w:bookmarkEnd w:id="547"/>
      <w:bookmarkEnd w:id="548"/>
      <w:bookmarkEnd w:id="549"/>
      <w:bookmarkEnd w:id="550"/>
      <w:bookmarkEnd w:id="551"/>
      <w:bookmarkEnd w:id="552"/>
    </w:p>
    <w:p w14:paraId="105218FB">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56" w:name="_Toc102860419"/>
      <w:bookmarkStart w:id="557" w:name="_Toc140596929"/>
      <w:bookmarkStart w:id="558" w:name="_Toc25267"/>
      <w:bookmarkStart w:id="559" w:name="_Toc102860075"/>
      <w:bookmarkStart w:id="560" w:name="_Toc29874"/>
      <w:bookmarkStart w:id="561" w:name="_Toc142508370"/>
      <w:bookmarkStart w:id="562" w:name="_Toc104991876"/>
      <w:bookmarkStart w:id="563" w:name="_Toc17358"/>
      <w:bookmarkStart w:id="564" w:name="_Toc94107210"/>
      <w:bookmarkStart w:id="565" w:name="_Toc1977726"/>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.1 多证合一营业执照（或事业单位法人证书）</w:t>
      </w:r>
      <w:bookmarkEnd w:id="556"/>
      <w:bookmarkEnd w:id="557"/>
      <w:bookmarkEnd w:id="558"/>
      <w:bookmarkEnd w:id="559"/>
      <w:bookmarkEnd w:id="560"/>
      <w:bookmarkEnd w:id="561"/>
      <w:bookmarkEnd w:id="562"/>
      <w:bookmarkEnd w:id="563"/>
      <w:bookmarkEnd w:id="564"/>
      <w:r>
        <w:rPr>
          <w:rFonts w:hint="eastAsia" w:ascii="宋体" w:hAnsi="宋体" w:eastAsia="宋体" w:cs="宋体"/>
          <w:b/>
          <w:color w:val="auto"/>
          <w:kern w:val="0"/>
          <w:sz w:val="30"/>
          <w:szCs w:val="30"/>
          <w:highlight w:val="none"/>
        </w:rPr>
        <w:t>原件扫描件</w:t>
      </w:r>
    </w:p>
    <w:p w14:paraId="41CDF9E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911A138">
      <w:pPr>
        <w:tabs>
          <w:tab w:val="left" w:pos="567"/>
        </w:tabs>
        <w:autoSpaceDE w:val="0"/>
        <w:autoSpaceDN w:val="0"/>
        <w:adjustRightInd w:val="0"/>
        <w:spacing w:line="360" w:lineRule="auto"/>
        <w:ind w:firstLine="316" w:firstLineChars="150"/>
        <w:jc w:val="left"/>
        <w:outlineLvl w:val="9"/>
        <w:rPr>
          <w:rFonts w:hint="eastAsia" w:ascii="宋体" w:hAnsi="宋体" w:eastAsia="宋体" w:cs="宋体"/>
          <w:b/>
          <w:color w:val="auto"/>
          <w:kern w:val="0"/>
          <w:szCs w:val="21"/>
          <w:highlight w:val="none"/>
        </w:rPr>
        <w:sectPr>
          <w:pgSz w:w="12240" w:h="15840"/>
          <w:pgMar w:top="1191" w:right="1043" w:bottom="1191" w:left="1043" w:header="720" w:footer="720" w:gutter="0"/>
          <w:cols w:space="720" w:num="1"/>
          <w:titlePg/>
          <w:docGrid w:linePitch="326" w:charSpace="0"/>
        </w:sectPr>
      </w:pPr>
    </w:p>
    <w:p w14:paraId="34A7A352">
      <w:pPr>
        <w:tabs>
          <w:tab w:val="left" w:pos="567"/>
        </w:tabs>
        <w:autoSpaceDE w:val="0"/>
        <w:autoSpaceDN w:val="0"/>
        <w:adjustRightInd w:val="0"/>
        <w:spacing w:line="360" w:lineRule="auto"/>
        <w:jc w:val="left"/>
        <w:outlineLvl w:val="2"/>
        <w:rPr>
          <w:rFonts w:hint="eastAsia" w:ascii="宋体" w:hAnsi="宋体" w:eastAsia="宋体" w:cs="宋体"/>
          <w:b/>
          <w:color w:val="auto"/>
          <w:kern w:val="0"/>
          <w:sz w:val="30"/>
          <w:szCs w:val="30"/>
          <w:highlight w:val="none"/>
        </w:rPr>
      </w:pPr>
      <w:bookmarkStart w:id="566" w:name="_Toc25013"/>
      <w:bookmarkStart w:id="567" w:name="_Toc102860420"/>
      <w:bookmarkStart w:id="568" w:name="_Toc102860076"/>
      <w:bookmarkStart w:id="569" w:name="_Toc142508371"/>
      <w:bookmarkStart w:id="570" w:name="_Toc94107211"/>
      <w:bookmarkStart w:id="571" w:name="_Toc27861"/>
      <w:bookmarkStart w:id="572" w:name="_Toc7756"/>
      <w:bookmarkStart w:id="573" w:name="_Toc140596930"/>
      <w:bookmarkStart w:id="574" w:name="_Toc104991877"/>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.2 </w:t>
      </w:r>
      <w:bookmarkEnd w:id="566"/>
      <w:bookmarkEnd w:id="567"/>
      <w:bookmarkEnd w:id="568"/>
      <w:bookmarkEnd w:id="569"/>
      <w:bookmarkEnd w:id="570"/>
      <w:bookmarkEnd w:id="571"/>
      <w:bookmarkEnd w:id="572"/>
      <w:bookmarkEnd w:id="573"/>
      <w:bookmarkEnd w:id="574"/>
      <w:r>
        <w:rPr>
          <w:rFonts w:hint="eastAsia" w:ascii="宋体" w:hAnsi="宋体" w:eastAsia="宋体" w:cs="宋体"/>
          <w:b/>
          <w:color w:val="auto"/>
          <w:kern w:val="0"/>
          <w:sz w:val="30"/>
          <w:szCs w:val="30"/>
          <w:highlight w:val="none"/>
        </w:rPr>
        <w:t>开户许可证原件扫描件（基本存款账户），如投标人企业银行账户开户所在地区已取消企业银行账户许可，投标人应提供基本存款账户开户名称、开户银行、账号、编号等信息及相关备案证明（如有）或其他能证明其为基本存款账户的资料原件扫描件</w:t>
      </w:r>
    </w:p>
    <w:p w14:paraId="027F5823">
      <w:pPr>
        <w:tabs>
          <w:tab w:val="left" w:pos="567"/>
        </w:tabs>
        <w:autoSpaceDE w:val="0"/>
        <w:autoSpaceDN w:val="0"/>
        <w:adjustRightInd w:val="0"/>
        <w:spacing w:line="360" w:lineRule="auto"/>
        <w:jc w:val="left"/>
        <w:outlineLvl w:val="2"/>
        <w:rPr>
          <w:rFonts w:hint="eastAsia" w:ascii="宋体" w:hAnsi="宋体" w:eastAsia="宋体" w:cs="宋体"/>
          <w:b/>
          <w:color w:val="auto"/>
          <w:kern w:val="0"/>
          <w:szCs w:val="21"/>
          <w:highlight w:val="none"/>
        </w:rPr>
      </w:pPr>
      <w:r>
        <w:rPr>
          <w:rFonts w:hint="eastAsia" w:ascii="宋体" w:hAnsi="宋体" w:eastAsia="宋体" w:cs="宋体"/>
          <w:b/>
          <w:color w:val="auto"/>
          <w:kern w:val="0"/>
          <w:sz w:val="30"/>
          <w:szCs w:val="30"/>
          <w:highlight w:val="none"/>
        </w:rPr>
        <w:br w:type="page"/>
      </w:r>
      <w:bookmarkStart w:id="575" w:name="_Toc104991878"/>
      <w:bookmarkStart w:id="576" w:name="_Toc142508372"/>
      <w:bookmarkStart w:id="577" w:name="_Toc140596931"/>
      <w:bookmarkStart w:id="578" w:name="_Toc17499"/>
      <w:bookmarkStart w:id="579" w:name="_Toc94107212"/>
      <w:bookmarkStart w:id="580" w:name="_Toc102860077"/>
      <w:bookmarkStart w:id="581" w:name="_Toc9132"/>
      <w:bookmarkStart w:id="582" w:name="_Toc7441"/>
      <w:bookmarkStart w:id="583" w:name="_Toc102860421"/>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.3 法定代表人身份证明书、法定代表人授权书格式（法定代表人投标时只需提供法定代表人身份证明书，委托他人为投标代表或签署投标文件时需同时提供法定代表人授权书）</w:t>
      </w:r>
      <w:bookmarkEnd w:id="575"/>
      <w:bookmarkEnd w:id="576"/>
      <w:bookmarkEnd w:id="577"/>
      <w:bookmarkEnd w:id="578"/>
      <w:bookmarkEnd w:id="579"/>
      <w:bookmarkEnd w:id="580"/>
      <w:bookmarkEnd w:id="581"/>
      <w:bookmarkEnd w:id="582"/>
      <w:bookmarkEnd w:id="583"/>
    </w:p>
    <w:p w14:paraId="3AD08720">
      <w:pPr>
        <w:spacing w:before="120" w:after="120" w:line="360" w:lineRule="auto"/>
        <w:ind w:firstLine="426" w:firstLineChars="202"/>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（1）法定代表人身份证明书格式</w:t>
      </w:r>
      <w:bookmarkEnd w:id="553"/>
      <w:bookmarkEnd w:id="554"/>
      <w:bookmarkEnd w:id="555"/>
      <w:bookmarkEnd w:id="565"/>
    </w:p>
    <w:p w14:paraId="5DC70641">
      <w:pPr>
        <w:spacing w:before="120" w:after="120" w:line="360" w:lineRule="auto"/>
        <w:ind w:firstLine="608" w:firstLineChars="202"/>
        <w:jc w:val="center"/>
        <w:outlineLvl w:val="9"/>
        <w:rPr>
          <w:rFonts w:hint="eastAsia" w:ascii="宋体" w:hAnsi="宋体" w:eastAsia="宋体" w:cs="宋体"/>
          <w:b/>
          <w:bCs/>
          <w:color w:val="auto"/>
          <w:sz w:val="30"/>
          <w:szCs w:val="30"/>
          <w:highlight w:val="none"/>
        </w:rPr>
      </w:pPr>
      <w:bookmarkStart w:id="584" w:name="_Toc11033_WPSOffice_Level3"/>
      <w:r>
        <w:rPr>
          <w:rFonts w:hint="eastAsia" w:ascii="宋体" w:hAnsi="宋体" w:eastAsia="宋体" w:cs="宋体"/>
          <w:b/>
          <w:color w:val="auto"/>
          <w:sz w:val="30"/>
          <w:szCs w:val="30"/>
          <w:highlight w:val="none"/>
        </w:rPr>
        <w:t>法定代</w:t>
      </w:r>
      <w:bookmarkStart w:id="585" w:name="_Toc45995270"/>
      <w:bookmarkStart w:id="586" w:name="_Toc36971359"/>
      <w:r>
        <w:rPr>
          <w:rFonts w:hint="eastAsia" w:ascii="宋体" w:hAnsi="宋体" w:eastAsia="宋体" w:cs="宋体"/>
          <w:b/>
          <w:color w:val="auto"/>
          <w:sz w:val="30"/>
          <w:szCs w:val="30"/>
          <w:highlight w:val="none"/>
        </w:rPr>
        <w:t>表人身份证明书</w:t>
      </w:r>
      <w:bookmarkEnd w:id="584"/>
    </w:p>
    <w:bookmarkEnd w:id="585"/>
    <w:bookmarkEnd w:id="586"/>
    <w:p w14:paraId="06D45379">
      <w:pPr>
        <w:spacing w:before="120" w:after="120" w:line="360" w:lineRule="auto"/>
        <w:ind w:firstLine="420" w:firstLineChars="200"/>
        <w:rPr>
          <w:rFonts w:hint="eastAsia" w:ascii="宋体" w:hAnsi="宋体" w:eastAsia="宋体" w:cs="宋体"/>
          <w:color w:val="auto"/>
          <w:szCs w:val="24"/>
          <w:highlight w:val="none"/>
        </w:rPr>
      </w:pP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先生／女士：现任我单位</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职务，为法定代表人，特此证明。</w:t>
      </w:r>
    </w:p>
    <w:p w14:paraId="01D04647">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有效日期：</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签发日期：</w:t>
      </w:r>
      <w:r>
        <w:rPr>
          <w:rFonts w:hint="eastAsia" w:ascii="宋体" w:hAnsi="宋体" w:eastAsia="宋体" w:cs="宋体"/>
          <w:color w:val="auto"/>
          <w:szCs w:val="24"/>
          <w:highlight w:val="none"/>
          <w:u w:val="single"/>
        </w:rPr>
        <w:t xml:space="preserve">           </w:t>
      </w:r>
    </w:p>
    <w:p w14:paraId="393306D7">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附：代表人性别：</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 年龄：</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身份证号码：</w:t>
      </w:r>
      <w:r>
        <w:rPr>
          <w:rFonts w:hint="eastAsia" w:ascii="宋体" w:hAnsi="宋体" w:eastAsia="宋体" w:cs="宋体"/>
          <w:color w:val="auto"/>
          <w:szCs w:val="24"/>
          <w:highlight w:val="none"/>
          <w:u w:val="single"/>
        </w:rPr>
        <w:t xml:space="preserve">            </w:t>
      </w:r>
    </w:p>
    <w:p w14:paraId="1AC9B078">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营业执照号码：</w:t>
      </w:r>
      <w:r>
        <w:rPr>
          <w:rFonts w:hint="eastAsia" w:ascii="宋体" w:hAnsi="宋体" w:eastAsia="宋体" w:cs="宋体"/>
          <w:color w:val="auto"/>
          <w:szCs w:val="24"/>
          <w:highlight w:val="none"/>
          <w:u w:val="single"/>
        </w:rPr>
        <w:t xml:space="preserve">           </w:t>
      </w:r>
      <w:r>
        <w:rPr>
          <w:rFonts w:hint="eastAsia" w:ascii="宋体" w:hAnsi="宋体" w:eastAsia="宋体" w:cs="宋体"/>
          <w:color w:val="auto"/>
          <w:szCs w:val="24"/>
          <w:highlight w:val="none"/>
        </w:rPr>
        <w:t xml:space="preserve">经济性质： </w:t>
      </w:r>
    </w:p>
    <w:p w14:paraId="7819517B">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主营（产）：</w:t>
      </w:r>
    </w:p>
    <w:p w14:paraId="759D26EC">
      <w:pPr>
        <w:spacing w:before="120" w:after="120" w:line="360" w:lineRule="auto"/>
        <w:ind w:firstLine="424" w:firstLineChars="202"/>
        <w:rPr>
          <w:rFonts w:hint="eastAsia" w:ascii="宋体" w:hAnsi="宋体" w:eastAsia="宋体" w:cs="宋体"/>
          <w:color w:val="auto"/>
          <w:szCs w:val="24"/>
          <w:highlight w:val="none"/>
          <w:u w:val="single"/>
        </w:rPr>
      </w:pPr>
      <w:r>
        <w:rPr>
          <w:rFonts w:hint="eastAsia" w:ascii="宋体" w:hAnsi="宋体" w:eastAsia="宋体" w:cs="宋体"/>
          <w:color w:val="auto"/>
          <w:szCs w:val="24"/>
          <w:highlight w:val="none"/>
        </w:rPr>
        <w:t>兼营（产）：</w:t>
      </w:r>
    </w:p>
    <w:p w14:paraId="56B09176">
      <w:pPr>
        <w:spacing w:before="120" w:after="120" w:line="360" w:lineRule="auto"/>
        <w:ind w:firstLine="424" w:firstLineChars="202"/>
        <w:rPr>
          <w:rFonts w:hint="eastAsia" w:ascii="宋体" w:hAnsi="宋体" w:eastAsia="宋体" w:cs="宋体"/>
          <w:color w:val="auto"/>
          <w:szCs w:val="24"/>
          <w:highlight w:val="none"/>
        </w:rPr>
      </w:pPr>
      <w:r>
        <w:rPr>
          <w:rFonts w:hint="eastAsia" w:ascii="宋体" w:hAnsi="宋体" w:eastAsia="宋体" w:cs="宋体"/>
          <w:color w:val="auto"/>
          <w:szCs w:val="24"/>
          <w:highlight w:val="none"/>
        </w:rPr>
        <w:t>附 法定代表人身份证原件扫描件</w:t>
      </w:r>
    </w:p>
    <w:p w14:paraId="2783C3B1">
      <w:pPr>
        <w:snapToGrid w:val="0"/>
        <w:spacing w:line="360" w:lineRule="auto"/>
        <w:ind w:firstLine="3465" w:firstLineChars="1650"/>
        <w:rPr>
          <w:rFonts w:hint="eastAsia" w:ascii="宋体" w:hAnsi="宋体" w:eastAsia="宋体" w:cs="宋体"/>
          <w:color w:val="auto"/>
          <w:kern w:val="3"/>
          <w:szCs w:val="24"/>
          <w:highlight w:val="none"/>
        </w:rPr>
      </w:pPr>
    </w:p>
    <w:p w14:paraId="6202E4C7">
      <w:pPr>
        <w:snapToGrid w:val="0"/>
        <w:spacing w:line="360" w:lineRule="auto"/>
        <w:ind w:firstLine="3465" w:firstLineChars="1650"/>
        <w:rPr>
          <w:rFonts w:hint="eastAsia" w:ascii="宋体" w:hAnsi="宋体" w:eastAsia="宋体" w:cs="宋体"/>
          <w:color w:val="auto"/>
          <w:kern w:val="3"/>
          <w:szCs w:val="24"/>
          <w:highlight w:val="none"/>
          <w:u w:val="single"/>
        </w:rPr>
      </w:pPr>
      <w:r>
        <w:rPr>
          <w:rFonts w:hint="eastAsia" w:ascii="宋体" w:hAnsi="宋体" w:eastAsia="宋体" w:cs="宋体"/>
          <w:color w:val="auto"/>
          <w:kern w:val="3"/>
          <w:szCs w:val="24"/>
          <w:highlight w:val="none"/>
        </w:rPr>
        <w:t>投 标 人：</w:t>
      </w:r>
      <w:r>
        <w:rPr>
          <w:rFonts w:hint="eastAsia" w:ascii="宋体" w:hAnsi="宋体" w:eastAsia="宋体" w:cs="宋体"/>
          <w:color w:val="auto"/>
          <w:kern w:val="3"/>
          <w:szCs w:val="24"/>
          <w:highlight w:val="none"/>
          <w:u w:val="single"/>
        </w:rPr>
        <w:t xml:space="preserve">             </w:t>
      </w:r>
      <w:r>
        <w:rPr>
          <w:rFonts w:hint="eastAsia" w:ascii="宋体" w:hAnsi="宋体" w:eastAsia="宋体" w:cs="宋体"/>
          <w:color w:val="auto"/>
          <w:szCs w:val="21"/>
          <w:highlight w:val="none"/>
          <w:u w:val="single"/>
        </w:rPr>
        <w:t>（企业数字证书电子签名）</w:t>
      </w:r>
    </w:p>
    <w:p w14:paraId="5083B42B">
      <w:pPr>
        <w:spacing w:before="120" w:after="120" w:line="360" w:lineRule="auto"/>
        <w:ind w:left="340" w:leftChars="162" w:firstLine="474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日期：   年   月   日</w:t>
      </w:r>
    </w:p>
    <w:p w14:paraId="0AE8B58A">
      <w:pPr>
        <w:autoSpaceDE w:val="0"/>
        <w:autoSpaceDN w:val="0"/>
        <w:adjustRightInd w:val="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5408"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7" name="文本框 7"/>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4A13866A"/>
                          <w:p w14:paraId="3A08D897"/>
                          <w:p w14:paraId="79132869"/>
                          <w:p w14:paraId="30CA77D8"/>
                          <w:p w14:paraId="7E264AA0">
                            <w:pPr>
                              <w:jc w:val="center"/>
                              <w:rPr>
                                <w:szCs w:val="21"/>
                              </w:rPr>
                            </w:pPr>
                            <w:r>
                              <w:rPr>
                                <w:rFonts w:hint="eastAsia"/>
                                <w:szCs w:val="21"/>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5408;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">
                <v:fill on="t" focussize="0,0"/>
                <v:stroke color="#000000" miterlimit="8" joinstyle="miter"/>
                <v:imagedata o:title=""/>
                <o:lock v:ext="edit" aspectratio="f"/>
                <v:textbox>
                  <w:txbxContent>
                    <w:p w14:paraId="4A13866A"/>
                    <w:p w14:paraId="3A08D897"/>
                    <w:p w14:paraId="79132869"/>
                    <w:p w14:paraId="30CA77D8"/>
                    <w:p w14:paraId="7E264AA0">
                      <w:pPr>
                        <w:jc w:val="center"/>
                        <w:rPr>
                          <w:szCs w:val="21"/>
                        </w:rPr>
                      </w:pPr>
                      <w:r>
                        <w:rPr>
                          <w:rFonts w:hint="eastAsia"/>
                          <w:szCs w:val="21"/>
                        </w:rPr>
                        <w:t>法定代表人身份证正面</w:t>
                      </w: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4384" behindDoc="0" locked="0" layoutInCell="1" allowOverlap="1">
                <wp:simplePos x="0" y="0"/>
                <wp:positionH relativeFrom="column">
                  <wp:posOffset>3128645</wp:posOffset>
                </wp:positionH>
                <wp:positionV relativeFrom="paragraph">
                  <wp:posOffset>109220</wp:posOffset>
                </wp:positionV>
                <wp:extent cx="2790825" cy="1962150"/>
                <wp:effectExtent l="4445" t="5080" r="5080" b="13970"/>
                <wp:wrapNone/>
                <wp:docPr id="6" name="文本框 6"/>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EE2C1CA"/>
                          <w:p w14:paraId="4C1939FE"/>
                          <w:p w14:paraId="287C3765"/>
                          <w:p w14:paraId="4C74CF23"/>
                          <w:p w14:paraId="4E188F41">
                            <w:pPr>
                              <w:jc w:val="center"/>
                              <w:rPr>
                                <w:szCs w:val="21"/>
                              </w:rPr>
                            </w:pPr>
                            <w:r>
                              <w:rPr>
                                <w:rFonts w:hint="eastAsia"/>
                                <w:szCs w:val="21"/>
                              </w:rPr>
                              <w:t>法定代表人身份证反面</w:t>
                            </w:r>
                          </w:p>
                          <w:p w14:paraId="0043331E">
                            <w:pPr>
                              <w:jc w:val="center"/>
                              <w:rPr>
                                <w:szCs w:val="21"/>
                              </w:rPr>
                            </w:pP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6.35pt;margin-top:8.6pt;height:154.5pt;width:219.75pt;z-index:251664384;mso-width-relative:page;mso-height-relative:page;" fillcolor="#FFFFFF" filled="t" stroked="t" coordsize="21600,21600" o:gfxdata="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">
                <v:fill on="t" focussize="0,0"/>
                <v:stroke color="#000000" miterlimit="8" joinstyle="miter"/>
                <v:imagedata o:title=""/>
                <o:lock v:ext="edit" aspectratio="f"/>
                <v:textbox>
                  <w:txbxContent>
                    <w:p w14:paraId="5EE2C1CA"/>
                    <w:p w14:paraId="4C1939FE"/>
                    <w:p w14:paraId="287C3765"/>
                    <w:p w14:paraId="4C74CF23"/>
                    <w:p w14:paraId="4E188F41">
                      <w:pPr>
                        <w:jc w:val="center"/>
                        <w:rPr>
                          <w:szCs w:val="21"/>
                        </w:rPr>
                      </w:pPr>
                      <w:r>
                        <w:rPr>
                          <w:rFonts w:hint="eastAsia"/>
                          <w:szCs w:val="21"/>
                        </w:rPr>
                        <w:t>法定代表人身份证反面</w:t>
                      </w:r>
                    </w:p>
                    <w:p w14:paraId="0043331E">
                      <w:pPr>
                        <w:jc w:val="center"/>
                        <w:rPr>
                          <w:szCs w:val="21"/>
                        </w:rPr>
                      </w:pPr>
                    </w:p>
                  </w:txbxContent>
                </v:textbox>
              </v:shape>
            </w:pict>
          </mc:Fallback>
        </mc:AlternateContent>
      </w:r>
      <w:r>
        <w:rPr>
          <w:rFonts w:hint="eastAsia" w:ascii="宋体" w:hAnsi="宋体" w:eastAsia="宋体" w:cs="宋体"/>
          <w:color w:val="auto"/>
          <w:kern w:val="0"/>
          <w:sz w:val="24"/>
          <w:szCs w:val="24"/>
          <w:highlight w:val="none"/>
        </w:rPr>
        <mc:AlternateContent>
          <mc:Choice Requires="wps">
            <w:drawing>
              <wp:anchor distT="0" distB="0" distL="114300" distR="114300" simplePos="0" relativeHeight="251663360" behindDoc="0" locked="0" layoutInCell="1" allowOverlap="1">
                <wp:simplePos x="0" y="0"/>
                <wp:positionH relativeFrom="column">
                  <wp:posOffset>61595</wp:posOffset>
                </wp:positionH>
                <wp:positionV relativeFrom="paragraph">
                  <wp:posOffset>109220</wp:posOffset>
                </wp:positionV>
                <wp:extent cx="2790825" cy="1962150"/>
                <wp:effectExtent l="4445" t="5080" r="5080" b="13970"/>
                <wp:wrapNone/>
                <wp:docPr id="5" name="文本框 5"/>
                <wp:cNvGraphicFramePr/>
                <a:graphic xmlns:a="http://schemas.openxmlformats.org/drawingml/2006/main">
                  <a:graphicData uri="http://schemas.microsoft.com/office/word/2010/wordprocessingShape">
                    <wps:wsp>
                      <wps:cNvSpPr txBox="1">
                        <a:spLocks noChangeArrowheads="1"/>
                      </wps:cNvSpPr>
                      <wps:spPr bwMode="auto">
                        <a:xfrm>
                          <a:off x="0" y="0"/>
                          <a:ext cx="2790825" cy="1962150"/>
                        </a:xfrm>
                        <a:prstGeom prst="rect">
                          <a:avLst/>
                        </a:prstGeom>
                        <a:solidFill>
                          <a:srgbClr val="FFFFFF"/>
                        </a:solidFill>
                        <a:ln w="9525">
                          <a:solidFill>
                            <a:srgbClr val="000000"/>
                          </a:solidFill>
                          <a:miter lim="800000"/>
                        </a:ln>
                      </wps:spPr>
                      <wps:txbx>
                        <w:txbxContent>
                          <w:p w14:paraId="52A1A46A"/>
                          <w:p w14:paraId="4FCF7C76"/>
                          <w:p w14:paraId="2DECBE6B"/>
                          <w:p w14:paraId="4B0814CF"/>
                          <w:p w14:paraId="3FE2B0F4">
                            <w:pPr>
                              <w:jc w:val="center"/>
                            </w:pPr>
                            <w:r>
                              <w:rPr>
                                <w:rFonts w:hint="eastAsia"/>
                              </w:rPr>
                              <w:t>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4.85pt;margin-top:8.6pt;height:154.5pt;width:219.75pt;z-index:251663360;mso-width-relative:page;mso-height-relative:page;" fillcolor="#FFFFFF" filled="t" stroked="t" coordsize="21600,21600" o:gfxdata="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WPVhZdgAAAAIAQAADwAAAAAAAAABACAAAAAiAAAA&#10;ZHJzL2Rvd25yZXYueG1sUEsBAhQAFAAAAAgAh07iQFavbXBAAgAAiAQAAA4AAAAAAAAAAQAgAAAA&#10;JwEAAGRycy9lMm9Eb2MueG1sUEsFBgAAAAAGAAYAWQEAANkFAAAAAA==&#10;">
                <v:fill on="t" focussize="0,0"/>
                <v:stroke color="#000000" miterlimit="8" joinstyle="miter"/>
                <v:imagedata o:title=""/>
                <o:lock v:ext="edit" aspectratio="f"/>
                <v:textbox>
                  <w:txbxContent>
                    <w:p w14:paraId="52A1A46A"/>
                    <w:p w14:paraId="4FCF7C76"/>
                    <w:p w14:paraId="2DECBE6B"/>
                    <w:p w14:paraId="4B0814CF"/>
                    <w:p w14:paraId="3FE2B0F4">
                      <w:pPr>
                        <w:jc w:val="center"/>
                      </w:pPr>
                      <w:r>
                        <w:rPr>
                          <w:rFonts w:hint="eastAsia"/>
                        </w:rPr>
                        <w:t>身份证正面</w:t>
                      </w:r>
                    </w:p>
                  </w:txbxContent>
                </v:textbox>
              </v:shape>
            </w:pict>
          </mc:Fallback>
        </mc:AlternateContent>
      </w:r>
    </w:p>
    <w:p w14:paraId="4749E227">
      <w:pPr>
        <w:autoSpaceDE w:val="0"/>
        <w:autoSpaceDN w:val="0"/>
        <w:adjustRightInd w:val="0"/>
        <w:jc w:val="left"/>
        <w:rPr>
          <w:rFonts w:hint="eastAsia" w:ascii="宋体" w:hAnsi="宋体" w:eastAsia="宋体" w:cs="宋体"/>
          <w:color w:val="auto"/>
          <w:kern w:val="0"/>
          <w:sz w:val="24"/>
          <w:szCs w:val="24"/>
          <w:highlight w:val="none"/>
        </w:rPr>
      </w:pPr>
    </w:p>
    <w:p w14:paraId="4094C664">
      <w:pPr>
        <w:autoSpaceDE w:val="0"/>
        <w:autoSpaceDN w:val="0"/>
        <w:adjustRightInd w:val="0"/>
        <w:jc w:val="left"/>
        <w:rPr>
          <w:rFonts w:hint="eastAsia" w:ascii="宋体" w:hAnsi="宋体" w:eastAsia="宋体" w:cs="宋体"/>
          <w:color w:val="auto"/>
          <w:kern w:val="0"/>
          <w:sz w:val="24"/>
          <w:szCs w:val="24"/>
          <w:highlight w:val="none"/>
        </w:rPr>
      </w:pPr>
    </w:p>
    <w:p w14:paraId="3043A614">
      <w:pPr>
        <w:autoSpaceDE w:val="0"/>
        <w:autoSpaceDN w:val="0"/>
        <w:adjustRightInd w:val="0"/>
        <w:jc w:val="left"/>
        <w:rPr>
          <w:rFonts w:hint="eastAsia" w:ascii="宋体" w:hAnsi="宋体" w:eastAsia="宋体" w:cs="宋体"/>
          <w:color w:val="auto"/>
          <w:kern w:val="0"/>
          <w:sz w:val="24"/>
          <w:szCs w:val="24"/>
          <w:highlight w:val="none"/>
        </w:rPr>
      </w:pPr>
    </w:p>
    <w:p w14:paraId="074123D3">
      <w:pPr>
        <w:autoSpaceDE w:val="0"/>
        <w:autoSpaceDN w:val="0"/>
        <w:adjustRightInd w:val="0"/>
        <w:jc w:val="left"/>
        <w:rPr>
          <w:rFonts w:hint="eastAsia" w:ascii="宋体" w:hAnsi="宋体" w:eastAsia="宋体" w:cs="宋体"/>
          <w:color w:val="auto"/>
          <w:kern w:val="0"/>
          <w:sz w:val="24"/>
          <w:szCs w:val="24"/>
          <w:highlight w:val="none"/>
        </w:rPr>
      </w:pPr>
    </w:p>
    <w:p w14:paraId="2D17B623">
      <w:pPr>
        <w:autoSpaceDE w:val="0"/>
        <w:autoSpaceDN w:val="0"/>
        <w:adjustRightInd w:val="0"/>
        <w:jc w:val="left"/>
        <w:rPr>
          <w:rFonts w:hint="eastAsia" w:ascii="宋体" w:hAnsi="宋体" w:eastAsia="宋体" w:cs="宋体"/>
          <w:color w:val="auto"/>
          <w:kern w:val="0"/>
          <w:sz w:val="24"/>
          <w:szCs w:val="24"/>
          <w:highlight w:val="none"/>
        </w:rPr>
      </w:pPr>
    </w:p>
    <w:p w14:paraId="087B40D4">
      <w:pPr>
        <w:autoSpaceDE w:val="0"/>
        <w:autoSpaceDN w:val="0"/>
        <w:adjustRightInd w:val="0"/>
        <w:jc w:val="left"/>
        <w:rPr>
          <w:rFonts w:hint="eastAsia" w:ascii="宋体" w:hAnsi="宋体" w:eastAsia="宋体" w:cs="宋体"/>
          <w:color w:val="auto"/>
          <w:kern w:val="0"/>
          <w:sz w:val="24"/>
          <w:szCs w:val="24"/>
          <w:highlight w:val="none"/>
        </w:rPr>
      </w:pPr>
    </w:p>
    <w:p w14:paraId="48AF3786">
      <w:pPr>
        <w:autoSpaceDE w:val="0"/>
        <w:autoSpaceDN w:val="0"/>
        <w:adjustRightInd w:val="0"/>
        <w:jc w:val="left"/>
        <w:rPr>
          <w:rFonts w:hint="eastAsia" w:ascii="宋体" w:hAnsi="宋体" w:eastAsia="宋体" w:cs="宋体"/>
          <w:color w:val="auto"/>
          <w:kern w:val="0"/>
          <w:sz w:val="24"/>
          <w:szCs w:val="24"/>
          <w:highlight w:val="none"/>
        </w:rPr>
      </w:pPr>
    </w:p>
    <w:p w14:paraId="30F53A6A">
      <w:pPr>
        <w:autoSpaceDE w:val="0"/>
        <w:autoSpaceDN w:val="0"/>
        <w:adjustRightInd w:val="0"/>
        <w:jc w:val="left"/>
        <w:rPr>
          <w:rFonts w:hint="eastAsia" w:ascii="宋体" w:hAnsi="宋体" w:eastAsia="宋体" w:cs="宋体"/>
          <w:color w:val="auto"/>
          <w:kern w:val="0"/>
          <w:sz w:val="24"/>
          <w:szCs w:val="24"/>
          <w:highlight w:val="none"/>
        </w:rPr>
      </w:pPr>
    </w:p>
    <w:p w14:paraId="49C250ED">
      <w:pPr>
        <w:autoSpaceDE w:val="0"/>
        <w:autoSpaceDN w:val="0"/>
        <w:adjustRightInd w:val="0"/>
        <w:jc w:val="left"/>
        <w:rPr>
          <w:rFonts w:hint="eastAsia" w:ascii="宋体" w:hAnsi="宋体" w:eastAsia="宋体" w:cs="宋体"/>
          <w:color w:val="auto"/>
          <w:kern w:val="0"/>
          <w:sz w:val="24"/>
          <w:szCs w:val="24"/>
          <w:highlight w:val="none"/>
        </w:rPr>
      </w:pPr>
    </w:p>
    <w:p w14:paraId="798FC43D">
      <w:pPr>
        <w:autoSpaceDE w:val="0"/>
        <w:autoSpaceDN w:val="0"/>
        <w:adjustRightInd w:val="0"/>
        <w:jc w:val="left"/>
        <w:rPr>
          <w:rFonts w:hint="eastAsia" w:ascii="宋体" w:hAnsi="宋体" w:eastAsia="宋体" w:cs="宋体"/>
          <w:b/>
          <w:color w:val="auto"/>
          <w:kern w:val="0"/>
          <w:szCs w:val="21"/>
          <w:highlight w:val="none"/>
        </w:rPr>
      </w:pPr>
    </w:p>
    <w:p w14:paraId="6C62F96A">
      <w:pPr>
        <w:autoSpaceDE w:val="0"/>
        <w:autoSpaceDN w:val="0"/>
        <w:adjustRightInd w:val="0"/>
        <w:jc w:val="left"/>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t>注：法定代表人身份证须在有效期限内。</w:t>
      </w:r>
    </w:p>
    <w:p w14:paraId="09C044A8">
      <w:pPr>
        <w:autoSpaceDE w:val="0"/>
        <w:autoSpaceDN w:val="0"/>
        <w:adjustRightInd w:val="0"/>
        <w:jc w:val="left"/>
        <w:rPr>
          <w:rFonts w:hint="eastAsia" w:ascii="宋体" w:hAnsi="宋体" w:eastAsia="宋体" w:cs="宋体"/>
          <w:color w:val="auto"/>
          <w:kern w:val="0"/>
          <w:szCs w:val="21"/>
          <w:highlight w:val="none"/>
        </w:rPr>
      </w:pPr>
    </w:p>
    <w:p w14:paraId="064C6175">
      <w:pPr>
        <w:autoSpaceDE w:val="0"/>
        <w:autoSpaceDN w:val="0"/>
        <w:adjustRightInd w:val="0"/>
        <w:jc w:val="center"/>
        <w:outlineLvl w:val="9"/>
        <w:rPr>
          <w:rFonts w:hint="eastAsia" w:ascii="宋体" w:hAnsi="宋体" w:eastAsia="宋体" w:cs="宋体"/>
          <w:b/>
          <w:color w:val="auto"/>
          <w:kern w:val="0"/>
          <w:szCs w:val="21"/>
          <w:highlight w:val="none"/>
        </w:rPr>
      </w:pPr>
      <w:r>
        <w:rPr>
          <w:rFonts w:hint="eastAsia" w:ascii="宋体" w:hAnsi="宋体" w:eastAsia="宋体" w:cs="宋体"/>
          <w:b/>
          <w:bCs/>
          <w:color w:val="auto"/>
          <w:kern w:val="0"/>
          <w:szCs w:val="21"/>
          <w:highlight w:val="none"/>
        </w:rPr>
        <w:t>说明：由投标人使用投标人的企业数字证书电子签名。</w:t>
      </w:r>
    </w:p>
    <w:p w14:paraId="5A3EE78B">
      <w:pPr>
        <w:autoSpaceDE w:val="0"/>
        <w:autoSpaceDN w:val="0"/>
        <w:adjustRightInd w:val="0"/>
        <w:jc w:val="left"/>
        <w:outlineLvl w:val="9"/>
        <w:rPr>
          <w:rFonts w:hint="eastAsia" w:ascii="宋体" w:hAnsi="宋体" w:eastAsia="宋体" w:cs="宋体"/>
          <w:color w:val="auto"/>
          <w:kern w:val="0"/>
          <w:szCs w:val="21"/>
          <w:highlight w:val="none"/>
        </w:rPr>
      </w:pPr>
    </w:p>
    <w:p w14:paraId="6F6933C6">
      <w:pPr>
        <w:spacing w:before="120" w:after="120" w:line="360" w:lineRule="auto"/>
        <w:ind w:firstLine="424" w:firstLineChars="202"/>
        <w:outlineLvl w:val="9"/>
        <w:rPr>
          <w:rFonts w:hint="eastAsia" w:ascii="宋体" w:hAnsi="宋体" w:eastAsia="宋体" w:cs="宋体"/>
          <w:b/>
          <w:color w:val="auto"/>
          <w:kern w:val="0"/>
          <w:szCs w:val="21"/>
          <w:highlight w:val="none"/>
        </w:rPr>
      </w:pPr>
      <w:r>
        <w:rPr>
          <w:rFonts w:hint="eastAsia" w:ascii="宋体" w:hAnsi="宋体" w:eastAsia="宋体" w:cs="宋体"/>
          <w:color w:val="auto"/>
          <w:szCs w:val="24"/>
          <w:highlight w:val="none"/>
          <w:lang w:val="zh-CN"/>
        </w:rPr>
        <w:br w:type="page"/>
      </w:r>
      <w:bookmarkEnd w:id="516"/>
      <w:bookmarkEnd w:id="517"/>
      <w:bookmarkEnd w:id="518"/>
      <w:bookmarkStart w:id="587" w:name="_Toc533708125"/>
      <w:bookmarkStart w:id="588" w:name="_Toc486167713"/>
      <w:bookmarkStart w:id="589" w:name="_Toc1977727"/>
      <w:bookmarkStart w:id="590" w:name="_Toc6240_WPSOffice_Level2"/>
      <w:r>
        <w:rPr>
          <w:rFonts w:hint="eastAsia" w:ascii="宋体" w:hAnsi="宋体" w:eastAsia="宋体" w:cs="宋体"/>
          <w:b/>
          <w:color w:val="auto"/>
          <w:szCs w:val="24"/>
          <w:highlight w:val="none"/>
        </w:rPr>
        <w:t>（2）法定代表人授权书格式</w:t>
      </w:r>
      <w:bookmarkEnd w:id="587"/>
      <w:bookmarkEnd w:id="588"/>
      <w:bookmarkEnd w:id="589"/>
      <w:bookmarkEnd w:id="590"/>
    </w:p>
    <w:p w14:paraId="6C33D392">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p>
    <w:p w14:paraId="03777E13">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bookmarkStart w:id="591" w:name="_Toc29146_WPSOffice_Level3"/>
      <w:r>
        <w:rPr>
          <w:rFonts w:hint="eastAsia" w:ascii="宋体" w:hAnsi="宋体" w:eastAsia="宋体" w:cs="宋体"/>
          <w:b/>
          <w:bCs/>
          <w:color w:val="auto"/>
          <w:sz w:val="30"/>
          <w:szCs w:val="30"/>
          <w:highlight w:val="none"/>
          <w:lang w:val="zh-CN"/>
        </w:rPr>
        <w:t>法定代表人授权书</w:t>
      </w:r>
      <w:bookmarkEnd w:id="591"/>
    </w:p>
    <w:p w14:paraId="3BB3DEA4">
      <w:pPr>
        <w:autoSpaceDE w:val="0"/>
        <w:autoSpaceDN w:val="0"/>
        <w:adjustRightInd w:val="0"/>
        <w:spacing w:line="360" w:lineRule="auto"/>
        <w:jc w:val="center"/>
        <w:outlineLvl w:val="9"/>
        <w:rPr>
          <w:rFonts w:hint="eastAsia" w:ascii="宋体" w:hAnsi="宋体" w:eastAsia="宋体" w:cs="宋体"/>
          <w:color w:val="auto"/>
          <w:szCs w:val="28"/>
          <w:highlight w:val="none"/>
          <w:lang w:val="zh-CN"/>
        </w:rPr>
      </w:pPr>
    </w:p>
    <w:p w14:paraId="4DD17029">
      <w:pPr>
        <w:spacing w:before="120" w:after="120" w:line="360" w:lineRule="auto"/>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致：东莞市水务环境投资控股集团供水有限公司</w:t>
      </w:r>
    </w:p>
    <w:p w14:paraId="3E6F3E9A">
      <w:pPr>
        <w:spacing w:before="120" w:after="120" w:line="360" w:lineRule="auto"/>
        <w:ind w:firstLine="630" w:firstLineChars="3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本授权书声明：注册于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（投标人地址）的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（投标人名称）在下面签字或盖私章的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（法定代表人姓名、职务、身份证号码）代表本公司授权在下面签字或盖私章的</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（被授权人的姓名、职务、身份证号码）为本公司的合法代表人，签署</w:t>
      </w:r>
      <w:r>
        <w:rPr>
          <w:rFonts w:hint="eastAsia" w:ascii="宋体" w:hAnsi="宋体" w:eastAsia="宋体" w:cs="宋体"/>
          <w:color w:val="auto"/>
          <w:szCs w:val="21"/>
          <w:highlight w:val="none"/>
          <w:u w:val="single"/>
          <w:lang w:eastAsia="zh-CN"/>
        </w:rPr>
        <w:t>东莞市水务环境投资控股集团供水有限公司2026-2027年度清洁保洁、绿化养护、除“四害”及灭蚁防治服务采购项目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u w:val="single"/>
          <w:lang w:val="zh-CN"/>
        </w:rPr>
        <w:t xml:space="preserve">                    </w:t>
      </w:r>
      <w:r>
        <w:rPr>
          <w:rFonts w:hint="eastAsia" w:ascii="宋体" w:hAnsi="宋体" w:eastAsia="宋体" w:cs="宋体"/>
          <w:color w:val="auto"/>
          <w:szCs w:val="21"/>
          <w:highlight w:val="none"/>
          <w:lang w:val="zh-CN"/>
        </w:rPr>
        <w:t>）的投标文件，</w:t>
      </w:r>
      <w:r>
        <w:rPr>
          <w:rFonts w:hint="eastAsia" w:ascii="宋体" w:hAnsi="宋体" w:eastAsia="宋体" w:cs="宋体"/>
          <w:color w:val="auto"/>
          <w:szCs w:val="21"/>
          <w:highlight w:val="none"/>
        </w:rPr>
        <w:t>代表我公司</w:t>
      </w:r>
      <w:r>
        <w:rPr>
          <w:rFonts w:hint="eastAsia" w:ascii="宋体" w:hAnsi="宋体" w:eastAsia="宋体" w:cs="宋体"/>
          <w:color w:val="auto"/>
          <w:szCs w:val="24"/>
          <w:highlight w:val="none"/>
          <w:lang w:val="zh-CN"/>
        </w:rPr>
        <w:t>递交投标文件、参与开标会、代表我公司应评标委员会的要求对投标文件进行澄清、进行合同谈判和签署合同，以我公司的名义处理一切与之有关的事宜，</w:t>
      </w:r>
      <w:r>
        <w:rPr>
          <w:rFonts w:hint="eastAsia" w:ascii="宋体" w:hAnsi="宋体" w:eastAsia="宋体" w:cs="宋体"/>
          <w:color w:val="auto"/>
          <w:szCs w:val="21"/>
          <w:highlight w:val="none"/>
        </w:rPr>
        <w:t>我承认代理人全权代表我所签署的本项目投标文件的内容及</w:t>
      </w:r>
      <w:r>
        <w:rPr>
          <w:rFonts w:hint="eastAsia" w:ascii="宋体" w:hAnsi="宋体" w:eastAsia="宋体" w:cs="宋体"/>
          <w:color w:val="auto"/>
          <w:szCs w:val="24"/>
          <w:highlight w:val="none"/>
          <w:lang w:val="zh-CN"/>
        </w:rPr>
        <w:t>所进行的上述活动。</w:t>
      </w:r>
    </w:p>
    <w:p w14:paraId="4799AEC5">
      <w:pPr>
        <w:spacing w:before="120" w:after="120" w:line="360" w:lineRule="auto"/>
        <w:ind w:firstLine="420" w:firstLineChars="200"/>
        <w:outlineLvl w:val="9"/>
        <w:rPr>
          <w:rFonts w:hint="eastAsia" w:ascii="宋体" w:hAnsi="宋体" w:eastAsia="宋体" w:cs="宋体"/>
          <w:color w:val="auto"/>
          <w:szCs w:val="21"/>
          <w:highlight w:val="none"/>
        </w:rPr>
      </w:pPr>
      <w:r>
        <w:rPr>
          <w:rFonts w:hint="eastAsia" w:ascii="宋体" w:hAnsi="宋体" w:eastAsia="宋体" w:cs="宋体"/>
          <w:color w:val="auto"/>
          <w:szCs w:val="24"/>
          <w:highlight w:val="none"/>
          <w:lang w:val="zh-CN"/>
        </w:rPr>
        <w:t>本授权书于</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年</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月</w:t>
      </w:r>
      <w:r>
        <w:rPr>
          <w:rFonts w:hint="eastAsia" w:ascii="宋体" w:hAnsi="宋体" w:eastAsia="宋体" w:cs="宋体"/>
          <w:color w:val="auto"/>
          <w:szCs w:val="24"/>
          <w:highlight w:val="none"/>
          <w:u w:val="single"/>
          <w:lang w:val="zh-CN"/>
        </w:rPr>
        <w:t xml:space="preserve">     </w:t>
      </w:r>
      <w:r>
        <w:rPr>
          <w:rFonts w:hint="eastAsia" w:ascii="宋体" w:hAnsi="宋体" w:eastAsia="宋体" w:cs="宋体"/>
          <w:color w:val="auto"/>
          <w:szCs w:val="24"/>
          <w:highlight w:val="none"/>
          <w:lang w:val="zh-CN"/>
        </w:rPr>
        <w:t>日签字生效，有效期至投标文件失效期止，</w:t>
      </w:r>
      <w:r>
        <w:rPr>
          <w:rFonts w:hint="eastAsia" w:ascii="宋体" w:hAnsi="宋体" w:eastAsia="宋体" w:cs="宋体"/>
          <w:color w:val="auto"/>
          <w:szCs w:val="21"/>
          <w:highlight w:val="none"/>
        </w:rPr>
        <w:t>代理人无转委托权，</w:t>
      </w:r>
      <w:r>
        <w:rPr>
          <w:rFonts w:hint="eastAsia" w:ascii="宋体" w:hAnsi="宋体" w:eastAsia="宋体" w:cs="宋体"/>
          <w:color w:val="auto"/>
          <w:szCs w:val="24"/>
          <w:highlight w:val="none"/>
          <w:lang w:val="zh-CN"/>
        </w:rPr>
        <w:t>特此声明。</w:t>
      </w:r>
    </w:p>
    <w:p w14:paraId="09CFE80A">
      <w:pPr>
        <w:spacing w:before="120" w:after="120" w:line="360" w:lineRule="auto"/>
        <w:ind w:left="348" w:leftChars="136" w:hanging="62"/>
        <w:outlineLvl w:val="9"/>
        <w:rPr>
          <w:rFonts w:hint="eastAsia" w:ascii="宋体" w:hAnsi="宋体" w:eastAsia="宋体" w:cs="宋体"/>
          <w:color w:val="auto"/>
          <w:szCs w:val="24"/>
          <w:highlight w:val="none"/>
        </w:rPr>
      </w:pPr>
    </w:p>
    <w:p w14:paraId="5ECECA46">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  标  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（企业数字证书电子签名）</w:t>
      </w:r>
    </w:p>
    <w:p w14:paraId="45104C27">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投标人地址：</w:t>
      </w:r>
    </w:p>
    <w:p w14:paraId="6A22F428">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法定代表人：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43A7F514">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0D0EC02A">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w:t>
      </w:r>
      <w:r>
        <w:rPr>
          <w:rFonts w:hint="eastAsia" w:ascii="宋体" w:hAnsi="宋体" w:eastAsia="宋体" w:cs="宋体"/>
          <w:color w:val="auto"/>
          <w:szCs w:val="24"/>
          <w:highlight w:val="none"/>
          <w:u w:val="single"/>
          <w:lang w:val="en-US" w:eastAsia="zh-CN"/>
        </w:rPr>
        <w:t xml:space="preserve">         </w:t>
      </w:r>
      <w:r>
        <w:rPr>
          <w:rFonts w:hint="eastAsia" w:ascii="宋体" w:hAnsi="宋体" w:eastAsia="宋体" w:cs="宋体"/>
          <w:color w:val="auto"/>
          <w:szCs w:val="24"/>
          <w:highlight w:val="none"/>
          <w:lang w:val="zh-CN"/>
        </w:rPr>
        <w:t>（电子签名）</w:t>
      </w:r>
    </w:p>
    <w:p w14:paraId="37665BA5">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职　　　务：</w:t>
      </w:r>
    </w:p>
    <w:p w14:paraId="6B5B2C1D">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被授权人联系手机：</w:t>
      </w:r>
    </w:p>
    <w:p w14:paraId="7693282E">
      <w:pPr>
        <w:spacing w:before="120" w:after="120" w:line="360" w:lineRule="auto"/>
        <w:ind w:left="4200" w:leftChars="2000" w:firstLine="425"/>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电 子 邮 箱：</w:t>
      </w:r>
    </w:p>
    <w:p w14:paraId="73E7F16C">
      <w:pPr>
        <w:pStyle w:val="33"/>
        <w:widowControl w:val="0"/>
        <w:snapToGrid w:val="0"/>
        <w:spacing w:before="0" w:beforeAutospacing="0" w:after="0" w:afterAutospacing="0" w:line="360" w:lineRule="auto"/>
        <w:jc w:val="center"/>
        <w:rPr>
          <w:rFonts w:hint="eastAsia" w:ascii="宋体" w:hAnsi="宋体" w:eastAsia="宋体" w:cs="宋体"/>
          <w:b/>
          <w:color w:val="auto"/>
          <w:sz w:val="21"/>
          <w:szCs w:val="21"/>
          <w:highlight w:val="none"/>
          <w:lang w:bidi="ar"/>
        </w:rPr>
      </w:pPr>
    </w:p>
    <w:p w14:paraId="49AACF92">
      <w:pPr>
        <w:widowControl/>
        <w:autoSpaceDE w:val="0"/>
        <w:autoSpaceDN w:val="0"/>
        <w:spacing w:before="120" w:after="120" w:line="360" w:lineRule="auto"/>
        <w:ind w:right="781" w:rightChars="372" w:firstLine="422" w:firstLineChars="200"/>
        <w:jc w:val="center"/>
        <w:textAlignment w:val="bottom"/>
        <w:outlineLvl w:val="9"/>
        <w:rPr>
          <w:rFonts w:hint="eastAsia" w:ascii="宋体" w:hAnsi="宋体" w:eastAsia="宋体" w:cs="宋体"/>
          <w:b/>
          <w:bCs/>
          <w:color w:val="auto"/>
          <w:sz w:val="21"/>
          <w:szCs w:val="21"/>
          <w:highlight w:val="none"/>
          <w:u w:val="single"/>
          <w:lang w:bidi="ar"/>
        </w:rPr>
      </w:pPr>
      <w:r>
        <w:rPr>
          <w:rFonts w:hint="eastAsia" w:ascii="宋体" w:hAnsi="宋体" w:eastAsia="宋体" w:cs="宋体"/>
          <w:b/>
          <w:bCs/>
          <w:color w:val="auto"/>
          <w:sz w:val="21"/>
          <w:szCs w:val="21"/>
          <w:highlight w:val="none"/>
          <w:u w:val="single"/>
          <w:lang w:bidi="ar"/>
        </w:rPr>
        <w:t>说明：由投标人使用投标人的企业数字证书，法定代表人</w:t>
      </w:r>
      <w:r>
        <w:rPr>
          <w:rFonts w:hint="eastAsia" w:ascii="宋体" w:hAnsi="宋体" w:eastAsia="宋体" w:cs="宋体"/>
          <w:b/>
          <w:bCs/>
          <w:color w:val="auto"/>
          <w:sz w:val="21"/>
          <w:szCs w:val="21"/>
          <w:highlight w:val="none"/>
          <w:u w:val="single"/>
          <w:lang w:eastAsia="zh-CN" w:bidi="ar"/>
        </w:rPr>
        <w:t>、</w:t>
      </w:r>
      <w:r>
        <w:rPr>
          <w:rFonts w:hint="eastAsia" w:ascii="宋体" w:hAnsi="宋体" w:eastAsia="宋体" w:cs="宋体"/>
          <w:b/>
          <w:bCs/>
          <w:color w:val="auto"/>
          <w:sz w:val="21"/>
          <w:szCs w:val="21"/>
          <w:highlight w:val="none"/>
          <w:u w:val="single"/>
          <w:lang w:bidi="ar"/>
        </w:rPr>
        <w:t>其授权代表数字证书电子签名。</w:t>
      </w:r>
    </w:p>
    <w:p w14:paraId="16A9ABCF">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607D57F0">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lang w:eastAsia="zh-CN"/>
        </w:rPr>
      </w:pPr>
      <w:r>
        <w:rPr>
          <w:rFonts w:hint="eastAsia" w:ascii="宋体" w:hAnsi="宋体" w:eastAsia="宋体" w:cs="宋体"/>
          <w:color w:val="auto"/>
          <w:szCs w:val="24"/>
          <w:highlight w:val="none"/>
        </w:rPr>
        <w:t>附 法定代表人、被授权人身份证</w:t>
      </w:r>
      <w:r>
        <w:rPr>
          <w:rFonts w:hint="eastAsia" w:ascii="宋体" w:hAnsi="宋体" w:eastAsia="宋体" w:cs="宋体"/>
          <w:color w:val="auto"/>
          <w:szCs w:val="24"/>
          <w:highlight w:val="none"/>
          <w:lang w:eastAsia="zh-CN"/>
        </w:rPr>
        <w:t>扫描件</w:t>
      </w:r>
    </w:p>
    <w:p w14:paraId="3744D318">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1312" behindDoc="0" locked="0" layoutInCell="1" allowOverlap="1">
                <wp:simplePos x="0" y="0"/>
                <wp:positionH relativeFrom="column">
                  <wp:posOffset>3366770</wp:posOffset>
                </wp:positionH>
                <wp:positionV relativeFrom="paragraph">
                  <wp:posOffset>69850</wp:posOffset>
                </wp:positionV>
                <wp:extent cx="2790825" cy="1762125"/>
                <wp:effectExtent l="9525" t="9525" r="9525" b="9525"/>
                <wp:wrapNone/>
                <wp:docPr id="4" name="文本框 4"/>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206D21EE"/>
                          <w:p w14:paraId="4FB5D75C"/>
                          <w:p w14:paraId="2BFAD8FC"/>
                          <w:p w14:paraId="17A7A81D"/>
                          <w:p w14:paraId="1DF70D29">
                            <w:pPr>
                              <w:jc w:val="center"/>
                              <w:rPr>
                                <w:rFonts w:hAnsi="宋体"/>
                              </w:rPr>
                            </w:pPr>
                            <w:r>
                              <w:rPr>
                                <w:rFonts w:hint="eastAsia" w:hAnsi="宋体"/>
                              </w:rPr>
                              <w:t>法定代表人身份证反面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5.5pt;height:138.75pt;width:219.75pt;z-index:251661312;mso-width-relative:page;mso-height-relative:page;" fillcolor="#FFFFFF" filled="t" stroked="t" coordsize="21600,21600" o:gfxdata="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">
                <v:fill on="t" focussize="0,0"/>
                <v:stroke color="#000000" miterlimit="8" joinstyle="miter"/>
                <v:imagedata o:title=""/>
                <o:lock v:ext="edit" aspectratio="f"/>
                <v:textbox>
                  <w:txbxContent>
                    <w:p w14:paraId="206D21EE"/>
                    <w:p w14:paraId="4FB5D75C"/>
                    <w:p w14:paraId="2BFAD8FC"/>
                    <w:p w14:paraId="17A7A81D"/>
                    <w:p w14:paraId="1DF70D29">
                      <w:pPr>
                        <w:jc w:val="center"/>
                        <w:rPr>
                          <w:rFonts w:hAnsi="宋体"/>
                        </w:rPr>
                      </w:pPr>
                      <w:r>
                        <w:rPr>
                          <w:rFonts w:hint="eastAsia" w:hAnsi="宋体"/>
                        </w:rPr>
                        <w:t>法定代表人身份证反面</w:t>
                      </w:r>
                    </w:p>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59264" behindDoc="0" locked="0" layoutInCell="1" allowOverlap="1">
                <wp:simplePos x="0" y="0"/>
                <wp:positionH relativeFrom="column">
                  <wp:posOffset>309245</wp:posOffset>
                </wp:positionH>
                <wp:positionV relativeFrom="paragraph">
                  <wp:posOffset>69850</wp:posOffset>
                </wp:positionV>
                <wp:extent cx="2790825" cy="1762125"/>
                <wp:effectExtent l="9525" t="9525" r="9525" b="9525"/>
                <wp:wrapNone/>
                <wp:docPr id="3" name="文本框 3"/>
                <wp:cNvGraphicFramePr/>
                <a:graphic xmlns:a="http://schemas.openxmlformats.org/drawingml/2006/main">
                  <a:graphicData uri="http://schemas.microsoft.com/office/word/2010/wordprocessingShape">
                    <wps:wsp>
                      <wps:cNvSpPr txBox="1">
                        <a:spLocks noChangeArrowheads="1"/>
                      </wps:cNvSpPr>
                      <wps:spPr bwMode="auto">
                        <a:xfrm>
                          <a:off x="0" y="0"/>
                          <a:ext cx="2790825" cy="1762125"/>
                        </a:xfrm>
                        <a:prstGeom prst="rect">
                          <a:avLst/>
                        </a:prstGeom>
                        <a:solidFill>
                          <a:srgbClr val="FFFFFF"/>
                        </a:solidFill>
                        <a:ln w="9525">
                          <a:solidFill>
                            <a:srgbClr val="000000"/>
                          </a:solidFill>
                          <a:miter lim="800000"/>
                        </a:ln>
                      </wps:spPr>
                      <wps:txbx>
                        <w:txbxContent>
                          <w:p w14:paraId="38B8A198"/>
                          <w:p w14:paraId="41F95740"/>
                          <w:p w14:paraId="6A5D6870"/>
                          <w:p w14:paraId="4CB97734"/>
                          <w:p w14:paraId="3551A300">
                            <w:pPr>
                              <w:jc w:val="center"/>
                              <w:rPr>
                                <w:rFonts w:hAnsi="宋体"/>
                              </w:rPr>
                            </w:pPr>
                            <w:r>
                              <w:rPr>
                                <w:rFonts w:hint="eastAsia" w:hAnsi="宋体"/>
                              </w:rPr>
                              <w:t>法定代表人身份证正面</w:t>
                            </w:r>
                          </w:p>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5.5pt;height:138.75pt;width:219.75pt;z-index:251659264;mso-width-relative:page;mso-height-relative:page;" fillcolor="#FFFFFF" filled="t" stroked="t" coordsize="21600,21600" o:gfxdata="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iu+XY2AAAAAkBAAAPAAAAAAAAAAEAIAAAACIAAABk&#10;cnMvZG93bnJldi54bWxQSwECFAAUAAAACACHTuJASNEy5j8CAACIBAAADgAAAAAAAAABACAAAAAn&#10;AQAAZHJzL2Uyb0RvYy54bWxQSwUGAAAAAAYABgBZAQAA2AUAAAAA&#10;">
                <v:fill on="t" focussize="0,0"/>
                <v:stroke color="#000000" miterlimit="8" joinstyle="miter"/>
                <v:imagedata o:title=""/>
                <o:lock v:ext="edit" aspectratio="f"/>
                <v:textbox>
                  <w:txbxContent>
                    <w:p w14:paraId="38B8A198"/>
                    <w:p w14:paraId="41F95740"/>
                    <w:p w14:paraId="6A5D6870"/>
                    <w:p w14:paraId="4CB97734"/>
                    <w:p w14:paraId="3551A300">
                      <w:pPr>
                        <w:jc w:val="center"/>
                        <w:rPr>
                          <w:rFonts w:hAnsi="宋体"/>
                        </w:rPr>
                      </w:pPr>
                      <w:r>
                        <w:rPr>
                          <w:rFonts w:hint="eastAsia" w:hAnsi="宋体"/>
                        </w:rPr>
                        <w:t>法定代表人身份证正面</w:t>
                      </w:r>
                    </w:p>
                  </w:txbxContent>
                </v:textbox>
              </v:shape>
            </w:pict>
          </mc:Fallback>
        </mc:AlternateContent>
      </w:r>
    </w:p>
    <w:p w14:paraId="09794CD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8BC5E0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2C7836B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F89760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7CABE2E">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6261321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036EF81">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151E425">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0D1D3F7">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r>
        <w:rPr>
          <w:rFonts w:hint="eastAsia" w:ascii="宋体" w:hAnsi="宋体" w:eastAsia="宋体" w:cs="宋体"/>
          <w:color w:val="auto"/>
          <w:szCs w:val="21"/>
          <w:highlight w:val="none"/>
        </w:rPr>
        <mc:AlternateContent>
          <mc:Choice Requires="wps">
            <w:drawing>
              <wp:anchor distT="0" distB="0" distL="114300" distR="114300" simplePos="0" relativeHeight="251662336" behindDoc="0" locked="0" layoutInCell="1" allowOverlap="1">
                <wp:simplePos x="0" y="0"/>
                <wp:positionH relativeFrom="column">
                  <wp:posOffset>3366770</wp:posOffset>
                </wp:positionH>
                <wp:positionV relativeFrom="paragraph">
                  <wp:posOffset>102235</wp:posOffset>
                </wp:positionV>
                <wp:extent cx="2743200" cy="1771650"/>
                <wp:effectExtent l="9525" t="13970" r="9525" b="5080"/>
                <wp:wrapNone/>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7CB67CA6"/>
                          <w:p w14:paraId="7F63537C">
                            <w:pPr>
                              <w:jc w:val="center"/>
                              <w:rPr>
                                <w:rFonts w:hAnsi="宋体"/>
                                <w:color w:val="FF0000"/>
                              </w:rPr>
                            </w:pPr>
                          </w:p>
                          <w:p w14:paraId="6419E813">
                            <w:pPr>
                              <w:jc w:val="center"/>
                              <w:rPr>
                                <w:rFonts w:hAnsi="宋体"/>
                                <w:color w:val="FF0000"/>
                              </w:rPr>
                            </w:pPr>
                          </w:p>
                          <w:p w14:paraId="0756092F">
                            <w:pPr>
                              <w:jc w:val="center"/>
                              <w:rPr>
                                <w:rFonts w:hAnsi="宋体"/>
                                <w:color w:val="FF0000"/>
                              </w:rPr>
                            </w:pPr>
                          </w:p>
                          <w:p w14:paraId="3AD52DCD">
                            <w:pPr>
                              <w:jc w:val="center"/>
                            </w:pPr>
                            <w:r>
                              <w:rPr>
                                <w:rFonts w:hint="eastAsia" w:hAnsi="宋体"/>
                              </w:rPr>
                              <w:t>被授权人身份证反面</w:t>
                            </w:r>
                          </w:p>
                          <w:p w14:paraId="4E749602"/>
                          <w:p w14:paraId="2C53FAE1"/>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65.1pt;margin-top:8.05pt;height:139.5pt;width:216pt;z-index:251662336;mso-width-relative:page;mso-height-relative:page;" fillcolor="#FFFFFF" filled="t" stroked="t" coordsize="21600,21600" o:gfxdata="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">
                <v:fill on="t" focussize="0,0"/>
                <v:stroke color="#000000" miterlimit="8" joinstyle="miter"/>
                <v:imagedata o:title=""/>
                <o:lock v:ext="edit" aspectratio="f"/>
                <v:textbox>
                  <w:txbxContent>
                    <w:p w14:paraId="7CB67CA6"/>
                    <w:p w14:paraId="7F63537C">
                      <w:pPr>
                        <w:jc w:val="center"/>
                        <w:rPr>
                          <w:rFonts w:hAnsi="宋体"/>
                          <w:color w:val="FF0000"/>
                        </w:rPr>
                      </w:pPr>
                    </w:p>
                    <w:p w14:paraId="6419E813">
                      <w:pPr>
                        <w:jc w:val="center"/>
                        <w:rPr>
                          <w:rFonts w:hAnsi="宋体"/>
                          <w:color w:val="FF0000"/>
                        </w:rPr>
                      </w:pPr>
                    </w:p>
                    <w:p w14:paraId="0756092F">
                      <w:pPr>
                        <w:jc w:val="center"/>
                        <w:rPr>
                          <w:rFonts w:hAnsi="宋体"/>
                          <w:color w:val="FF0000"/>
                        </w:rPr>
                      </w:pPr>
                    </w:p>
                    <w:p w14:paraId="3AD52DCD">
                      <w:pPr>
                        <w:jc w:val="center"/>
                      </w:pPr>
                      <w:r>
                        <w:rPr>
                          <w:rFonts w:hint="eastAsia" w:hAnsi="宋体"/>
                        </w:rPr>
                        <w:t>被授权人身份证反面</w:t>
                      </w:r>
                    </w:p>
                    <w:p w14:paraId="4E749602"/>
                    <w:p w14:paraId="2C53FAE1"/>
                  </w:txbxContent>
                </v:textbox>
              </v:shape>
            </w:pict>
          </mc:Fallback>
        </mc:AlternateContent>
      </w:r>
      <w:r>
        <w:rPr>
          <w:rFonts w:hint="eastAsia" w:ascii="宋体" w:hAnsi="宋体" w:eastAsia="宋体" w:cs="宋体"/>
          <w:color w:val="auto"/>
          <w:szCs w:val="21"/>
          <w:highlight w:val="none"/>
        </w:rPr>
        <mc:AlternateContent>
          <mc:Choice Requires="wps">
            <w:drawing>
              <wp:anchor distT="0" distB="0" distL="114300" distR="114300" simplePos="0" relativeHeight="251660288" behindDoc="0" locked="0" layoutInCell="1" allowOverlap="1">
                <wp:simplePos x="0" y="0"/>
                <wp:positionH relativeFrom="column">
                  <wp:posOffset>309245</wp:posOffset>
                </wp:positionH>
                <wp:positionV relativeFrom="paragraph">
                  <wp:posOffset>102235</wp:posOffset>
                </wp:positionV>
                <wp:extent cx="2743200" cy="1771650"/>
                <wp:effectExtent l="9525" t="13970" r="9525" b="5080"/>
                <wp:wrapNone/>
                <wp:docPr id="1" name="文本框 1"/>
                <wp:cNvGraphicFramePr/>
                <a:graphic xmlns:a="http://schemas.openxmlformats.org/drawingml/2006/main">
                  <a:graphicData uri="http://schemas.microsoft.com/office/word/2010/wordprocessingShape">
                    <wps:wsp>
                      <wps:cNvSpPr txBox="1">
                        <a:spLocks noChangeArrowheads="1"/>
                      </wps:cNvSpPr>
                      <wps:spPr bwMode="auto">
                        <a:xfrm>
                          <a:off x="0" y="0"/>
                          <a:ext cx="2743200" cy="1771650"/>
                        </a:xfrm>
                        <a:prstGeom prst="rect">
                          <a:avLst/>
                        </a:prstGeom>
                        <a:solidFill>
                          <a:srgbClr val="FFFFFF"/>
                        </a:solidFill>
                        <a:ln w="9525">
                          <a:solidFill>
                            <a:srgbClr val="000000"/>
                          </a:solidFill>
                          <a:miter lim="800000"/>
                        </a:ln>
                      </wps:spPr>
                      <wps:txbx>
                        <w:txbxContent>
                          <w:p w14:paraId="59E17597"/>
                          <w:p w14:paraId="216428E7">
                            <w:pPr>
                              <w:jc w:val="center"/>
                              <w:rPr>
                                <w:rFonts w:hAnsi="宋体"/>
                                <w:color w:val="FF0000"/>
                              </w:rPr>
                            </w:pPr>
                          </w:p>
                          <w:p w14:paraId="2EF98DF6">
                            <w:pPr>
                              <w:jc w:val="center"/>
                              <w:rPr>
                                <w:rFonts w:hAnsi="宋体"/>
                                <w:color w:val="FF0000"/>
                              </w:rPr>
                            </w:pPr>
                          </w:p>
                          <w:p w14:paraId="1EF4C149">
                            <w:pPr>
                              <w:jc w:val="center"/>
                              <w:rPr>
                                <w:rFonts w:hAnsi="宋体"/>
                                <w:color w:val="FF0000"/>
                              </w:rPr>
                            </w:pPr>
                          </w:p>
                          <w:p w14:paraId="63A0866F">
                            <w:pPr>
                              <w:jc w:val="center"/>
                            </w:pPr>
                            <w:r>
                              <w:rPr>
                                <w:rFonts w:hint="eastAsia" w:hAnsi="宋体"/>
                              </w:rPr>
                              <w:t>被授权人身份证正面</w:t>
                            </w:r>
                          </w:p>
                          <w:p w14:paraId="4A4608B5"/>
                          <w:p w14:paraId="184989BA"/>
                        </w:txbxContent>
                      </wps:txbx>
                      <wps:bodyPr rot="0" vert="horz" wrap="square" lIns="91440" tIns="45720" rIns="91440" bIns="45720" anchor="t" anchorCtr="0" upright="1">
                        <a:noAutofit/>
                      </wps:bodyPr>
                    </wps:wsp>
                  </a:graphicData>
                </a:graphic>
              </wp:anchor>
            </w:drawing>
          </mc:Choice>
          <mc:Fallback>
            <w:pict>
              <v:shape id="_x0000_s1026" o:spid="_x0000_s1026" o:spt="202" type="#_x0000_t202" style="position:absolute;left:0pt;margin-left:24.35pt;margin-top:8.05pt;height:139.5pt;width:216pt;z-index:251660288;mso-width-relative:page;mso-height-relative:page;" fillcolor="#FFFFFF" filled="t" stroked="t" coordsize="21600,21600" o:gfxdata="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">
                <v:fill on="t" focussize="0,0"/>
                <v:stroke color="#000000" miterlimit="8" joinstyle="miter"/>
                <v:imagedata o:title=""/>
                <o:lock v:ext="edit" aspectratio="f"/>
                <v:textbox>
                  <w:txbxContent>
                    <w:p w14:paraId="59E17597"/>
                    <w:p w14:paraId="216428E7">
                      <w:pPr>
                        <w:jc w:val="center"/>
                        <w:rPr>
                          <w:rFonts w:hAnsi="宋体"/>
                          <w:color w:val="FF0000"/>
                        </w:rPr>
                      </w:pPr>
                    </w:p>
                    <w:p w14:paraId="2EF98DF6">
                      <w:pPr>
                        <w:jc w:val="center"/>
                        <w:rPr>
                          <w:rFonts w:hAnsi="宋体"/>
                          <w:color w:val="FF0000"/>
                        </w:rPr>
                      </w:pPr>
                    </w:p>
                    <w:p w14:paraId="1EF4C149">
                      <w:pPr>
                        <w:jc w:val="center"/>
                        <w:rPr>
                          <w:rFonts w:hAnsi="宋体"/>
                          <w:color w:val="FF0000"/>
                        </w:rPr>
                      </w:pPr>
                    </w:p>
                    <w:p w14:paraId="63A0866F">
                      <w:pPr>
                        <w:jc w:val="center"/>
                      </w:pPr>
                      <w:r>
                        <w:rPr>
                          <w:rFonts w:hint="eastAsia" w:hAnsi="宋体"/>
                        </w:rPr>
                        <w:t>被授权人身份证正面</w:t>
                      </w:r>
                    </w:p>
                    <w:p w14:paraId="4A4608B5"/>
                    <w:p w14:paraId="184989BA"/>
                  </w:txbxContent>
                </v:textbox>
              </v:shape>
            </w:pict>
          </mc:Fallback>
        </mc:AlternateContent>
      </w:r>
    </w:p>
    <w:p w14:paraId="2D979594">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727BB6F2">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1A8DD42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522D548A">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49445DEC">
      <w:pPr>
        <w:widowControl/>
        <w:autoSpaceDE w:val="0"/>
        <w:autoSpaceDN w:val="0"/>
        <w:spacing w:before="120" w:after="120" w:line="360" w:lineRule="auto"/>
        <w:ind w:right="781" w:rightChars="372" w:firstLine="420" w:firstLineChars="200"/>
        <w:textAlignment w:val="bottom"/>
        <w:outlineLvl w:val="9"/>
        <w:rPr>
          <w:rFonts w:hint="eastAsia" w:ascii="宋体" w:hAnsi="宋体" w:eastAsia="宋体" w:cs="宋体"/>
          <w:color w:val="auto"/>
          <w:szCs w:val="24"/>
          <w:highlight w:val="none"/>
        </w:rPr>
      </w:pPr>
    </w:p>
    <w:p w14:paraId="08B9C9E8">
      <w:pPr>
        <w:widowControl/>
        <w:autoSpaceDE w:val="0"/>
        <w:autoSpaceDN w:val="0"/>
        <w:spacing w:before="120" w:after="120" w:line="360" w:lineRule="auto"/>
        <w:ind w:right="781" w:rightChars="372" w:firstLine="422" w:firstLineChars="200"/>
        <w:textAlignment w:val="bottom"/>
        <w:outlineLvl w:val="9"/>
        <w:rPr>
          <w:rFonts w:hint="eastAsia" w:ascii="宋体" w:hAnsi="宋体" w:eastAsia="宋体" w:cs="宋体"/>
          <w:b/>
          <w:color w:val="auto"/>
          <w:szCs w:val="24"/>
          <w:highlight w:val="none"/>
        </w:rPr>
      </w:pPr>
      <w:r>
        <w:rPr>
          <w:rFonts w:hint="eastAsia" w:ascii="宋体" w:hAnsi="宋体" w:eastAsia="宋体" w:cs="宋体"/>
          <w:b/>
          <w:color w:val="auto"/>
          <w:szCs w:val="24"/>
          <w:highlight w:val="none"/>
        </w:rPr>
        <w:t>注：上述所附身份证应在有效期限内。</w:t>
      </w:r>
    </w:p>
    <w:p w14:paraId="2420C23A">
      <w:pPr>
        <w:rPr>
          <w:rFonts w:hint="eastAsia"/>
          <w:highlight w:val="none"/>
        </w:rPr>
      </w:pPr>
    </w:p>
    <w:p w14:paraId="3A514724">
      <w:pPr>
        <w:pStyle w:val="2"/>
        <w:rPr>
          <w:rFonts w:hint="eastAsia"/>
          <w:highlight w:val="none"/>
        </w:rPr>
        <w:sectPr>
          <w:footerReference r:id="rId10" w:type="first"/>
          <w:footerReference r:id="rId9" w:type="default"/>
          <w:pgSz w:w="12240" w:h="15840"/>
          <w:pgMar w:top="1191" w:right="1043" w:bottom="1191" w:left="1043" w:header="720" w:footer="720" w:gutter="0"/>
          <w:cols w:space="720" w:num="1"/>
          <w:titlePg/>
          <w:docGrid w:linePitch="326" w:charSpace="0"/>
        </w:sectPr>
      </w:pPr>
    </w:p>
    <w:p w14:paraId="51631D77">
      <w:pPr>
        <w:pageBreakBefore/>
        <w:spacing w:line="360" w:lineRule="auto"/>
        <w:outlineLvl w:val="2"/>
        <w:rPr>
          <w:rFonts w:hint="eastAsia" w:ascii="宋体" w:hAnsi="宋体" w:eastAsia="宋体" w:cs="宋体"/>
          <w:b/>
          <w:color w:val="auto"/>
          <w:sz w:val="30"/>
          <w:szCs w:val="30"/>
          <w:highlight w:val="none"/>
        </w:rPr>
      </w:pPr>
      <w:bookmarkStart w:id="592" w:name="_Toc32328"/>
      <w:bookmarkStart w:id="593" w:name="_Toc15716"/>
      <w:bookmarkStart w:id="594" w:name="_Toc12400"/>
      <w:bookmarkStart w:id="595" w:name="_Toc142508373"/>
      <w:bookmarkStart w:id="596" w:name="_Toc1977730"/>
      <w:bookmarkStart w:id="597" w:name="_Toc140596933"/>
      <w:bookmarkStart w:id="598" w:name="_Toc94107214"/>
      <w:bookmarkStart w:id="599" w:name="_Toc104991880"/>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w:t>
      </w:r>
      <w:r>
        <w:rPr>
          <w:rFonts w:hint="eastAsia" w:ascii="宋体" w:hAnsi="宋体" w:eastAsia="宋体" w:cs="宋体"/>
          <w:b/>
          <w:color w:val="auto"/>
          <w:kern w:val="0"/>
          <w:sz w:val="30"/>
          <w:szCs w:val="30"/>
          <w:highlight w:val="none"/>
          <w:lang w:val="en-US" w:eastAsia="zh-CN"/>
        </w:rPr>
        <w:t>4</w:t>
      </w:r>
      <w:r>
        <w:rPr>
          <w:rFonts w:hint="eastAsia" w:ascii="宋体" w:hAnsi="宋体" w:eastAsia="宋体" w:cs="宋体"/>
          <w:b/>
          <w:color w:val="auto"/>
          <w:kern w:val="0"/>
          <w:sz w:val="30"/>
          <w:szCs w:val="30"/>
          <w:highlight w:val="none"/>
        </w:rPr>
        <w:t xml:space="preserve"> </w:t>
      </w:r>
      <w:r>
        <w:rPr>
          <w:rFonts w:hint="eastAsia" w:ascii="宋体" w:hAnsi="宋体" w:eastAsia="宋体" w:cs="宋体"/>
          <w:b/>
          <w:bCs/>
          <w:color w:val="auto"/>
          <w:kern w:val="2"/>
          <w:sz w:val="32"/>
          <w:szCs w:val="32"/>
          <w:highlight w:val="none"/>
        </w:rPr>
        <w:t>资格业绩</w:t>
      </w:r>
      <w:r>
        <w:rPr>
          <w:rFonts w:hint="eastAsia" w:ascii="宋体" w:hAnsi="宋体" w:eastAsia="宋体" w:cs="宋体"/>
          <w:b/>
          <w:bCs/>
          <w:color w:val="auto"/>
          <w:sz w:val="32"/>
          <w:szCs w:val="32"/>
          <w:highlight w:val="none"/>
        </w:rPr>
        <w:t>【</w:t>
      </w:r>
      <w:bookmarkEnd w:id="592"/>
      <w:bookmarkEnd w:id="593"/>
      <w:bookmarkEnd w:id="594"/>
      <w:r>
        <w:rPr>
          <w:rFonts w:hint="eastAsia" w:ascii="宋体" w:hAnsi="宋体" w:eastAsia="宋体" w:cs="宋体"/>
          <w:b/>
          <w:bCs/>
          <w:color w:val="auto"/>
          <w:sz w:val="32"/>
          <w:szCs w:val="32"/>
          <w:highlight w:val="none"/>
        </w:rPr>
        <w:t>投标人202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年1月1日以来具有一份清洁保洁服务项目或绿化养护服务项目业绩（合同签订日期为202</w:t>
      </w:r>
      <w:r>
        <w:rPr>
          <w:rFonts w:hint="eastAsia" w:ascii="宋体" w:hAnsi="宋体" w:eastAsia="宋体" w:cs="宋体"/>
          <w:b/>
          <w:bCs/>
          <w:color w:val="auto"/>
          <w:sz w:val="32"/>
          <w:szCs w:val="32"/>
          <w:highlight w:val="none"/>
          <w:lang w:val="en-US" w:eastAsia="zh-CN"/>
        </w:rPr>
        <w:t>3</w:t>
      </w:r>
      <w:r>
        <w:rPr>
          <w:rFonts w:hint="eastAsia" w:ascii="宋体" w:hAnsi="宋体" w:eastAsia="宋体" w:cs="宋体"/>
          <w:b/>
          <w:bCs/>
          <w:color w:val="auto"/>
          <w:sz w:val="32"/>
          <w:szCs w:val="32"/>
          <w:highlight w:val="none"/>
        </w:rPr>
        <w:t>年1月1日或以后）】</w:t>
      </w:r>
    </w:p>
    <w:p w14:paraId="727F001E">
      <w:pPr>
        <w:spacing w:line="360" w:lineRule="auto"/>
        <w:outlineLvl w:val="9"/>
        <w:rPr>
          <w:rFonts w:hint="eastAsia" w:ascii="宋体" w:hAnsi="宋体" w:eastAsia="宋体" w:cs="宋体"/>
          <w:b/>
          <w:color w:val="auto"/>
          <w:szCs w:val="21"/>
          <w:highlight w:val="none"/>
          <w:lang w:val="zh-CN"/>
        </w:rPr>
      </w:pP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66"/>
        <w:gridCol w:w="1157"/>
        <w:gridCol w:w="1177"/>
        <w:gridCol w:w="1290"/>
        <w:gridCol w:w="1445"/>
        <w:gridCol w:w="1151"/>
        <w:gridCol w:w="1181"/>
        <w:gridCol w:w="1151"/>
        <w:gridCol w:w="713"/>
      </w:tblGrid>
      <w:tr w14:paraId="6E8E8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335" w:type="pct"/>
            <w:tcMar>
              <w:top w:w="57" w:type="dxa"/>
              <w:left w:w="57" w:type="dxa"/>
              <w:bottom w:w="57" w:type="dxa"/>
              <w:right w:w="57" w:type="dxa"/>
            </w:tcMar>
            <w:vAlign w:val="center"/>
          </w:tcPr>
          <w:p w14:paraId="58DC1DC8">
            <w:pPr>
              <w:jc w:val="center"/>
              <w:rPr>
                <w:rFonts w:ascii="宋体" w:hAnsi="宋体" w:eastAsia="宋体" w:cs="宋体"/>
                <w:szCs w:val="21"/>
                <w:highlight w:val="none"/>
              </w:rPr>
            </w:pPr>
            <w:r>
              <w:rPr>
                <w:rFonts w:hint="eastAsia" w:ascii="宋体" w:hAnsi="宋体" w:eastAsia="宋体" w:cs="宋体"/>
                <w:szCs w:val="21"/>
                <w:highlight w:val="none"/>
              </w:rPr>
              <w:t>序号</w:t>
            </w:r>
          </w:p>
        </w:tc>
        <w:tc>
          <w:tcPr>
            <w:tcW w:w="582" w:type="pct"/>
            <w:tcMar>
              <w:top w:w="57" w:type="dxa"/>
              <w:left w:w="57" w:type="dxa"/>
              <w:bottom w:w="57" w:type="dxa"/>
              <w:right w:w="57" w:type="dxa"/>
            </w:tcMar>
            <w:vAlign w:val="center"/>
          </w:tcPr>
          <w:p w14:paraId="48E119B2">
            <w:pPr>
              <w:jc w:val="center"/>
              <w:rPr>
                <w:rFonts w:ascii="宋体" w:hAnsi="宋体" w:eastAsia="宋体" w:cs="宋体"/>
                <w:szCs w:val="21"/>
                <w:highlight w:val="none"/>
              </w:rPr>
            </w:pPr>
            <w:r>
              <w:rPr>
                <w:rFonts w:hint="eastAsia" w:ascii="宋体" w:hAnsi="宋体" w:eastAsia="宋体" w:cs="宋体"/>
                <w:szCs w:val="21"/>
                <w:highlight w:val="none"/>
              </w:rPr>
              <w:t>项目名称</w:t>
            </w:r>
          </w:p>
        </w:tc>
        <w:tc>
          <w:tcPr>
            <w:tcW w:w="592" w:type="pct"/>
            <w:tcMar>
              <w:top w:w="57" w:type="dxa"/>
              <w:left w:w="57" w:type="dxa"/>
              <w:bottom w:w="57" w:type="dxa"/>
              <w:right w:w="57" w:type="dxa"/>
            </w:tcMar>
            <w:vAlign w:val="center"/>
          </w:tcPr>
          <w:p w14:paraId="42D64B6C">
            <w:pPr>
              <w:jc w:val="center"/>
              <w:rPr>
                <w:rFonts w:ascii="宋体" w:hAnsi="宋体" w:eastAsia="宋体" w:cs="宋体"/>
                <w:szCs w:val="21"/>
                <w:highlight w:val="none"/>
              </w:rPr>
            </w:pPr>
            <w:r>
              <w:rPr>
                <w:rFonts w:hint="eastAsia" w:ascii="宋体" w:hAnsi="宋体" w:eastAsia="宋体" w:cs="宋体"/>
                <w:szCs w:val="21"/>
                <w:highlight w:val="none"/>
              </w:rPr>
              <w:t>合同主要服务内容</w:t>
            </w:r>
          </w:p>
        </w:tc>
        <w:tc>
          <w:tcPr>
            <w:tcW w:w="649" w:type="pct"/>
            <w:tcMar>
              <w:top w:w="57" w:type="dxa"/>
              <w:left w:w="57" w:type="dxa"/>
              <w:bottom w:w="57" w:type="dxa"/>
              <w:right w:w="57" w:type="dxa"/>
            </w:tcMar>
            <w:vAlign w:val="center"/>
          </w:tcPr>
          <w:p w14:paraId="2328A60D">
            <w:pPr>
              <w:jc w:val="center"/>
              <w:rPr>
                <w:rFonts w:ascii="宋体" w:hAnsi="宋体" w:eastAsia="宋体" w:cs="宋体"/>
                <w:szCs w:val="21"/>
                <w:highlight w:val="none"/>
              </w:rPr>
            </w:pPr>
            <w:r>
              <w:rPr>
                <w:rFonts w:hint="eastAsia" w:ascii="宋体" w:hAnsi="宋体" w:eastAsia="宋体" w:cs="宋体"/>
                <w:szCs w:val="21"/>
                <w:highlight w:val="none"/>
              </w:rPr>
              <w:t>合同期限</w:t>
            </w:r>
          </w:p>
        </w:tc>
        <w:tc>
          <w:tcPr>
            <w:tcW w:w="727" w:type="pct"/>
            <w:tcMar>
              <w:top w:w="57" w:type="dxa"/>
              <w:left w:w="57" w:type="dxa"/>
              <w:bottom w:w="57" w:type="dxa"/>
              <w:right w:w="57" w:type="dxa"/>
            </w:tcMar>
            <w:vAlign w:val="center"/>
          </w:tcPr>
          <w:p w14:paraId="173EDA99">
            <w:pPr>
              <w:jc w:val="center"/>
              <w:rPr>
                <w:rFonts w:ascii="宋体" w:hAnsi="宋体" w:eastAsia="宋体" w:cs="宋体"/>
                <w:szCs w:val="21"/>
                <w:highlight w:val="none"/>
              </w:rPr>
            </w:pPr>
            <w:r>
              <w:rPr>
                <w:rFonts w:hint="eastAsia" w:ascii="宋体" w:hAnsi="宋体" w:eastAsia="宋体" w:cs="宋体"/>
                <w:szCs w:val="21"/>
                <w:highlight w:val="none"/>
              </w:rPr>
              <w:t>签约日期</w:t>
            </w:r>
          </w:p>
        </w:tc>
        <w:tc>
          <w:tcPr>
            <w:tcW w:w="579" w:type="pct"/>
            <w:tcMar>
              <w:top w:w="57" w:type="dxa"/>
              <w:left w:w="57" w:type="dxa"/>
              <w:bottom w:w="57" w:type="dxa"/>
              <w:right w:w="57" w:type="dxa"/>
            </w:tcMar>
            <w:vAlign w:val="center"/>
          </w:tcPr>
          <w:p w14:paraId="7A88E029">
            <w:pPr>
              <w:jc w:val="center"/>
              <w:rPr>
                <w:rFonts w:ascii="宋体" w:hAnsi="宋体" w:eastAsia="宋体" w:cs="宋体"/>
                <w:szCs w:val="21"/>
                <w:highlight w:val="none"/>
              </w:rPr>
            </w:pPr>
            <w:r>
              <w:rPr>
                <w:rFonts w:hint="eastAsia" w:ascii="宋体" w:hAnsi="宋体" w:eastAsia="宋体" w:cs="宋体"/>
                <w:szCs w:val="21"/>
                <w:highlight w:val="none"/>
              </w:rPr>
              <w:t>服务完成情况</w:t>
            </w:r>
          </w:p>
        </w:tc>
        <w:tc>
          <w:tcPr>
            <w:tcW w:w="594" w:type="pct"/>
            <w:tcMar>
              <w:top w:w="57" w:type="dxa"/>
              <w:left w:w="57" w:type="dxa"/>
              <w:bottom w:w="57" w:type="dxa"/>
              <w:right w:w="57" w:type="dxa"/>
            </w:tcMar>
            <w:vAlign w:val="center"/>
          </w:tcPr>
          <w:p w14:paraId="287277C7">
            <w:pPr>
              <w:jc w:val="center"/>
              <w:rPr>
                <w:rFonts w:ascii="宋体" w:hAnsi="宋体" w:eastAsia="宋体" w:cs="宋体"/>
                <w:szCs w:val="21"/>
                <w:highlight w:val="none"/>
              </w:rPr>
            </w:pPr>
            <w:r>
              <w:rPr>
                <w:rFonts w:hint="eastAsia" w:ascii="宋体" w:hAnsi="宋体" w:eastAsia="宋体" w:cs="宋体"/>
                <w:szCs w:val="21"/>
                <w:highlight w:val="none"/>
              </w:rPr>
              <w:t>服务质量情况</w:t>
            </w:r>
          </w:p>
        </w:tc>
        <w:tc>
          <w:tcPr>
            <w:tcW w:w="579" w:type="pct"/>
            <w:tcMar>
              <w:top w:w="57" w:type="dxa"/>
              <w:left w:w="57" w:type="dxa"/>
              <w:bottom w:w="57" w:type="dxa"/>
              <w:right w:w="57" w:type="dxa"/>
            </w:tcMar>
            <w:vAlign w:val="center"/>
          </w:tcPr>
          <w:p w14:paraId="32BA9C37">
            <w:pPr>
              <w:jc w:val="center"/>
              <w:rPr>
                <w:rFonts w:ascii="宋体" w:hAnsi="宋体" w:eastAsia="宋体" w:cs="宋体"/>
                <w:szCs w:val="21"/>
                <w:highlight w:val="none"/>
              </w:rPr>
            </w:pPr>
            <w:r>
              <w:rPr>
                <w:rFonts w:hint="eastAsia" w:ascii="宋体" w:hAnsi="宋体" w:eastAsia="宋体" w:cs="宋体"/>
                <w:szCs w:val="21"/>
                <w:highlight w:val="none"/>
              </w:rPr>
              <w:t>业主联系人及电话</w:t>
            </w:r>
          </w:p>
        </w:tc>
        <w:tc>
          <w:tcPr>
            <w:tcW w:w="358" w:type="pct"/>
            <w:tcMar>
              <w:top w:w="57" w:type="dxa"/>
              <w:left w:w="57" w:type="dxa"/>
              <w:bottom w:w="57" w:type="dxa"/>
              <w:right w:w="57" w:type="dxa"/>
            </w:tcMar>
            <w:vAlign w:val="center"/>
          </w:tcPr>
          <w:p w14:paraId="0BE17EBA">
            <w:pPr>
              <w:jc w:val="center"/>
              <w:rPr>
                <w:rFonts w:ascii="宋体" w:hAnsi="宋体" w:eastAsia="宋体" w:cs="宋体"/>
                <w:szCs w:val="21"/>
                <w:highlight w:val="none"/>
              </w:rPr>
            </w:pPr>
            <w:r>
              <w:rPr>
                <w:rFonts w:hint="eastAsia" w:ascii="宋体" w:hAnsi="宋体" w:eastAsia="宋体" w:cs="宋体"/>
                <w:szCs w:val="21"/>
                <w:highlight w:val="none"/>
              </w:rPr>
              <w:t>备注</w:t>
            </w:r>
          </w:p>
        </w:tc>
      </w:tr>
      <w:tr w14:paraId="3A28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35" w:type="pct"/>
            <w:tcMar>
              <w:top w:w="57" w:type="dxa"/>
              <w:left w:w="57" w:type="dxa"/>
              <w:bottom w:w="57" w:type="dxa"/>
              <w:right w:w="57" w:type="dxa"/>
            </w:tcMar>
            <w:vAlign w:val="center"/>
          </w:tcPr>
          <w:p w14:paraId="3DFB7CFC">
            <w:pPr>
              <w:jc w:val="center"/>
              <w:rPr>
                <w:rFonts w:ascii="宋体" w:hAnsi="宋体" w:eastAsia="宋体" w:cs="宋体"/>
                <w:szCs w:val="21"/>
                <w:highlight w:val="none"/>
              </w:rPr>
            </w:pPr>
            <w:r>
              <w:rPr>
                <w:rFonts w:hint="eastAsia" w:ascii="宋体" w:hAnsi="宋体" w:eastAsia="宋体" w:cs="宋体"/>
                <w:szCs w:val="21"/>
                <w:highlight w:val="none"/>
              </w:rPr>
              <w:t>1</w:t>
            </w:r>
          </w:p>
        </w:tc>
        <w:tc>
          <w:tcPr>
            <w:tcW w:w="582" w:type="pct"/>
            <w:tcMar>
              <w:top w:w="57" w:type="dxa"/>
              <w:left w:w="57" w:type="dxa"/>
              <w:bottom w:w="57" w:type="dxa"/>
              <w:right w:w="57" w:type="dxa"/>
            </w:tcMar>
            <w:vAlign w:val="center"/>
          </w:tcPr>
          <w:p w14:paraId="15E15446">
            <w:pPr>
              <w:jc w:val="center"/>
              <w:rPr>
                <w:rFonts w:ascii="宋体" w:hAnsi="宋体" w:eastAsia="宋体" w:cs="宋体"/>
                <w:szCs w:val="21"/>
                <w:highlight w:val="none"/>
              </w:rPr>
            </w:pPr>
          </w:p>
        </w:tc>
        <w:tc>
          <w:tcPr>
            <w:tcW w:w="592" w:type="pct"/>
            <w:tcMar>
              <w:top w:w="57" w:type="dxa"/>
              <w:left w:w="57" w:type="dxa"/>
              <w:bottom w:w="57" w:type="dxa"/>
              <w:right w:w="57" w:type="dxa"/>
            </w:tcMar>
            <w:vAlign w:val="center"/>
          </w:tcPr>
          <w:p w14:paraId="197390F7">
            <w:pPr>
              <w:jc w:val="center"/>
              <w:rPr>
                <w:rFonts w:ascii="宋体" w:hAnsi="宋体" w:eastAsia="宋体" w:cs="宋体"/>
                <w:szCs w:val="21"/>
                <w:highlight w:val="none"/>
              </w:rPr>
            </w:pPr>
          </w:p>
        </w:tc>
        <w:tc>
          <w:tcPr>
            <w:tcW w:w="649" w:type="pct"/>
            <w:tcMar>
              <w:top w:w="57" w:type="dxa"/>
              <w:left w:w="57" w:type="dxa"/>
              <w:bottom w:w="57" w:type="dxa"/>
              <w:right w:w="57" w:type="dxa"/>
            </w:tcMar>
            <w:vAlign w:val="center"/>
          </w:tcPr>
          <w:p w14:paraId="08DAF5C4">
            <w:pPr>
              <w:jc w:val="center"/>
              <w:rPr>
                <w:rFonts w:ascii="宋体" w:hAnsi="宋体" w:eastAsia="宋体" w:cs="宋体"/>
                <w:szCs w:val="21"/>
                <w:highlight w:val="none"/>
              </w:rPr>
            </w:pPr>
          </w:p>
        </w:tc>
        <w:tc>
          <w:tcPr>
            <w:tcW w:w="727" w:type="pct"/>
            <w:tcMar>
              <w:top w:w="57" w:type="dxa"/>
              <w:left w:w="57" w:type="dxa"/>
              <w:bottom w:w="57" w:type="dxa"/>
              <w:right w:w="57" w:type="dxa"/>
            </w:tcMar>
            <w:vAlign w:val="center"/>
          </w:tcPr>
          <w:p w14:paraId="011D8EA4">
            <w:pPr>
              <w:jc w:val="center"/>
              <w:rPr>
                <w:rFonts w:ascii="宋体" w:hAnsi="宋体" w:eastAsia="宋体" w:cs="宋体"/>
                <w:szCs w:val="21"/>
                <w:highlight w:val="none"/>
              </w:rPr>
            </w:pPr>
          </w:p>
        </w:tc>
        <w:tc>
          <w:tcPr>
            <w:tcW w:w="579" w:type="pct"/>
            <w:tcMar>
              <w:top w:w="57" w:type="dxa"/>
              <w:left w:w="57" w:type="dxa"/>
              <w:bottom w:w="57" w:type="dxa"/>
              <w:right w:w="57" w:type="dxa"/>
            </w:tcMar>
          </w:tcPr>
          <w:p w14:paraId="76E40E21">
            <w:pPr>
              <w:jc w:val="center"/>
              <w:rPr>
                <w:rFonts w:ascii="宋体" w:hAnsi="宋体" w:eastAsia="宋体" w:cs="宋体"/>
                <w:szCs w:val="21"/>
                <w:highlight w:val="none"/>
              </w:rPr>
            </w:pPr>
          </w:p>
        </w:tc>
        <w:tc>
          <w:tcPr>
            <w:tcW w:w="594" w:type="pct"/>
            <w:tcMar>
              <w:top w:w="57" w:type="dxa"/>
              <w:left w:w="57" w:type="dxa"/>
              <w:bottom w:w="57" w:type="dxa"/>
              <w:right w:w="57" w:type="dxa"/>
            </w:tcMar>
            <w:vAlign w:val="center"/>
          </w:tcPr>
          <w:p w14:paraId="7771AF73">
            <w:pPr>
              <w:jc w:val="center"/>
              <w:rPr>
                <w:rFonts w:ascii="宋体" w:hAnsi="宋体" w:eastAsia="宋体" w:cs="宋体"/>
                <w:szCs w:val="21"/>
                <w:highlight w:val="none"/>
              </w:rPr>
            </w:pPr>
          </w:p>
        </w:tc>
        <w:tc>
          <w:tcPr>
            <w:tcW w:w="579" w:type="pct"/>
            <w:tcMar>
              <w:top w:w="57" w:type="dxa"/>
              <w:left w:w="57" w:type="dxa"/>
              <w:bottom w:w="57" w:type="dxa"/>
              <w:right w:w="57" w:type="dxa"/>
            </w:tcMar>
            <w:vAlign w:val="center"/>
          </w:tcPr>
          <w:p w14:paraId="036A6C18">
            <w:pPr>
              <w:jc w:val="center"/>
              <w:rPr>
                <w:rFonts w:ascii="宋体" w:hAnsi="宋体" w:eastAsia="宋体" w:cs="宋体"/>
                <w:szCs w:val="21"/>
                <w:highlight w:val="none"/>
              </w:rPr>
            </w:pPr>
          </w:p>
        </w:tc>
        <w:tc>
          <w:tcPr>
            <w:tcW w:w="358" w:type="pct"/>
            <w:tcMar>
              <w:top w:w="57" w:type="dxa"/>
              <w:left w:w="57" w:type="dxa"/>
              <w:bottom w:w="57" w:type="dxa"/>
              <w:right w:w="57" w:type="dxa"/>
            </w:tcMar>
            <w:vAlign w:val="center"/>
          </w:tcPr>
          <w:p w14:paraId="10C77090">
            <w:pPr>
              <w:jc w:val="center"/>
              <w:rPr>
                <w:rFonts w:ascii="宋体" w:hAnsi="宋体" w:eastAsia="宋体" w:cs="宋体"/>
                <w:szCs w:val="21"/>
                <w:highlight w:val="none"/>
              </w:rPr>
            </w:pPr>
          </w:p>
        </w:tc>
      </w:tr>
      <w:tr w14:paraId="150CB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35" w:type="pct"/>
            <w:tcMar>
              <w:top w:w="57" w:type="dxa"/>
              <w:left w:w="57" w:type="dxa"/>
              <w:bottom w:w="57" w:type="dxa"/>
              <w:right w:w="57" w:type="dxa"/>
            </w:tcMar>
            <w:vAlign w:val="center"/>
          </w:tcPr>
          <w:p w14:paraId="07CD414C">
            <w:pPr>
              <w:jc w:val="center"/>
              <w:rPr>
                <w:rFonts w:ascii="宋体" w:hAnsi="宋体" w:eastAsia="宋体" w:cs="宋体"/>
                <w:szCs w:val="21"/>
                <w:highlight w:val="none"/>
              </w:rPr>
            </w:pPr>
            <w:r>
              <w:rPr>
                <w:rFonts w:hint="eastAsia" w:ascii="宋体" w:hAnsi="宋体" w:eastAsia="宋体" w:cs="宋体"/>
                <w:szCs w:val="21"/>
                <w:highlight w:val="none"/>
              </w:rPr>
              <w:t>2</w:t>
            </w:r>
          </w:p>
        </w:tc>
        <w:tc>
          <w:tcPr>
            <w:tcW w:w="582" w:type="pct"/>
            <w:tcMar>
              <w:top w:w="57" w:type="dxa"/>
              <w:left w:w="57" w:type="dxa"/>
              <w:bottom w:w="57" w:type="dxa"/>
              <w:right w:w="57" w:type="dxa"/>
            </w:tcMar>
            <w:vAlign w:val="center"/>
          </w:tcPr>
          <w:p w14:paraId="4CD91542">
            <w:pPr>
              <w:jc w:val="center"/>
              <w:rPr>
                <w:rFonts w:ascii="宋体" w:hAnsi="宋体" w:eastAsia="宋体" w:cs="宋体"/>
                <w:szCs w:val="21"/>
                <w:highlight w:val="none"/>
              </w:rPr>
            </w:pPr>
          </w:p>
        </w:tc>
        <w:tc>
          <w:tcPr>
            <w:tcW w:w="592" w:type="pct"/>
            <w:tcMar>
              <w:top w:w="57" w:type="dxa"/>
              <w:left w:w="57" w:type="dxa"/>
              <w:bottom w:w="57" w:type="dxa"/>
              <w:right w:w="57" w:type="dxa"/>
            </w:tcMar>
            <w:vAlign w:val="center"/>
          </w:tcPr>
          <w:p w14:paraId="3B6069CB">
            <w:pPr>
              <w:jc w:val="center"/>
              <w:rPr>
                <w:rFonts w:ascii="宋体" w:hAnsi="宋体" w:eastAsia="宋体" w:cs="宋体"/>
                <w:szCs w:val="21"/>
                <w:highlight w:val="none"/>
              </w:rPr>
            </w:pPr>
          </w:p>
        </w:tc>
        <w:tc>
          <w:tcPr>
            <w:tcW w:w="649" w:type="pct"/>
            <w:tcMar>
              <w:top w:w="57" w:type="dxa"/>
              <w:left w:w="57" w:type="dxa"/>
              <w:bottom w:w="57" w:type="dxa"/>
              <w:right w:w="57" w:type="dxa"/>
            </w:tcMar>
            <w:vAlign w:val="center"/>
          </w:tcPr>
          <w:p w14:paraId="546D625F">
            <w:pPr>
              <w:jc w:val="center"/>
              <w:rPr>
                <w:rFonts w:ascii="宋体" w:hAnsi="宋体" w:eastAsia="宋体" w:cs="宋体"/>
                <w:szCs w:val="21"/>
                <w:highlight w:val="none"/>
              </w:rPr>
            </w:pPr>
          </w:p>
        </w:tc>
        <w:tc>
          <w:tcPr>
            <w:tcW w:w="727" w:type="pct"/>
            <w:tcMar>
              <w:top w:w="57" w:type="dxa"/>
              <w:left w:w="57" w:type="dxa"/>
              <w:bottom w:w="57" w:type="dxa"/>
              <w:right w:w="57" w:type="dxa"/>
            </w:tcMar>
            <w:vAlign w:val="center"/>
          </w:tcPr>
          <w:p w14:paraId="60294D97">
            <w:pPr>
              <w:jc w:val="center"/>
              <w:rPr>
                <w:rFonts w:hint="eastAsia" w:ascii="宋体" w:hAnsi="宋体" w:eastAsia="宋体" w:cs="宋体"/>
                <w:szCs w:val="21"/>
                <w:highlight w:val="none"/>
                <w:lang w:val="en-US" w:eastAsia="zh-CN"/>
              </w:rPr>
            </w:pPr>
            <w:r>
              <w:rPr>
                <w:rFonts w:hint="eastAsia" w:ascii="宋体" w:hAnsi="宋体" w:eastAsia="宋体" w:cs="宋体"/>
                <w:szCs w:val="21"/>
                <w:highlight w:val="none"/>
                <w:lang w:val="en-US" w:eastAsia="zh-CN"/>
              </w:rPr>
              <w:t xml:space="preserve"> </w:t>
            </w:r>
          </w:p>
        </w:tc>
        <w:tc>
          <w:tcPr>
            <w:tcW w:w="579" w:type="pct"/>
            <w:tcMar>
              <w:top w:w="57" w:type="dxa"/>
              <w:left w:w="57" w:type="dxa"/>
              <w:bottom w:w="57" w:type="dxa"/>
              <w:right w:w="57" w:type="dxa"/>
            </w:tcMar>
          </w:tcPr>
          <w:p w14:paraId="7D258813">
            <w:pPr>
              <w:jc w:val="center"/>
              <w:rPr>
                <w:rFonts w:ascii="宋体" w:hAnsi="宋体" w:eastAsia="宋体" w:cs="宋体"/>
                <w:szCs w:val="21"/>
                <w:highlight w:val="none"/>
              </w:rPr>
            </w:pPr>
          </w:p>
        </w:tc>
        <w:tc>
          <w:tcPr>
            <w:tcW w:w="594" w:type="pct"/>
            <w:tcMar>
              <w:top w:w="57" w:type="dxa"/>
              <w:left w:w="57" w:type="dxa"/>
              <w:bottom w:w="57" w:type="dxa"/>
              <w:right w:w="57" w:type="dxa"/>
            </w:tcMar>
            <w:vAlign w:val="center"/>
          </w:tcPr>
          <w:p w14:paraId="457075C5">
            <w:pPr>
              <w:jc w:val="center"/>
              <w:rPr>
                <w:rFonts w:ascii="宋体" w:hAnsi="宋体" w:eastAsia="宋体" w:cs="宋体"/>
                <w:szCs w:val="21"/>
                <w:highlight w:val="none"/>
              </w:rPr>
            </w:pPr>
          </w:p>
        </w:tc>
        <w:tc>
          <w:tcPr>
            <w:tcW w:w="579" w:type="pct"/>
            <w:tcMar>
              <w:top w:w="57" w:type="dxa"/>
              <w:left w:w="57" w:type="dxa"/>
              <w:bottom w:w="57" w:type="dxa"/>
              <w:right w:w="57" w:type="dxa"/>
            </w:tcMar>
            <w:vAlign w:val="center"/>
          </w:tcPr>
          <w:p w14:paraId="74A65EA9">
            <w:pPr>
              <w:jc w:val="center"/>
              <w:rPr>
                <w:rFonts w:ascii="宋体" w:hAnsi="宋体" w:eastAsia="宋体" w:cs="宋体"/>
                <w:szCs w:val="21"/>
                <w:highlight w:val="none"/>
              </w:rPr>
            </w:pPr>
          </w:p>
        </w:tc>
        <w:tc>
          <w:tcPr>
            <w:tcW w:w="358" w:type="pct"/>
            <w:tcMar>
              <w:top w:w="57" w:type="dxa"/>
              <w:left w:w="57" w:type="dxa"/>
              <w:bottom w:w="57" w:type="dxa"/>
              <w:right w:w="57" w:type="dxa"/>
            </w:tcMar>
            <w:vAlign w:val="center"/>
          </w:tcPr>
          <w:p w14:paraId="2D20D772">
            <w:pPr>
              <w:jc w:val="center"/>
              <w:rPr>
                <w:rFonts w:ascii="宋体" w:hAnsi="宋体" w:eastAsia="宋体" w:cs="宋体"/>
                <w:szCs w:val="21"/>
                <w:highlight w:val="none"/>
              </w:rPr>
            </w:pPr>
          </w:p>
        </w:tc>
      </w:tr>
      <w:tr w14:paraId="7733B2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35" w:type="pct"/>
            <w:tcMar>
              <w:top w:w="57" w:type="dxa"/>
              <w:left w:w="57" w:type="dxa"/>
              <w:bottom w:w="57" w:type="dxa"/>
              <w:right w:w="57" w:type="dxa"/>
            </w:tcMar>
            <w:vAlign w:val="center"/>
          </w:tcPr>
          <w:p w14:paraId="2F7A1E20">
            <w:pPr>
              <w:jc w:val="center"/>
              <w:rPr>
                <w:rFonts w:ascii="宋体" w:hAnsi="宋体" w:eastAsia="宋体" w:cs="宋体"/>
                <w:szCs w:val="21"/>
                <w:highlight w:val="none"/>
              </w:rPr>
            </w:pPr>
            <w:r>
              <w:rPr>
                <w:rFonts w:hint="eastAsia" w:ascii="宋体" w:hAnsi="宋体" w:eastAsia="宋体" w:cs="宋体"/>
                <w:szCs w:val="21"/>
                <w:highlight w:val="none"/>
              </w:rPr>
              <w:t>3</w:t>
            </w:r>
          </w:p>
        </w:tc>
        <w:tc>
          <w:tcPr>
            <w:tcW w:w="582" w:type="pct"/>
            <w:tcMar>
              <w:top w:w="57" w:type="dxa"/>
              <w:left w:w="57" w:type="dxa"/>
              <w:bottom w:w="57" w:type="dxa"/>
              <w:right w:w="57" w:type="dxa"/>
            </w:tcMar>
            <w:vAlign w:val="center"/>
          </w:tcPr>
          <w:p w14:paraId="4139DBC7">
            <w:pPr>
              <w:jc w:val="center"/>
              <w:rPr>
                <w:rFonts w:ascii="宋体" w:hAnsi="宋体" w:eastAsia="宋体" w:cs="宋体"/>
                <w:szCs w:val="21"/>
                <w:highlight w:val="none"/>
              </w:rPr>
            </w:pPr>
          </w:p>
        </w:tc>
        <w:tc>
          <w:tcPr>
            <w:tcW w:w="592" w:type="pct"/>
            <w:tcMar>
              <w:top w:w="57" w:type="dxa"/>
              <w:left w:w="57" w:type="dxa"/>
              <w:bottom w:w="57" w:type="dxa"/>
              <w:right w:w="57" w:type="dxa"/>
            </w:tcMar>
            <w:vAlign w:val="center"/>
          </w:tcPr>
          <w:p w14:paraId="09A0EF4D">
            <w:pPr>
              <w:jc w:val="center"/>
              <w:rPr>
                <w:rFonts w:ascii="宋体" w:hAnsi="宋体" w:eastAsia="宋体" w:cs="宋体"/>
                <w:szCs w:val="21"/>
                <w:highlight w:val="none"/>
              </w:rPr>
            </w:pPr>
          </w:p>
        </w:tc>
        <w:tc>
          <w:tcPr>
            <w:tcW w:w="649" w:type="pct"/>
            <w:tcMar>
              <w:top w:w="57" w:type="dxa"/>
              <w:left w:w="57" w:type="dxa"/>
              <w:bottom w:w="57" w:type="dxa"/>
              <w:right w:w="57" w:type="dxa"/>
            </w:tcMar>
            <w:vAlign w:val="center"/>
          </w:tcPr>
          <w:p w14:paraId="0E9D7256">
            <w:pPr>
              <w:jc w:val="center"/>
              <w:rPr>
                <w:rFonts w:ascii="宋体" w:hAnsi="宋体" w:eastAsia="宋体" w:cs="宋体"/>
                <w:szCs w:val="21"/>
                <w:highlight w:val="none"/>
              </w:rPr>
            </w:pPr>
          </w:p>
        </w:tc>
        <w:tc>
          <w:tcPr>
            <w:tcW w:w="727" w:type="pct"/>
            <w:tcMar>
              <w:top w:w="57" w:type="dxa"/>
              <w:left w:w="57" w:type="dxa"/>
              <w:bottom w:w="57" w:type="dxa"/>
              <w:right w:w="57" w:type="dxa"/>
            </w:tcMar>
            <w:vAlign w:val="center"/>
          </w:tcPr>
          <w:p w14:paraId="4F27ADC0">
            <w:pPr>
              <w:jc w:val="center"/>
              <w:rPr>
                <w:rFonts w:ascii="宋体" w:hAnsi="宋体" w:eastAsia="宋体" w:cs="宋体"/>
                <w:szCs w:val="21"/>
                <w:highlight w:val="none"/>
              </w:rPr>
            </w:pPr>
          </w:p>
        </w:tc>
        <w:tc>
          <w:tcPr>
            <w:tcW w:w="579" w:type="pct"/>
            <w:tcMar>
              <w:top w:w="57" w:type="dxa"/>
              <w:left w:w="57" w:type="dxa"/>
              <w:bottom w:w="57" w:type="dxa"/>
              <w:right w:w="57" w:type="dxa"/>
            </w:tcMar>
          </w:tcPr>
          <w:p w14:paraId="79196A95">
            <w:pPr>
              <w:jc w:val="center"/>
              <w:rPr>
                <w:rFonts w:ascii="宋体" w:hAnsi="宋体" w:eastAsia="宋体" w:cs="宋体"/>
                <w:szCs w:val="21"/>
                <w:highlight w:val="none"/>
              </w:rPr>
            </w:pPr>
          </w:p>
        </w:tc>
        <w:tc>
          <w:tcPr>
            <w:tcW w:w="594" w:type="pct"/>
            <w:tcMar>
              <w:top w:w="57" w:type="dxa"/>
              <w:left w:w="57" w:type="dxa"/>
              <w:bottom w:w="57" w:type="dxa"/>
              <w:right w:w="57" w:type="dxa"/>
            </w:tcMar>
            <w:vAlign w:val="center"/>
          </w:tcPr>
          <w:p w14:paraId="01CEA829">
            <w:pPr>
              <w:jc w:val="center"/>
              <w:rPr>
                <w:rFonts w:ascii="宋体" w:hAnsi="宋体" w:eastAsia="宋体" w:cs="宋体"/>
                <w:szCs w:val="21"/>
                <w:highlight w:val="none"/>
              </w:rPr>
            </w:pPr>
          </w:p>
        </w:tc>
        <w:tc>
          <w:tcPr>
            <w:tcW w:w="579" w:type="pct"/>
            <w:tcMar>
              <w:top w:w="57" w:type="dxa"/>
              <w:left w:w="57" w:type="dxa"/>
              <w:bottom w:w="57" w:type="dxa"/>
              <w:right w:w="57" w:type="dxa"/>
            </w:tcMar>
            <w:vAlign w:val="center"/>
          </w:tcPr>
          <w:p w14:paraId="0F35F993">
            <w:pPr>
              <w:jc w:val="center"/>
              <w:rPr>
                <w:rFonts w:ascii="宋体" w:hAnsi="宋体" w:eastAsia="宋体" w:cs="宋体"/>
                <w:szCs w:val="21"/>
                <w:highlight w:val="none"/>
              </w:rPr>
            </w:pPr>
          </w:p>
        </w:tc>
        <w:tc>
          <w:tcPr>
            <w:tcW w:w="358" w:type="pct"/>
            <w:tcMar>
              <w:top w:w="57" w:type="dxa"/>
              <w:left w:w="57" w:type="dxa"/>
              <w:bottom w:w="57" w:type="dxa"/>
              <w:right w:w="57" w:type="dxa"/>
            </w:tcMar>
            <w:vAlign w:val="center"/>
          </w:tcPr>
          <w:p w14:paraId="0BCE8D5D">
            <w:pPr>
              <w:jc w:val="center"/>
              <w:rPr>
                <w:rFonts w:ascii="宋体" w:hAnsi="宋体" w:eastAsia="宋体" w:cs="宋体"/>
                <w:szCs w:val="21"/>
                <w:highlight w:val="none"/>
              </w:rPr>
            </w:pPr>
          </w:p>
        </w:tc>
      </w:tr>
      <w:tr w14:paraId="064AA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35" w:type="pct"/>
            <w:tcMar>
              <w:top w:w="57" w:type="dxa"/>
              <w:left w:w="57" w:type="dxa"/>
              <w:bottom w:w="57" w:type="dxa"/>
              <w:right w:w="57" w:type="dxa"/>
            </w:tcMar>
            <w:vAlign w:val="center"/>
          </w:tcPr>
          <w:p w14:paraId="0EAD6384">
            <w:pPr>
              <w:jc w:val="center"/>
              <w:rPr>
                <w:rFonts w:ascii="宋体" w:hAnsi="宋体" w:eastAsia="宋体" w:cs="宋体"/>
                <w:szCs w:val="21"/>
                <w:highlight w:val="none"/>
              </w:rPr>
            </w:pPr>
            <w:r>
              <w:rPr>
                <w:rFonts w:hint="eastAsia" w:ascii="宋体" w:hAnsi="宋体" w:eastAsia="宋体" w:cs="宋体"/>
                <w:kern w:val="0"/>
                <w:szCs w:val="21"/>
                <w:highlight w:val="none"/>
              </w:rPr>
              <w:t>…</w:t>
            </w:r>
          </w:p>
        </w:tc>
        <w:tc>
          <w:tcPr>
            <w:tcW w:w="582" w:type="pct"/>
            <w:tcMar>
              <w:top w:w="57" w:type="dxa"/>
              <w:left w:w="57" w:type="dxa"/>
              <w:bottom w:w="57" w:type="dxa"/>
              <w:right w:w="57" w:type="dxa"/>
            </w:tcMar>
            <w:vAlign w:val="center"/>
          </w:tcPr>
          <w:p w14:paraId="7E0F5BFF">
            <w:pPr>
              <w:jc w:val="center"/>
              <w:rPr>
                <w:rFonts w:ascii="宋体" w:hAnsi="宋体" w:eastAsia="宋体" w:cs="宋体"/>
                <w:szCs w:val="21"/>
                <w:highlight w:val="none"/>
              </w:rPr>
            </w:pPr>
          </w:p>
        </w:tc>
        <w:tc>
          <w:tcPr>
            <w:tcW w:w="592" w:type="pct"/>
            <w:tcMar>
              <w:top w:w="57" w:type="dxa"/>
              <w:left w:w="57" w:type="dxa"/>
              <w:bottom w:w="57" w:type="dxa"/>
              <w:right w:w="57" w:type="dxa"/>
            </w:tcMar>
            <w:vAlign w:val="center"/>
          </w:tcPr>
          <w:p w14:paraId="68263A6A">
            <w:pPr>
              <w:jc w:val="center"/>
              <w:rPr>
                <w:rFonts w:ascii="宋体" w:hAnsi="宋体" w:eastAsia="宋体" w:cs="宋体"/>
                <w:szCs w:val="21"/>
                <w:highlight w:val="none"/>
              </w:rPr>
            </w:pPr>
          </w:p>
        </w:tc>
        <w:tc>
          <w:tcPr>
            <w:tcW w:w="649" w:type="pct"/>
            <w:tcMar>
              <w:top w:w="57" w:type="dxa"/>
              <w:left w:w="57" w:type="dxa"/>
              <w:bottom w:w="57" w:type="dxa"/>
              <w:right w:w="57" w:type="dxa"/>
            </w:tcMar>
            <w:vAlign w:val="center"/>
          </w:tcPr>
          <w:p w14:paraId="4DD28109">
            <w:pPr>
              <w:jc w:val="center"/>
              <w:rPr>
                <w:rFonts w:ascii="宋体" w:hAnsi="宋体" w:eastAsia="宋体" w:cs="宋体"/>
                <w:szCs w:val="21"/>
                <w:highlight w:val="none"/>
              </w:rPr>
            </w:pPr>
          </w:p>
        </w:tc>
        <w:tc>
          <w:tcPr>
            <w:tcW w:w="727" w:type="pct"/>
            <w:tcMar>
              <w:top w:w="57" w:type="dxa"/>
              <w:left w:w="57" w:type="dxa"/>
              <w:bottom w:w="57" w:type="dxa"/>
              <w:right w:w="57" w:type="dxa"/>
            </w:tcMar>
            <w:vAlign w:val="center"/>
          </w:tcPr>
          <w:p w14:paraId="7B2DA50C">
            <w:pPr>
              <w:jc w:val="center"/>
              <w:rPr>
                <w:rFonts w:ascii="宋体" w:hAnsi="宋体" w:eastAsia="宋体" w:cs="宋体"/>
                <w:szCs w:val="21"/>
                <w:highlight w:val="none"/>
              </w:rPr>
            </w:pPr>
          </w:p>
        </w:tc>
        <w:tc>
          <w:tcPr>
            <w:tcW w:w="579" w:type="pct"/>
            <w:tcMar>
              <w:top w:w="57" w:type="dxa"/>
              <w:left w:w="57" w:type="dxa"/>
              <w:bottom w:w="57" w:type="dxa"/>
              <w:right w:w="57" w:type="dxa"/>
            </w:tcMar>
          </w:tcPr>
          <w:p w14:paraId="12FA36B6">
            <w:pPr>
              <w:jc w:val="center"/>
              <w:rPr>
                <w:rFonts w:ascii="宋体" w:hAnsi="宋体" w:eastAsia="宋体" w:cs="宋体"/>
                <w:szCs w:val="21"/>
                <w:highlight w:val="none"/>
              </w:rPr>
            </w:pPr>
          </w:p>
        </w:tc>
        <w:tc>
          <w:tcPr>
            <w:tcW w:w="594" w:type="pct"/>
            <w:tcMar>
              <w:top w:w="57" w:type="dxa"/>
              <w:left w:w="57" w:type="dxa"/>
              <w:bottom w:w="57" w:type="dxa"/>
              <w:right w:w="57" w:type="dxa"/>
            </w:tcMar>
            <w:vAlign w:val="center"/>
          </w:tcPr>
          <w:p w14:paraId="0986F4FB">
            <w:pPr>
              <w:jc w:val="center"/>
              <w:rPr>
                <w:rFonts w:ascii="宋体" w:hAnsi="宋体" w:eastAsia="宋体" w:cs="宋体"/>
                <w:szCs w:val="21"/>
                <w:highlight w:val="none"/>
              </w:rPr>
            </w:pPr>
          </w:p>
        </w:tc>
        <w:tc>
          <w:tcPr>
            <w:tcW w:w="579" w:type="pct"/>
            <w:tcMar>
              <w:top w:w="57" w:type="dxa"/>
              <w:left w:w="57" w:type="dxa"/>
              <w:bottom w:w="57" w:type="dxa"/>
              <w:right w:w="57" w:type="dxa"/>
            </w:tcMar>
            <w:vAlign w:val="center"/>
          </w:tcPr>
          <w:p w14:paraId="75CBB629">
            <w:pPr>
              <w:jc w:val="center"/>
              <w:rPr>
                <w:rFonts w:ascii="宋体" w:hAnsi="宋体" w:eastAsia="宋体" w:cs="宋体"/>
                <w:szCs w:val="21"/>
                <w:highlight w:val="none"/>
              </w:rPr>
            </w:pPr>
          </w:p>
        </w:tc>
        <w:tc>
          <w:tcPr>
            <w:tcW w:w="358" w:type="pct"/>
            <w:tcMar>
              <w:top w:w="57" w:type="dxa"/>
              <w:left w:w="57" w:type="dxa"/>
              <w:bottom w:w="57" w:type="dxa"/>
              <w:right w:w="57" w:type="dxa"/>
            </w:tcMar>
            <w:vAlign w:val="center"/>
          </w:tcPr>
          <w:p w14:paraId="0CFB9435">
            <w:pPr>
              <w:jc w:val="center"/>
              <w:rPr>
                <w:rFonts w:ascii="宋体" w:hAnsi="宋体" w:eastAsia="宋体" w:cs="宋体"/>
                <w:szCs w:val="21"/>
                <w:highlight w:val="none"/>
              </w:rPr>
            </w:pPr>
          </w:p>
        </w:tc>
      </w:tr>
    </w:tbl>
    <w:p w14:paraId="7FC9CFCE">
      <w:pPr>
        <w:spacing w:line="360" w:lineRule="auto"/>
        <w:ind w:left="424" w:hanging="424" w:hangingChars="201"/>
        <w:outlineLvl w:val="9"/>
        <w:rPr>
          <w:rFonts w:hint="eastAsia" w:ascii="宋体" w:hAnsi="宋体" w:eastAsia="宋体" w:cs="宋体"/>
          <w:b/>
          <w:color w:val="auto"/>
          <w:szCs w:val="21"/>
          <w:highlight w:val="none"/>
          <w:lang w:val="zh-CN"/>
        </w:rPr>
      </w:pPr>
    </w:p>
    <w:p w14:paraId="262739CD">
      <w:pPr>
        <w:spacing w:line="360" w:lineRule="auto"/>
        <w:ind w:left="424" w:hanging="424" w:hangingChars="201"/>
        <w:outlineLvl w:val="9"/>
        <w:rPr>
          <w:rFonts w:hint="eastAsia" w:ascii="宋体" w:hAnsi="宋体" w:eastAsia="宋体" w:cs="宋体"/>
          <w:b/>
          <w:bCs w:val="0"/>
          <w:color w:val="auto"/>
          <w:szCs w:val="21"/>
          <w:highlight w:val="none"/>
          <w:lang w:val="zh-CN"/>
        </w:rPr>
      </w:pPr>
      <w:r>
        <w:rPr>
          <w:rFonts w:hint="eastAsia" w:ascii="宋体" w:hAnsi="宋体" w:eastAsia="宋体" w:cs="宋体"/>
          <w:b/>
          <w:bCs w:val="0"/>
          <w:color w:val="auto"/>
          <w:szCs w:val="21"/>
          <w:highlight w:val="none"/>
          <w:lang w:val="zh-CN"/>
        </w:rPr>
        <w:t>资格业绩证明材料提交要求：</w:t>
      </w:r>
    </w:p>
    <w:p w14:paraId="56CBC2D9">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（1）作为投标人资格条件证明的业绩放置在此处。</w:t>
      </w:r>
    </w:p>
    <w:p w14:paraId="3977B675">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（2）业绩须附合同</w:t>
      </w:r>
      <w:r>
        <w:rPr>
          <w:rFonts w:hint="eastAsia" w:ascii="宋体" w:hAnsi="宋体" w:eastAsia="宋体" w:cs="宋体"/>
          <w:b/>
          <w:color w:val="auto"/>
          <w:kern w:val="2"/>
          <w:sz w:val="21"/>
          <w:szCs w:val="21"/>
          <w:highlight w:val="none"/>
          <w:lang w:val="en-US" w:eastAsia="zh-CN"/>
        </w:rPr>
        <w:t>扫描件</w:t>
      </w:r>
      <w:r>
        <w:rPr>
          <w:rFonts w:hint="eastAsia" w:ascii="宋体" w:hAnsi="宋体" w:eastAsia="宋体" w:cs="宋体"/>
          <w:b/>
          <w:color w:val="auto"/>
          <w:kern w:val="2"/>
          <w:sz w:val="21"/>
          <w:szCs w:val="21"/>
          <w:highlight w:val="none"/>
          <w:lang w:val="zh-CN"/>
        </w:rPr>
        <w:t>（合同服务提供方为投标人）及</w:t>
      </w:r>
      <w:r>
        <w:rPr>
          <w:rFonts w:hint="eastAsia" w:ascii="宋体" w:hAnsi="宋体" w:eastAsia="宋体" w:cs="宋体"/>
          <w:b/>
          <w:bCs/>
          <w:color w:val="auto"/>
          <w:szCs w:val="24"/>
          <w:highlight w:val="none"/>
          <w:lang w:val="zh-CN" w:eastAsia="zh-CN"/>
        </w:rPr>
        <w:t>已</w:t>
      </w:r>
      <w:r>
        <w:rPr>
          <w:rFonts w:hint="eastAsia" w:ascii="宋体" w:hAnsi="宋体" w:eastAsia="宋体" w:cs="宋体"/>
          <w:b/>
          <w:bCs/>
          <w:color w:val="auto"/>
          <w:szCs w:val="24"/>
          <w:highlight w:val="none"/>
          <w:lang w:val="en-US" w:eastAsia="zh-CN"/>
        </w:rPr>
        <w:t>服务</w:t>
      </w:r>
      <w:r>
        <w:rPr>
          <w:rFonts w:hint="eastAsia" w:ascii="宋体" w:hAnsi="宋体" w:eastAsia="宋体" w:cs="宋体"/>
          <w:b/>
          <w:bCs/>
          <w:color w:val="auto"/>
          <w:szCs w:val="24"/>
          <w:highlight w:val="none"/>
          <w:lang w:val="zh-CN" w:eastAsia="zh-CN"/>
        </w:rPr>
        <w:t>的</w:t>
      </w:r>
      <w:r>
        <w:rPr>
          <w:rFonts w:hint="eastAsia" w:ascii="宋体" w:hAnsi="宋体" w:eastAsia="宋体" w:cs="宋体"/>
          <w:b/>
          <w:bCs/>
          <w:color w:val="auto"/>
          <w:szCs w:val="24"/>
          <w:highlight w:val="none"/>
          <w:lang w:val="zh-CN"/>
        </w:rPr>
        <w:t>任意一张发票</w:t>
      </w:r>
      <w:r>
        <w:rPr>
          <w:rFonts w:hint="eastAsia" w:ascii="宋体" w:hAnsi="宋体" w:eastAsia="宋体" w:cs="宋体"/>
          <w:b/>
          <w:bCs/>
          <w:color w:val="auto"/>
          <w:szCs w:val="24"/>
          <w:highlight w:val="none"/>
          <w:lang w:val="en-US" w:eastAsia="zh-CN"/>
        </w:rPr>
        <w:t>扫描</w:t>
      </w:r>
      <w:r>
        <w:rPr>
          <w:rFonts w:hint="eastAsia" w:ascii="宋体" w:hAnsi="宋体" w:eastAsia="宋体" w:cs="宋体"/>
          <w:b/>
          <w:bCs/>
          <w:color w:val="auto"/>
          <w:szCs w:val="24"/>
          <w:highlight w:val="none"/>
          <w:lang w:val="zh-CN" w:eastAsia="zh-CN"/>
        </w:rPr>
        <w:t>件</w:t>
      </w:r>
      <w:r>
        <w:rPr>
          <w:rFonts w:hint="eastAsia" w:ascii="宋体" w:hAnsi="宋体" w:eastAsia="宋体" w:cs="宋体"/>
          <w:b/>
          <w:bCs/>
          <w:color w:val="auto"/>
          <w:szCs w:val="24"/>
          <w:highlight w:val="none"/>
          <w:lang w:val="zh-CN"/>
        </w:rPr>
        <w:t>(发票开具日期须在本项目招标公告发布之日前)</w:t>
      </w:r>
      <w:r>
        <w:rPr>
          <w:rFonts w:hint="eastAsia" w:ascii="宋体" w:hAnsi="宋体" w:eastAsia="宋体" w:cs="宋体"/>
          <w:b/>
          <w:color w:val="auto"/>
          <w:kern w:val="2"/>
          <w:sz w:val="21"/>
          <w:szCs w:val="21"/>
          <w:highlight w:val="none"/>
          <w:lang w:val="zh-CN"/>
        </w:rPr>
        <w:t>；</w:t>
      </w:r>
    </w:p>
    <w:p w14:paraId="49FB777D">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（3）若合同及证明文件无法反映评分条件（合同签订日期为202</w:t>
      </w:r>
      <w:r>
        <w:rPr>
          <w:rFonts w:hint="eastAsia" w:ascii="宋体" w:hAnsi="宋体" w:eastAsia="宋体" w:cs="宋体"/>
          <w:b/>
          <w:color w:val="auto"/>
          <w:kern w:val="2"/>
          <w:sz w:val="21"/>
          <w:szCs w:val="21"/>
          <w:highlight w:val="none"/>
          <w:lang w:val="en-US" w:eastAsia="zh-CN"/>
        </w:rPr>
        <w:t>3</w:t>
      </w:r>
      <w:r>
        <w:rPr>
          <w:rFonts w:hint="eastAsia" w:ascii="宋体" w:hAnsi="宋体" w:eastAsia="宋体" w:cs="宋体"/>
          <w:b/>
          <w:color w:val="auto"/>
          <w:kern w:val="2"/>
          <w:sz w:val="21"/>
          <w:szCs w:val="21"/>
          <w:highlight w:val="none"/>
          <w:lang w:val="zh-CN"/>
        </w:rPr>
        <w:t>年1月1日或以后、合同服务内容必须具有清洁保洁服务或绿化养护服务）的，还需提供服务购买方出具的书面补充说明文件</w:t>
      </w:r>
      <w:r>
        <w:rPr>
          <w:rFonts w:hint="eastAsia" w:ascii="宋体" w:hAnsi="宋体" w:eastAsia="宋体" w:cs="宋体"/>
          <w:b/>
          <w:color w:val="auto"/>
          <w:kern w:val="2"/>
          <w:sz w:val="21"/>
          <w:szCs w:val="21"/>
          <w:highlight w:val="none"/>
          <w:lang w:val="en-US" w:eastAsia="zh-CN"/>
        </w:rPr>
        <w:t>扫描</w:t>
      </w:r>
      <w:r>
        <w:rPr>
          <w:rFonts w:hint="eastAsia" w:ascii="宋体" w:hAnsi="宋体" w:eastAsia="宋体" w:cs="宋体"/>
          <w:b/>
          <w:color w:val="auto"/>
          <w:kern w:val="2"/>
          <w:sz w:val="21"/>
          <w:szCs w:val="21"/>
          <w:highlight w:val="none"/>
          <w:lang w:val="zh-CN"/>
        </w:rPr>
        <w:t>件作为辅助证明（需加盖服务购买方公章，即</w:t>
      </w:r>
      <w:r>
        <w:rPr>
          <w:rFonts w:hint="eastAsia" w:ascii="宋体" w:hAnsi="宋体" w:eastAsia="宋体" w:cs="宋体"/>
          <w:b/>
          <w:color w:val="auto"/>
          <w:kern w:val="2"/>
          <w:sz w:val="21"/>
          <w:szCs w:val="21"/>
          <w:highlight w:val="none"/>
          <w:lang w:val="en-US" w:eastAsia="zh-CN"/>
        </w:rPr>
        <w:t>扫描</w:t>
      </w:r>
      <w:r>
        <w:rPr>
          <w:rFonts w:hint="eastAsia" w:ascii="宋体" w:hAnsi="宋体" w:eastAsia="宋体" w:cs="宋体"/>
          <w:b/>
          <w:color w:val="auto"/>
          <w:kern w:val="2"/>
          <w:sz w:val="21"/>
          <w:szCs w:val="21"/>
          <w:highlight w:val="none"/>
          <w:lang w:val="zh-CN"/>
        </w:rPr>
        <w:t>件能显示服务购买方公章）；</w:t>
      </w:r>
    </w:p>
    <w:p w14:paraId="35AF7591">
      <w:pPr>
        <w:spacing w:line="360" w:lineRule="auto"/>
        <w:ind w:left="527" w:hanging="527" w:hangingChars="250"/>
        <w:outlineLvl w:val="9"/>
        <w:rPr>
          <w:rFonts w:hint="eastAsia" w:ascii="宋体" w:hAnsi="宋体" w:eastAsia="宋体" w:cs="宋体"/>
          <w:b/>
          <w:color w:val="auto"/>
          <w:kern w:val="2"/>
          <w:sz w:val="21"/>
          <w:szCs w:val="21"/>
          <w:highlight w:val="none"/>
          <w:lang w:val="zh-CN"/>
        </w:rPr>
      </w:pPr>
      <w:r>
        <w:rPr>
          <w:rFonts w:hint="eastAsia" w:ascii="宋体" w:hAnsi="宋体" w:eastAsia="宋体" w:cs="宋体"/>
          <w:b/>
          <w:color w:val="auto"/>
          <w:kern w:val="2"/>
          <w:sz w:val="21"/>
          <w:szCs w:val="21"/>
          <w:highlight w:val="none"/>
          <w:lang w:val="zh-CN"/>
        </w:rPr>
        <w:t>（4）未按上述要求在此格式下提供证明材料的业绩，或在此格式下所附材料无法证明符合资格要求的业绩，按无效投标文件处理。</w:t>
      </w:r>
    </w:p>
    <w:p w14:paraId="0D963C82">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160CCFC7">
      <w:pPr>
        <w:autoSpaceDE/>
        <w:autoSpaceDN/>
        <w:adjustRightInd/>
        <w:spacing w:line="360" w:lineRule="auto"/>
        <w:ind w:firstLine="0" w:firstLineChars="0"/>
        <w:outlineLvl w:val="9"/>
        <w:rPr>
          <w:rFonts w:hint="eastAsia" w:ascii="宋体" w:hAnsi="宋体" w:eastAsia="宋体" w:cs="宋体"/>
          <w:b/>
          <w:color w:val="auto"/>
          <w:kern w:val="2"/>
          <w:sz w:val="21"/>
          <w:szCs w:val="21"/>
          <w:highlight w:val="none"/>
          <w:lang w:val="zh-CN"/>
        </w:rPr>
      </w:pPr>
    </w:p>
    <w:p w14:paraId="5E092EFD">
      <w:pPr>
        <w:autoSpaceDE/>
        <w:autoSpaceDN/>
        <w:adjustRightInd/>
        <w:spacing w:line="360" w:lineRule="auto"/>
        <w:ind w:firstLine="3780" w:firstLineChars="1800"/>
        <w:outlineLvl w:val="9"/>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0696BA4">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1102691">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742C0B50">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59EBEBA8">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bookmarkStart w:id="600" w:name="_Toc21843"/>
      <w:bookmarkStart w:id="601" w:name="_Toc8121"/>
      <w:bookmarkStart w:id="602" w:name="_Toc7508"/>
      <w:r>
        <w:rPr>
          <w:rFonts w:hint="eastAsia" w:ascii="宋体" w:hAnsi="宋体" w:eastAsia="宋体" w:cs="宋体"/>
          <w:b/>
          <w:color w:val="auto"/>
          <w:kern w:val="0"/>
          <w:sz w:val="30"/>
          <w:szCs w:val="30"/>
          <w:highlight w:val="none"/>
          <w:lang w:val="en-US" w:eastAsia="zh-CN"/>
        </w:rPr>
        <w:br w:type="page"/>
      </w:r>
    </w:p>
    <w:p w14:paraId="0D3C50C8">
      <w:pPr>
        <w:tabs>
          <w:tab w:val="left" w:pos="567"/>
        </w:tabs>
        <w:autoSpaceDE w:val="0"/>
        <w:autoSpaceDN w:val="0"/>
        <w:adjustRightInd w:val="0"/>
        <w:spacing w:line="360" w:lineRule="auto"/>
        <w:jc w:val="left"/>
        <w:outlineLvl w:val="2"/>
        <w:rPr>
          <w:rFonts w:hint="eastAsia" w:ascii="宋体" w:hAnsi="宋体" w:eastAsia="宋体" w:cs="宋体"/>
          <w:b/>
          <w:bCs/>
          <w:color w:val="auto"/>
          <w:sz w:val="32"/>
          <w:szCs w:val="32"/>
          <w:highlight w:val="none"/>
          <w:lang w:val="zh-CN"/>
        </w:rPr>
      </w:pPr>
      <w:r>
        <w:rPr>
          <w:rFonts w:hint="eastAsia" w:ascii="宋体" w:hAnsi="宋体" w:eastAsia="宋体" w:cs="宋体"/>
          <w:b/>
          <w:color w:val="auto"/>
          <w:kern w:val="0"/>
          <w:sz w:val="30"/>
          <w:szCs w:val="30"/>
          <w:highlight w:val="none"/>
          <w:lang w:val="en-US" w:eastAsia="zh-CN"/>
        </w:rPr>
        <w:t xml:space="preserve">4.5 </w:t>
      </w:r>
      <w:r>
        <w:rPr>
          <w:rFonts w:hint="eastAsia" w:ascii="宋体" w:hAnsi="宋体" w:eastAsia="宋体" w:cs="宋体"/>
          <w:b/>
          <w:color w:val="auto"/>
          <w:kern w:val="0"/>
          <w:sz w:val="30"/>
          <w:szCs w:val="30"/>
          <w:highlight w:val="none"/>
        </w:rPr>
        <w:t>最近3年投标人牵涉的其他（失信和违法）处罚说明格式</w:t>
      </w:r>
      <w:bookmarkEnd w:id="595"/>
      <w:bookmarkEnd w:id="596"/>
      <w:bookmarkEnd w:id="597"/>
      <w:bookmarkEnd w:id="598"/>
      <w:bookmarkEnd w:id="599"/>
      <w:bookmarkEnd w:id="600"/>
      <w:bookmarkEnd w:id="601"/>
      <w:bookmarkEnd w:id="602"/>
    </w:p>
    <w:p w14:paraId="2012BCBE">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r>
        <w:rPr>
          <w:rFonts w:hint="eastAsia" w:ascii="宋体" w:hAnsi="宋体" w:eastAsia="宋体" w:cs="宋体"/>
          <w:b/>
          <w:color w:val="auto"/>
          <w:kern w:val="0"/>
          <w:sz w:val="30"/>
          <w:szCs w:val="30"/>
          <w:highlight w:val="none"/>
        </w:rPr>
        <w:t>最近3年投标人牵涉的其他（失信和违法）</w:t>
      </w:r>
      <w:r>
        <w:rPr>
          <w:rFonts w:hint="eastAsia" w:ascii="宋体" w:hAnsi="宋体" w:eastAsia="宋体" w:cs="宋体"/>
          <w:b/>
          <w:bCs/>
          <w:color w:val="auto"/>
          <w:sz w:val="32"/>
          <w:szCs w:val="32"/>
          <w:highlight w:val="none"/>
          <w:lang w:val="zh-CN"/>
        </w:rPr>
        <w:t>处罚说明</w:t>
      </w:r>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633"/>
        <w:gridCol w:w="1542"/>
        <w:gridCol w:w="2469"/>
        <w:gridCol w:w="1389"/>
      </w:tblGrid>
      <w:tr w14:paraId="329DE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5" w:hRule="atLeast"/>
          <w:jc w:val="center"/>
        </w:trPr>
        <w:tc>
          <w:tcPr>
            <w:tcW w:w="2308" w:type="pct"/>
            <w:vAlign w:val="center"/>
          </w:tcPr>
          <w:p w14:paraId="577D6023">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 xml:space="preserve">         事项名称</w:t>
            </w:r>
          </w:p>
        </w:tc>
        <w:tc>
          <w:tcPr>
            <w:tcW w:w="768" w:type="pct"/>
            <w:vAlign w:val="center"/>
          </w:tcPr>
          <w:p w14:paraId="31C834C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认定时间</w:t>
            </w:r>
          </w:p>
        </w:tc>
        <w:tc>
          <w:tcPr>
            <w:tcW w:w="1230" w:type="pct"/>
          </w:tcPr>
          <w:p w14:paraId="1FF5E7F9">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处罚期届满异常名录信息失效时间</w:t>
            </w:r>
          </w:p>
        </w:tc>
        <w:tc>
          <w:tcPr>
            <w:tcW w:w="692" w:type="pct"/>
            <w:vAlign w:val="center"/>
          </w:tcPr>
          <w:p w14:paraId="36188D3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w:t>
            </w:r>
          </w:p>
        </w:tc>
      </w:tr>
      <w:tr w14:paraId="30179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jc w:val="center"/>
        </w:trPr>
        <w:tc>
          <w:tcPr>
            <w:tcW w:w="2308" w:type="pct"/>
            <w:vAlign w:val="center"/>
          </w:tcPr>
          <w:p w14:paraId="494A61D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是否被认定为失信被执行人</w:t>
            </w:r>
          </w:p>
        </w:tc>
        <w:tc>
          <w:tcPr>
            <w:tcW w:w="768" w:type="pct"/>
            <w:vAlign w:val="center"/>
          </w:tcPr>
          <w:p w14:paraId="65529F0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30" w:type="pct"/>
            <w:vAlign w:val="center"/>
          </w:tcPr>
          <w:p w14:paraId="676EEAF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92" w:type="pct"/>
            <w:vAlign w:val="center"/>
          </w:tcPr>
          <w:p w14:paraId="1E946EA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562A12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2308" w:type="pct"/>
            <w:vAlign w:val="center"/>
          </w:tcPr>
          <w:p w14:paraId="1C357F5A">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是否被认定为重大税收违法失信主体</w:t>
            </w:r>
          </w:p>
        </w:tc>
        <w:tc>
          <w:tcPr>
            <w:tcW w:w="768" w:type="pct"/>
            <w:vAlign w:val="center"/>
          </w:tcPr>
          <w:p w14:paraId="0C493C4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30" w:type="pct"/>
            <w:vAlign w:val="center"/>
          </w:tcPr>
          <w:p w14:paraId="2C2B935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92" w:type="pct"/>
            <w:vAlign w:val="center"/>
          </w:tcPr>
          <w:p w14:paraId="65D5738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71F0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2308" w:type="pct"/>
            <w:vAlign w:val="center"/>
          </w:tcPr>
          <w:p w14:paraId="17DEB922">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是否被认定为</w:t>
            </w:r>
            <w:r>
              <w:rPr>
                <w:rFonts w:hint="eastAsia" w:ascii="宋体" w:hAnsi="宋体" w:eastAsia="宋体" w:cs="宋体"/>
                <w:color w:val="auto"/>
                <w:kern w:val="0"/>
                <w:szCs w:val="21"/>
                <w:highlight w:val="none"/>
                <w:lang w:val="en-US" w:eastAsia="zh-CN"/>
              </w:rPr>
              <w:t>政府采购</w:t>
            </w:r>
            <w:r>
              <w:rPr>
                <w:rFonts w:hint="eastAsia" w:ascii="宋体" w:hAnsi="宋体" w:eastAsia="宋体" w:cs="宋体"/>
                <w:color w:val="auto"/>
                <w:kern w:val="0"/>
                <w:szCs w:val="21"/>
                <w:highlight w:val="none"/>
              </w:rPr>
              <w:t>严重违法失信行为记录名单</w:t>
            </w:r>
          </w:p>
        </w:tc>
        <w:tc>
          <w:tcPr>
            <w:tcW w:w="768" w:type="pct"/>
            <w:vAlign w:val="center"/>
          </w:tcPr>
          <w:p w14:paraId="037B702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230" w:type="pct"/>
            <w:vAlign w:val="center"/>
          </w:tcPr>
          <w:p w14:paraId="6A7B861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692" w:type="pct"/>
            <w:vAlign w:val="center"/>
          </w:tcPr>
          <w:p w14:paraId="09CE688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38FFCE98">
      <w:pPr>
        <w:autoSpaceDE w:val="0"/>
        <w:autoSpaceDN w:val="0"/>
        <w:adjustRightInd w:val="0"/>
        <w:spacing w:line="360" w:lineRule="auto"/>
        <w:jc w:val="left"/>
        <w:outlineLvl w:val="9"/>
        <w:rPr>
          <w:rFonts w:hint="eastAsia" w:ascii="宋体" w:hAnsi="宋体" w:eastAsia="宋体" w:cs="宋体"/>
          <w:color w:val="auto"/>
          <w:kern w:val="0"/>
          <w:szCs w:val="21"/>
          <w:highlight w:val="none"/>
        </w:rPr>
      </w:pPr>
    </w:p>
    <w:p w14:paraId="0A32FD30">
      <w:pPr>
        <w:autoSpaceDE w:val="0"/>
        <w:autoSpaceDN w:val="0"/>
        <w:adjustRightInd w:val="0"/>
        <w:spacing w:line="360" w:lineRule="auto"/>
        <w:jc w:val="left"/>
        <w:outlineLvl w:val="9"/>
        <w:rPr>
          <w:rFonts w:hint="eastAsia" w:ascii="宋体" w:hAnsi="宋体" w:eastAsia="宋体" w:cs="宋体"/>
          <w:color w:val="auto"/>
          <w:szCs w:val="21"/>
          <w:highlight w:val="none"/>
          <w:lang w:val="zh-CN"/>
        </w:rPr>
      </w:pPr>
      <w:r>
        <w:rPr>
          <w:rFonts w:hint="eastAsia" w:ascii="宋体" w:hAnsi="宋体" w:eastAsia="宋体" w:cs="宋体"/>
          <w:color w:val="auto"/>
          <w:kern w:val="0"/>
          <w:szCs w:val="21"/>
          <w:highlight w:val="none"/>
        </w:rPr>
        <w:t>备注：根据投标人及其不具有独立法人资格的分支机构的实际情况自行编写，无相关事项的，在 “认定时间”列填“无”；若受到相关处罚的应附处罚相关材料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；若出现相关处罚的处罚期满,但处罚公示没有及时更新的情况,投标人须提供相关材料(</w:t>
      </w:r>
      <w:r>
        <w:rPr>
          <w:rFonts w:hint="eastAsia" w:ascii="宋体" w:hAnsi="宋体" w:eastAsia="宋体" w:cs="宋体"/>
          <w:color w:val="auto"/>
          <w:kern w:val="0"/>
          <w:szCs w:val="21"/>
          <w:highlight w:val="none"/>
          <w:lang w:eastAsia="zh-CN"/>
        </w:rPr>
        <w:t>扫描件</w:t>
      </w:r>
      <w:r>
        <w:rPr>
          <w:rFonts w:hint="eastAsia" w:ascii="宋体" w:hAnsi="宋体" w:eastAsia="宋体" w:cs="宋体"/>
          <w:color w:val="auto"/>
          <w:kern w:val="0"/>
          <w:szCs w:val="21"/>
          <w:highlight w:val="none"/>
        </w:rPr>
        <w:t>)佐证，需原件备查</w:t>
      </w:r>
      <w:r>
        <w:rPr>
          <w:rFonts w:hint="eastAsia" w:ascii="宋体" w:hAnsi="宋体" w:eastAsia="宋体" w:cs="宋体"/>
          <w:color w:val="auto"/>
          <w:szCs w:val="21"/>
          <w:highlight w:val="none"/>
          <w:lang w:val="zh-CN"/>
        </w:rPr>
        <w:t>。</w:t>
      </w:r>
    </w:p>
    <w:p w14:paraId="79F97BAF">
      <w:pPr>
        <w:autoSpaceDE w:val="0"/>
        <w:autoSpaceDN w:val="0"/>
        <w:adjustRightInd w:val="0"/>
        <w:ind w:right="-23" w:rightChars="-11"/>
        <w:jc w:val="left"/>
        <w:outlineLvl w:val="9"/>
        <w:rPr>
          <w:rFonts w:hint="eastAsia" w:ascii="宋体" w:hAnsi="宋体" w:eastAsia="宋体" w:cs="宋体"/>
          <w:b/>
          <w:bCs/>
          <w:color w:val="auto"/>
          <w:kern w:val="0"/>
          <w:szCs w:val="21"/>
          <w:highlight w:val="none"/>
          <w:lang w:val="zh-CN"/>
        </w:rPr>
      </w:pPr>
    </w:p>
    <w:p w14:paraId="2B9B5DD8">
      <w:pPr>
        <w:autoSpaceDE w:val="0"/>
        <w:autoSpaceDN w:val="0"/>
        <w:adjustRightInd w:val="0"/>
        <w:spacing w:line="360" w:lineRule="auto"/>
        <w:jc w:val="center"/>
        <w:outlineLvl w:val="9"/>
        <w:rPr>
          <w:rFonts w:hint="eastAsia" w:ascii="宋体" w:hAnsi="宋体" w:eastAsia="宋体" w:cs="宋体"/>
          <w:color w:val="auto"/>
          <w:kern w:val="0"/>
          <w:sz w:val="24"/>
          <w:szCs w:val="24"/>
          <w:highlight w:val="none"/>
        </w:rPr>
      </w:pPr>
    </w:p>
    <w:p w14:paraId="37BF4CD0">
      <w:pPr>
        <w:spacing w:line="360" w:lineRule="auto"/>
        <w:ind w:firstLine="494" w:firstLineChars="206"/>
        <w:outlineLvl w:val="9"/>
        <w:rPr>
          <w:rFonts w:hint="eastAsia" w:ascii="宋体" w:hAnsi="宋体" w:eastAsia="宋体" w:cs="宋体"/>
          <w:color w:val="auto"/>
          <w:kern w:val="0"/>
          <w:sz w:val="24"/>
          <w:szCs w:val="24"/>
          <w:highlight w:val="none"/>
        </w:rPr>
      </w:pPr>
    </w:p>
    <w:p w14:paraId="394A73CD">
      <w:pPr>
        <w:spacing w:line="360" w:lineRule="auto"/>
        <w:ind w:firstLine="494" w:firstLineChars="206"/>
        <w:outlineLvl w:val="9"/>
        <w:rPr>
          <w:rFonts w:hint="eastAsia" w:ascii="宋体" w:hAnsi="宋体" w:eastAsia="宋体" w:cs="宋体"/>
          <w:color w:val="auto"/>
          <w:kern w:val="0"/>
          <w:sz w:val="24"/>
          <w:szCs w:val="24"/>
          <w:highlight w:val="none"/>
        </w:rPr>
      </w:pPr>
    </w:p>
    <w:p w14:paraId="4C92DCD4">
      <w:pPr>
        <w:spacing w:line="360" w:lineRule="auto"/>
        <w:ind w:firstLine="494" w:firstLineChars="206"/>
        <w:outlineLvl w:val="9"/>
        <w:rPr>
          <w:rFonts w:hint="eastAsia" w:ascii="宋体" w:hAnsi="宋体" w:eastAsia="宋体" w:cs="宋体"/>
          <w:color w:val="auto"/>
          <w:kern w:val="0"/>
          <w:sz w:val="24"/>
          <w:szCs w:val="24"/>
          <w:highlight w:val="none"/>
        </w:rPr>
      </w:pPr>
    </w:p>
    <w:p w14:paraId="11BE9AD4">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bookmarkStart w:id="603" w:name="_Toc102860423"/>
      <w:bookmarkStart w:id="604" w:name="_Toc6412"/>
      <w:bookmarkStart w:id="605" w:name="_Toc2031_WPSOffice_Level2"/>
      <w:bookmarkStart w:id="606" w:name="_Toc486167714"/>
      <w:bookmarkStart w:id="607" w:name="_Toc30939"/>
      <w:bookmarkStart w:id="608" w:name="_Toc102860079"/>
      <w:bookmarkStart w:id="609" w:name="_Toc104991881"/>
      <w:bookmarkStart w:id="610" w:name="_Toc142508374"/>
      <w:bookmarkStart w:id="611" w:name="_Toc1977731"/>
      <w:bookmarkStart w:id="612" w:name="_Toc140596934"/>
      <w:bookmarkStart w:id="613" w:name="_Toc533708126"/>
      <w:bookmarkStart w:id="614" w:name="_Toc94107215"/>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3179698F">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439BD57">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ACC3D99">
      <w:pPr>
        <w:autoSpaceDE w:val="0"/>
        <w:autoSpaceDN w:val="0"/>
        <w:adjustRightInd w:val="0"/>
        <w:spacing w:line="360" w:lineRule="auto"/>
        <w:jc w:val="center"/>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474491F">
      <w:pPr>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br w:type="page"/>
      </w:r>
    </w:p>
    <w:p w14:paraId="166F013C">
      <w:pPr>
        <w:tabs>
          <w:tab w:val="left" w:pos="567"/>
        </w:tabs>
        <w:autoSpaceDE w:val="0"/>
        <w:autoSpaceDN w:val="0"/>
        <w:adjustRightInd w:val="0"/>
        <w:spacing w:line="360" w:lineRule="auto"/>
        <w:jc w:val="left"/>
        <w:outlineLvl w:val="1"/>
        <w:rPr>
          <w:rFonts w:hint="eastAsia" w:ascii="宋体" w:hAnsi="宋体" w:eastAsia="宋体" w:cs="宋体"/>
          <w:color w:val="auto"/>
          <w:kern w:val="0"/>
          <w:szCs w:val="21"/>
          <w:highlight w:val="none"/>
          <w:u w:val="single"/>
        </w:rPr>
      </w:pPr>
      <w:bookmarkStart w:id="615" w:name="_Toc17508"/>
      <w:r>
        <w:rPr>
          <w:rFonts w:hint="eastAsia" w:ascii="宋体" w:hAnsi="宋体" w:eastAsia="宋体" w:cs="宋体"/>
          <w:b/>
          <w:color w:val="auto"/>
          <w:sz w:val="32"/>
          <w:szCs w:val="32"/>
          <w:highlight w:val="none"/>
          <w:lang w:val="en-US" w:eastAsia="zh-CN"/>
        </w:rPr>
        <w:t>5</w:t>
      </w:r>
      <w:r>
        <w:rPr>
          <w:rFonts w:hint="eastAsia" w:ascii="宋体" w:hAnsi="宋体" w:eastAsia="宋体" w:cs="宋体"/>
          <w:b/>
          <w:color w:val="auto"/>
          <w:kern w:val="0"/>
          <w:sz w:val="32"/>
          <w:szCs w:val="32"/>
          <w:highlight w:val="none"/>
        </w:rPr>
        <w:t>、投标人基本情况一览表</w:t>
      </w:r>
      <w:bookmarkEnd w:id="603"/>
      <w:bookmarkEnd w:id="604"/>
      <w:bookmarkEnd w:id="605"/>
      <w:bookmarkEnd w:id="606"/>
      <w:bookmarkEnd w:id="607"/>
      <w:bookmarkEnd w:id="608"/>
      <w:bookmarkEnd w:id="609"/>
      <w:bookmarkEnd w:id="610"/>
      <w:bookmarkEnd w:id="611"/>
      <w:bookmarkEnd w:id="612"/>
      <w:bookmarkEnd w:id="613"/>
      <w:bookmarkEnd w:id="614"/>
      <w:bookmarkEnd w:id="615"/>
    </w:p>
    <w:p w14:paraId="6C1542E5">
      <w:pPr>
        <w:autoSpaceDE w:val="0"/>
        <w:autoSpaceDN w:val="0"/>
        <w:adjustRightInd w:val="0"/>
        <w:spacing w:line="360" w:lineRule="auto"/>
        <w:jc w:val="center"/>
        <w:outlineLvl w:val="9"/>
        <w:rPr>
          <w:rFonts w:hint="eastAsia" w:ascii="宋体" w:hAnsi="宋体" w:eastAsia="宋体" w:cs="宋体"/>
          <w:b/>
          <w:bCs/>
          <w:color w:val="auto"/>
          <w:sz w:val="30"/>
          <w:szCs w:val="30"/>
          <w:highlight w:val="none"/>
        </w:rPr>
      </w:pPr>
      <w:bookmarkStart w:id="616" w:name="_Toc2773_WPSOffice_Level3"/>
      <w:r>
        <w:rPr>
          <w:rFonts w:hint="eastAsia" w:ascii="宋体" w:hAnsi="宋体" w:eastAsia="宋体" w:cs="宋体"/>
          <w:b/>
          <w:bCs/>
          <w:color w:val="auto"/>
          <w:sz w:val="30"/>
          <w:szCs w:val="30"/>
          <w:highlight w:val="none"/>
          <w:lang w:val="zh-CN"/>
        </w:rPr>
        <w:t>投标人基本情况一览表</w:t>
      </w:r>
      <w:bookmarkEnd w:id="616"/>
    </w:p>
    <w:p w14:paraId="615673A3">
      <w:pPr>
        <w:autoSpaceDE w:val="0"/>
        <w:autoSpaceDN w:val="0"/>
        <w:adjustRightInd w:val="0"/>
        <w:spacing w:line="360" w:lineRule="auto"/>
        <w:ind w:firstLine="42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lang w:val="zh-CN"/>
        </w:rPr>
        <w:t>1．名称及概况：</w:t>
      </w:r>
    </w:p>
    <w:p w14:paraId="1C87983A">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（1）投标人名称：________________________________________</w:t>
      </w:r>
    </w:p>
    <w:p w14:paraId="04DD402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（2）总部地址：__________________________________________</w:t>
      </w:r>
    </w:p>
    <w:p w14:paraId="15DA2E27">
      <w:pPr>
        <w:autoSpaceDE w:val="0"/>
        <w:autoSpaceDN w:val="0"/>
        <w:adjustRightInd w:val="0"/>
        <w:spacing w:line="360" w:lineRule="auto"/>
        <w:ind w:firstLine="66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邮政编码：__________________________________________</w:t>
      </w:r>
    </w:p>
    <w:p w14:paraId="7D882369">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电话号码：__________________________________________ </w:t>
      </w:r>
    </w:p>
    <w:p w14:paraId="087776A7">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 xml:space="preserve">     传真号码：__________________________________________ </w:t>
      </w:r>
    </w:p>
    <w:p w14:paraId="1819577F">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（3）成立和／或注册日期：________________________________</w:t>
      </w:r>
    </w:p>
    <w:p w14:paraId="61A713E6">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（4）法人代表：_____________________________________ ____</w:t>
      </w:r>
    </w:p>
    <w:p w14:paraId="31E2F64D">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（5）开户银行：__________________________________________</w:t>
      </w:r>
    </w:p>
    <w:p w14:paraId="1B27C3F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（6）开户账号：__________________________________________</w:t>
      </w:r>
    </w:p>
    <w:p w14:paraId="6FCB69AC">
      <w:pPr>
        <w:autoSpaceDE w:val="0"/>
        <w:autoSpaceDN w:val="0"/>
        <w:adjustRightInd w:val="0"/>
        <w:spacing w:line="360" w:lineRule="auto"/>
        <w:ind w:firstLine="42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（7）注册资金：__________________________________________</w:t>
      </w:r>
    </w:p>
    <w:p w14:paraId="0A9EB448">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（8）主要负责人姓名：____________________________________</w:t>
      </w:r>
    </w:p>
    <w:p w14:paraId="68D714A9">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（9）项目主要联系人（姓名、职务、通讯）：_________________   </w:t>
      </w:r>
    </w:p>
    <w:p w14:paraId="5192709C">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（10）在中国的代表的姓名和地址（如有）：__________________</w:t>
      </w:r>
    </w:p>
    <w:p w14:paraId="2C9B744A">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2．供征询之银行的名称和地址：____________________________</w:t>
      </w:r>
    </w:p>
    <w:p w14:paraId="04E8D776">
      <w:pPr>
        <w:autoSpaceDE w:val="0"/>
        <w:autoSpaceDN w:val="0"/>
        <w:adjustRightInd w:val="0"/>
        <w:spacing w:line="360" w:lineRule="auto"/>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 xml:space="preserve">    3．公司所隶属之国际集团名称（如果是）____________________</w:t>
      </w:r>
    </w:p>
    <w:p w14:paraId="2755BE4E">
      <w:pPr>
        <w:autoSpaceDE w:val="0"/>
        <w:autoSpaceDN w:val="0"/>
        <w:adjustRightInd w:val="0"/>
        <w:spacing w:line="360" w:lineRule="auto"/>
        <w:ind w:firstLine="420"/>
        <w:outlineLvl w:val="9"/>
        <w:rPr>
          <w:rFonts w:hint="eastAsia" w:ascii="宋体" w:hAnsi="宋体" w:eastAsia="宋体" w:cs="宋体"/>
          <w:color w:val="auto"/>
          <w:szCs w:val="24"/>
          <w:highlight w:val="none"/>
        </w:rPr>
      </w:pPr>
      <w:r>
        <w:rPr>
          <w:rFonts w:hint="eastAsia" w:ascii="宋体" w:hAnsi="宋体" w:eastAsia="宋体" w:cs="宋体"/>
          <w:color w:val="auto"/>
          <w:szCs w:val="24"/>
          <w:highlight w:val="none"/>
          <w:lang w:val="zh-CN"/>
        </w:rPr>
        <w:t>4. 提交资料（包括但不限于组织架构、公司简介等）：</w:t>
      </w:r>
    </w:p>
    <w:p w14:paraId="080B2272">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（1）公司简介；</w:t>
      </w:r>
    </w:p>
    <w:p w14:paraId="1AA184C1">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__________________________________________________</w:t>
      </w:r>
    </w:p>
    <w:p w14:paraId="2EB01685">
      <w:pPr>
        <w:autoSpaceDE w:val="0"/>
        <w:autoSpaceDN w:val="0"/>
        <w:adjustRightInd w:val="0"/>
        <w:spacing w:line="360" w:lineRule="auto"/>
        <w:ind w:firstLine="630" w:firstLineChars="3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（2）公司组织架构；</w:t>
      </w:r>
    </w:p>
    <w:p w14:paraId="68B0CB63">
      <w:pPr>
        <w:autoSpaceDE w:val="0"/>
        <w:autoSpaceDN w:val="0"/>
        <w:adjustRightInd w:val="0"/>
        <w:spacing w:line="360" w:lineRule="auto"/>
        <w:ind w:firstLine="1155" w:firstLineChars="55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_______________________________________________</w:t>
      </w:r>
      <w:r>
        <w:rPr>
          <w:rFonts w:hint="eastAsia" w:ascii="宋体" w:hAnsi="宋体" w:eastAsia="宋体" w:cs="宋体"/>
          <w:color w:val="auto"/>
          <w:szCs w:val="24"/>
          <w:highlight w:val="none"/>
          <w:u w:val="single"/>
          <w:lang w:val="zh-CN"/>
        </w:rPr>
        <w:t xml:space="preserve">__ </w:t>
      </w:r>
    </w:p>
    <w:p w14:paraId="74615867">
      <w:pPr>
        <w:autoSpaceDE w:val="0"/>
        <w:autoSpaceDN w:val="0"/>
        <w:adjustRightInd w:val="0"/>
        <w:spacing w:line="360" w:lineRule="auto"/>
        <w:ind w:left="836" w:leftChars="137" w:hanging="548" w:hangingChars="261"/>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（3）东莞市内设有分支机构情况介绍[应提供该分支机构的多证合一营业执照扫描件等证明材料]（若无前述分支机构的无需介绍）。</w:t>
      </w:r>
    </w:p>
    <w:p w14:paraId="7C224EA9">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兹证明上述说明是真实、正确的，并提供了全部能提供的资料和数据，我们同意遵照贵方要求出示有关证明文件。</w:t>
      </w:r>
    </w:p>
    <w:p w14:paraId="71FD8D7B">
      <w:pPr>
        <w:autoSpaceDE w:val="0"/>
        <w:autoSpaceDN w:val="0"/>
        <w:adjustRightInd w:val="0"/>
        <w:spacing w:line="360" w:lineRule="auto"/>
        <w:ind w:firstLine="420" w:firstLineChars="200"/>
        <w:outlineLvl w:val="9"/>
        <w:rPr>
          <w:rFonts w:hint="eastAsia" w:ascii="宋体" w:hAnsi="宋体" w:eastAsia="宋体" w:cs="宋体"/>
          <w:color w:val="auto"/>
          <w:szCs w:val="24"/>
          <w:highlight w:val="none"/>
        </w:rPr>
      </w:pPr>
    </w:p>
    <w:p w14:paraId="092BCF99">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95A2FF5">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5E09F64A">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37B2CF9B">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91DC663">
      <w:pPr>
        <w:tabs>
          <w:tab w:val="left" w:pos="567"/>
        </w:tabs>
        <w:autoSpaceDE w:val="0"/>
        <w:autoSpaceDN w:val="0"/>
        <w:adjustRightInd w:val="0"/>
        <w:spacing w:line="360" w:lineRule="auto"/>
        <w:ind w:left="357" w:leftChars="-100" w:hanging="567"/>
        <w:jc w:val="left"/>
        <w:outlineLvl w:val="1"/>
        <w:rPr>
          <w:rFonts w:hint="eastAsia" w:ascii="宋体" w:hAnsi="宋体" w:eastAsia="宋体" w:cs="宋体"/>
          <w:b/>
          <w:color w:val="auto"/>
          <w:kern w:val="0"/>
          <w:sz w:val="32"/>
          <w:szCs w:val="32"/>
          <w:highlight w:val="none"/>
        </w:rPr>
      </w:pPr>
      <w:r>
        <w:rPr>
          <w:rFonts w:hint="eastAsia" w:ascii="宋体" w:hAnsi="宋体" w:eastAsia="宋体" w:cs="宋体"/>
          <w:color w:val="auto"/>
          <w:szCs w:val="24"/>
          <w:highlight w:val="none"/>
          <w:lang w:val="zh-CN"/>
        </w:rPr>
        <w:br w:type="page"/>
      </w:r>
      <w:bookmarkStart w:id="617" w:name="_Toc29014"/>
      <w:bookmarkStart w:id="618" w:name="_Toc104991882"/>
      <w:bookmarkStart w:id="619" w:name="_Toc94107216"/>
      <w:bookmarkStart w:id="620" w:name="_Toc102860424"/>
      <w:bookmarkStart w:id="621" w:name="_Toc10443"/>
      <w:bookmarkStart w:id="622" w:name="_Toc140596935"/>
      <w:bookmarkStart w:id="623" w:name="_Toc142508375"/>
      <w:bookmarkStart w:id="624" w:name="_Toc102860080"/>
      <w:bookmarkStart w:id="625" w:name="_Toc4023"/>
      <w:bookmarkStart w:id="626" w:name="_Toc486167715"/>
      <w:bookmarkStart w:id="627" w:name="_Toc9051_WPSOffice_Level2"/>
      <w:bookmarkStart w:id="628" w:name="_Toc533708128"/>
      <w:bookmarkStart w:id="629" w:name="_Toc1977733"/>
      <w:r>
        <w:rPr>
          <w:rFonts w:hint="eastAsia" w:ascii="宋体" w:hAnsi="宋体" w:eastAsia="宋体" w:cs="宋体"/>
          <w:b/>
          <w:color w:val="auto"/>
          <w:sz w:val="32"/>
          <w:szCs w:val="32"/>
          <w:highlight w:val="none"/>
          <w:lang w:val="en-US" w:eastAsia="zh-CN"/>
        </w:rPr>
        <w:t>6</w:t>
      </w:r>
      <w:r>
        <w:rPr>
          <w:rFonts w:hint="eastAsia" w:ascii="宋体" w:hAnsi="宋体" w:eastAsia="宋体" w:cs="宋体"/>
          <w:b/>
          <w:color w:val="auto"/>
          <w:sz w:val="32"/>
          <w:szCs w:val="32"/>
          <w:highlight w:val="none"/>
          <w:lang w:val="zh-CN"/>
        </w:rPr>
        <w:t>、投标人财务状况表格式</w:t>
      </w:r>
      <w:bookmarkEnd w:id="617"/>
      <w:bookmarkEnd w:id="618"/>
      <w:bookmarkEnd w:id="619"/>
      <w:bookmarkEnd w:id="620"/>
      <w:bookmarkEnd w:id="621"/>
      <w:bookmarkEnd w:id="622"/>
      <w:bookmarkEnd w:id="623"/>
      <w:bookmarkEnd w:id="624"/>
      <w:bookmarkEnd w:id="625"/>
    </w:p>
    <w:p w14:paraId="61283F68">
      <w:pPr>
        <w:autoSpaceDE w:val="0"/>
        <w:autoSpaceDN w:val="0"/>
        <w:adjustRightInd w:val="0"/>
        <w:spacing w:line="360" w:lineRule="auto"/>
        <w:jc w:val="cente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t xml:space="preserve">投标人财务状况表 </w:t>
      </w:r>
    </w:p>
    <w:p w14:paraId="7C703577">
      <w:pPr>
        <w:autoSpaceDE w:val="0"/>
        <w:autoSpaceDN w:val="0"/>
        <w:adjustRightInd w:val="0"/>
        <w:spacing w:line="360" w:lineRule="auto"/>
        <w:jc w:val="right"/>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[价格单位：（人民币）元]</w:t>
      </w:r>
    </w:p>
    <w:tbl>
      <w:tblPr>
        <w:tblStyle w:val="37"/>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66"/>
        <w:gridCol w:w="1944"/>
        <w:gridCol w:w="1946"/>
        <w:gridCol w:w="2713"/>
        <w:gridCol w:w="2060"/>
      </w:tblGrid>
      <w:tr w14:paraId="67887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2A536617">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  度</w:t>
            </w:r>
          </w:p>
        </w:tc>
        <w:tc>
          <w:tcPr>
            <w:tcW w:w="1944" w:type="dxa"/>
            <w:vAlign w:val="center"/>
          </w:tcPr>
          <w:p w14:paraId="29C6A96A">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总资产（元）</w:t>
            </w:r>
          </w:p>
        </w:tc>
        <w:tc>
          <w:tcPr>
            <w:tcW w:w="1946" w:type="dxa"/>
            <w:vAlign w:val="center"/>
          </w:tcPr>
          <w:p w14:paraId="276F623E">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净资产（元）</w:t>
            </w:r>
          </w:p>
        </w:tc>
        <w:tc>
          <w:tcPr>
            <w:tcW w:w="2713" w:type="dxa"/>
            <w:vAlign w:val="center"/>
          </w:tcPr>
          <w:p w14:paraId="55CB3FF5">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年营业额（元）</w:t>
            </w:r>
          </w:p>
        </w:tc>
        <w:tc>
          <w:tcPr>
            <w:tcW w:w="2060" w:type="dxa"/>
            <w:vAlign w:val="center"/>
          </w:tcPr>
          <w:p w14:paraId="7DB9A891">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年净利润（元）</w:t>
            </w:r>
          </w:p>
        </w:tc>
      </w:tr>
      <w:tr w14:paraId="1AC3EEC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71" w:hRule="atLeast"/>
          <w:jc w:val="center"/>
        </w:trPr>
        <w:tc>
          <w:tcPr>
            <w:tcW w:w="1166" w:type="dxa"/>
            <w:vAlign w:val="center"/>
          </w:tcPr>
          <w:p w14:paraId="03BB6E39">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2022</w:t>
            </w:r>
          </w:p>
        </w:tc>
        <w:tc>
          <w:tcPr>
            <w:tcW w:w="1944" w:type="dxa"/>
            <w:vAlign w:val="center"/>
          </w:tcPr>
          <w:p w14:paraId="22F585E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8CAE718">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vAlign w:val="center"/>
          </w:tcPr>
          <w:p w14:paraId="1EA6F63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4CAB60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3FA5D86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787AAB4A">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2023</w:t>
            </w:r>
          </w:p>
        </w:tc>
        <w:tc>
          <w:tcPr>
            <w:tcW w:w="1944" w:type="dxa"/>
            <w:vAlign w:val="center"/>
          </w:tcPr>
          <w:p w14:paraId="7024DE7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6420D0E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5197D03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213B298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123ED642">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1166" w:type="dxa"/>
            <w:vAlign w:val="center"/>
          </w:tcPr>
          <w:p w14:paraId="3EC6D276">
            <w:pPr>
              <w:autoSpaceDE w:val="0"/>
              <w:autoSpaceDN w:val="0"/>
              <w:adjustRightInd w:val="0"/>
              <w:spacing w:line="360" w:lineRule="auto"/>
              <w:jc w:val="center"/>
              <w:outlineLvl w:val="9"/>
              <w:rPr>
                <w:rFonts w:hint="eastAsia" w:ascii="宋体" w:hAnsi="宋体" w:eastAsia="宋体" w:cs="宋体"/>
                <w:color w:val="auto"/>
                <w:kern w:val="0"/>
                <w:szCs w:val="21"/>
                <w:highlight w:val="none"/>
                <w:lang w:val="en-US"/>
              </w:rPr>
            </w:pPr>
            <w:r>
              <w:rPr>
                <w:rFonts w:hint="eastAsia" w:ascii="宋体" w:hAnsi="宋体" w:eastAsia="宋体" w:cs="宋体"/>
                <w:color w:val="auto"/>
                <w:kern w:val="0"/>
                <w:szCs w:val="21"/>
                <w:highlight w:val="none"/>
                <w:lang w:val="en-US" w:eastAsia="zh-CN"/>
              </w:rPr>
              <w:t>2024</w:t>
            </w:r>
          </w:p>
        </w:tc>
        <w:tc>
          <w:tcPr>
            <w:tcW w:w="1944" w:type="dxa"/>
            <w:vAlign w:val="center"/>
          </w:tcPr>
          <w:p w14:paraId="5D8B7562">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1946" w:type="dxa"/>
            <w:vAlign w:val="center"/>
          </w:tcPr>
          <w:p w14:paraId="1237562C">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713" w:type="dxa"/>
          </w:tcPr>
          <w:p w14:paraId="2FCD030B">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0BD5386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r w14:paraId="75543E0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08" w:hRule="atLeast"/>
          <w:jc w:val="center"/>
        </w:trPr>
        <w:tc>
          <w:tcPr>
            <w:tcW w:w="5056" w:type="dxa"/>
            <w:gridSpan w:val="3"/>
            <w:vAlign w:val="center"/>
          </w:tcPr>
          <w:p w14:paraId="51471D1F">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总计</w:t>
            </w:r>
          </w:p>
        </w:tc>
        <w:tc>
          <w:tcPr>
            <w:tcW w:w="2713" w:type="dxa"/>
          </w:tcPr>
          <w:p w14:paraId="4CD2B7B0">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c>
          <w:tcPr>
            <w:tcW w:w="2060" w:type="dxa"/>
            <w:vAlign w:val="center"/>
          </w:tcPr>
          <w:p w14:paraId="1F90CF63">
            <w:pPr>
              <w:autoSpaceDE w:val="0"/>
              <w:autoSpaceDN w:val="0"/>
              <w:adjustRightInd w:val="0"/>
              <w:spacing w:line="360" w:lineRule="auto"/>
              <w:jc w:val="center"/>
              <w:outlineLvl w:val="9"/>
              <w:rPr>
                <w:rFonts w:hint="eastAsia" w:ascii="宋体" w:hAnsi="宋体" w:eastAsia="宋体" w:cs="宋体"/>
                <w:color w:val="auto"/>
                <w:kern w:val="0"/>
                <w:szCs w:val="21"/>
                <w:highlight w:val="none"/>
              </w:rPr>
            </w:pPr>
          </w:p>
        </w:tc>
      </w:tr>
    </w:tbl>
    <w:p w14:paraId="57B99374">
      <w:pPr>
        <w:spacing w:line="360" w:lineRule="auto"/>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备注：需提供对应年度经独立会计师事务所审计的审计报告及投标人财务状况表；若投标人为新成立或未进行独立会计师事务所审计的，本表中对应年度的财务信息应填写“/”，投标人的投标文件不作无效投标处理，但存在因不符合评标办法中的评分标准而导致对应项不得分。</w:t>
      </w:r>
    </w:p>
    <w:p w14:paraId="06CBA6FA">
      <w:pPr>
        <w:autoSpaceDE w:val="0"/>
        <w:autoSpaceDN w:val="0"/>
        <w:adjustRightInd w:val="0"/>
        <w:spacing w:line="360" w:lineRule="auto"/>
        <w:ind w:firstLine="5409" w:firstLineChars="2576"/>
        <w:outlineLvl w:val="9"/>
        <w:rPr>
          <w:rFonts w:hint="eastAsia" w:ascii="宋体" w:hAnsi="宋体" w:eastAsia="宋体" w:cs="宋体"/>
          <w:color w:val="auto"/>
          <w:szCs w:val="24"/>
          <w:highlight w:val="none"/>
          <w:lang w:val="zh-CN"/>
        </w:rPr>
      </w:pPr>
    </w:p>
    <w:p w14:paraId="1E73E1FD">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72CD03F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p>
    <w:p w14:paraId="0796B05C">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6F83FAAE">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BE6DDA2">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9FC78A7">
      <w:pPr>
        <w:autoSpaceDE w:val="0"/>
        <w:autoSpaceDN w:val="0"/>
        <w:adjustRightInd w:val="0"/>
        <w:spacing w:line="360" w:lineRule="auto"/>
        <w:jc w:val="center"/>
        <w:outlineLvl w:val="9"/>
        <w:rPr>
          <w:rFonts w:hint="eastAsia" w:ascii="宋体" w:hAnsi="宋体" w:eastAsia="宋体" w:cs="宋体"/>
          <w:b/>
          <w:bCs/>
          <w:color w:val="auto"/>
          <w:kern w:val="0"/>
          <w:szCs w:val="21"/>
          <w:highlight w:val="none"/>
        </w:rPr>
        <w:sectPr>
          <w:footerReference r:id="rId11" w:type="default"/>
          <w:pgSz w:w="11907" w:h="16840"/>
          <w:pgMar w:top="1191" w:right="1043" w:bottom="1191" w:left="1043" w:header="720" w:footer="720" w:gutter="0"/>
          <w:cols w:space="0" w:num="1"/>
          <w:titlePg/>
          <w:rtlGutter w:val="0"/>
          <w:docGrid w:linePitch="326" w:charSpace="0"/>
        </w:sectPr>
      </w:pPr>
      <w:r>
        <w:rPr>
          <w:rFonts w:hint="eastAsia" w:ascii="宋体" w:hAnsi="宋体" w:eastAsia="宋体" w:cs="宋体"/>
          <w:b/>
          <w:bCs/>
          <w:color w:val="auto"/>
          <w:szCs w:val="24"/>
          <w:highlight w:val="none"/>
          <w:lang w:val="zh-CN"/>
        </w:rPr>
        <w:t>说明：由投标人使用投标人的企业数字证书电子签名。</w:t>
      </w:r>
    </w:p>
    <w:bookmarkEnd w:id="626"/>
    <w:bookmarkEnd w:id="627"/>
    <w:bookmarkEnd w:id="628"/>
    <w:bookmarkEnd w:id="629"/>
    <w:p w14:paraId="7EA62378">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lang w:val="zh-CN"/>
        </w:rPr>
      </w:pPr>
      <w:bookmarkStart w:id="630" w:name="_Toc102860081"/>
      <w:bookmarkStart w:id="631" w:name="_Toc26821"/>
      <w:bookmarkStart w:id="632" w:name="_Toc102860425"/>
      <w:bookmarkStart w:id="633" w:name="_Toc1977736"/>
      <w:bookmarkStart w:id="634" w:name="_Toc486167716"/>
      <w:bookmarkStart w:id="635" w:name="_Toc333"/>
      <w:bookmarkStart w:id="636" w:name="_Toc94107217"/>
      <w:bookmarkStart w:id="637" w:name="_Toc104991883"/>
      <w:bookmarkStart w:id="638" w:name="_Toc140596936"/>
      <w:bookmarkStart w:id="639" w:name="_Toc17995"/>
      <w:bookmarkStart w:id="640" w:name="_Toc142508376"/>
      <w:bookmarkStart w:id="641" w:name="_Toc533708130"/>
      <w:bookmarkStart w:id="642" w:name="_Toc739_WPSOffice_Level2"/>
      <w:r>
        <w:rPr>
          <w:rFonts w:hint="eastAsia" w:ascii="宋体" w:hAnsi="宋体" w:eastAsia="宋体" w:cs="宋体"/>
          <w:b/>
          <w:color w:val="auto"/>
          <w:kern w:val="0"/>
          <w:sz w:val="32"/>
          <w:szCs w:val="32"/>
          <w:highlight w:val="none"/>
          <w:lang w:val="en-US" w:eastAsia="zh-CN"/>
        </w:rPr>
        <w:t>7</w:t>
      </w:r>
      <w:r>
        <w:rPr>
          <w:rFonts w:hint="eastAsia" w:ascii="宋体" w:hAnsi="宋体" w:eastAsia="宋体" w:cs="宋体"/>
          <w:b/>
          <w:color w:val="auto"/>
          <w:kern w:val="0"/>
          <w:sz w:val="32"/>
          <w:szCs w:val="32"/>
          <w:highlight w:val="none"/>
          <w:lang w:val="zh-CN"/>
        </w:rPr>
        <w:t>、合同条款偏离表格式</w:t>
      </w:r>
      <w:bookmarkEnd w:id="630"/>
      <w:bookmarkEnd w:id="631"/>
      <w:bookmarkEnd w:id="632"/>
      <w:bookmarkEnd w:id="633"/>
      <w:bookmarkEnd w:id="634"/>
      <w:bookmarkEnd w:id="635"/>
      <w:bookmarkEnd w:id="636"/>
      <w:bookmarkEnd w:id="637"/>
      <w:bookmarkEnd w:id="638"/>
      <w:bookmarkEnd w:id="639"/>
      <w:bookmarkEnd w:id="640"/>
      <w:bookmarkEnd w:id="641"/>
      <w:bookmarkEnd w:id="642"/>
    </w:p>
    <w:p w14:paraId="4BBFD921">
      <w:pPr>
        <w:autoSpaceDE w:val="0"/>
        <w:autoSpaceDN w:val="0"/>
        <w:adjustRightInd w:val="0"/>
        <w:spacing w:line="360" w:lineRule="auto"/>
        <w:jc w:val="center"/>
        <w:outlineLvl w:val="9"/>
        <w:rPr>
          <w:rFonts w:hint="eastAsia" w:ascii="宋体" w:hAnsi="宋体" w:eastAsia="宋体" w:cs="宋体"/>
          <w:b/>
          <w:bCs/>
          <w:color w:val="auto"/>
          <w:kern w:val="0"/>
          <w:sz w:val="28"/>
          <w:szCs w:val="30"/>
          <w:highlight w:val="none"/>
          <w:lang w:val="zh-CN"/>
        </w:rPr>
      </w:pPr>
      <w:bookmarkStart w:id="643" w:name="_Toc26412_WPSOffice_Level3"/>
      <w:r>
        <w:rPr>
          <w:rFonts w:hint="eastAsia" w:ascii="宋体" w:hAnsi="宋体" w:eastAsia="宋体" w:cs="宋体"/>
          <w:b/>
          <w:bCs/>
          <w:color w:val="auto"/>
          <w:kern w:val="0"/>
          <w:sz w:val="28"/>
          <w:szCs w:val="30"/>
          <w:highlight w:val="none"/>
          <w:lang w:val="zh-CN"/>
        </w:rPr>
        <w:t>东莞市水务环境投资控股集团供水有限公司2026-2027年度清洁保洁、绿化养护、除“四害”及灭蚁防治服务采购项目合同条款偏离表</w:t>
      </w:r>
      <w:bookmarkEnd w:id="643"/>
    </w:p>
    <w:tbl>
      <w:tblPr>
        <w:tblStyle w:val="37"/>
        <w:tblW w:w="4992"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1"/>
        <w:gridCol w:w="1326"/>
        <w:gridCol w:w="4297"/>
        <w:gridCol w:w="1305"/>
        <w:gridCol w:w="1792"/>
      </w:tblGrid>
      <w:tr w14:paraId="2F7651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48" w:hRule="atLeast"/>
        </w:trPr>
        <w:tc>
          <w:tcPr>
            <w:tcW w:w="487" w:type="pct"/>
            <w:vMerge w:val="restart"/>
            <w:vAlign w:val="center"/>
          </w:tcPr>
          <w:p w14:paraId="445BC0B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序号</w:t>
            </w:r>
          </w:p>
        </w:tc>
        <w:tc>
          <w:tcPr>
            <w:tcW w:w="2909" w:type="pct"/>
            <w:gridSpan w:val="2"/>
            <w:vAlign w:val="center"/>
          </w:tcPr>
          <w:p w14:paraId="3AE7586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招标文件要求</w:t>
            </w:r>
          </w:p>
        </w:tc>
        <w:tc>
          <w:tcPr>
            <w:tcW w:w="1602" w:type="pct"/>
            <w:gridSpan w:val="2"/>
            <w:vAlign w:val="center"/>
          </w:tcPr>
          <w:p w14:paraId="72E12F7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投标文件内容</w:t>
            </w:r>
          </w:p>
        </w:tc>
      </w:tr>
      <w:tr w14:paraId="33B06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14" w:hRule="atLeast"/>
        </w:trPr>
        <w:tc>
          <w:tcPr>
            <w:tcW w:w="487" w:type="pct"/>
            <w:vMerge w:val="continue"/>
            <w:vAlign w:val="center"/>
          </w:tcPr>
          <w:p w14:paraId="21F10A0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686" w:type="pct"/>
            <w:vAlign w:val="center"/>
          </w:tcPr>
          <w:p w14:paraId="5EB2DC9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条款号</w:t>
            </w:r>
          </w:p>
        </w:tc>
        <w:tc>
          <w:tcPr>
            <w:tcW w:w="2223" w:type="pct"/>
            <w:vAlign w:val="center"/>
          </w:tcPr>
          <w:p w14:paraId="106C068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简要内容</w:t>
            </w:r>
          </w:p>
        </w:tc>
        <w:tc>
          <w:tcPr>
            <w:tcW w:w="675" w:type="pct"/>
            <w:vAlign w:val="center"/>
          </w:tcPr>
          <w:p w14:paraId="285C07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偏离情况</w:t>
            </w:r>
          </w:p>
        </w:tc>
        <w:tc>
          <w:tcPr>
            <w:tcW w:w="927" w:type="pct"/>
            <w:vAlign w:val="center"/>
          </w:tcPr>
          <w:p w14:paraId="3D31D98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具体偏离内容</w:t>
            </w:r>
          </w:p>
        </w:tc>
      </w:tr>
      <w:tr w14:paraId="0054F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0C71453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w:t>
            </w:r>
          </w:p>
        </w:tc>
        <w:tc>
          <w:tcPr>
            <w:tcW w:w="686" w:type="pct"/>
            <w:shd w:val="clear" w:color="auto" w:fill="auto"/>
            <w:vAlign w:val="center"/>
          </w:tcPr>
          <w:p w14:paraId="65ACC77E">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一</w:t>
            </w:r>
          </w:p>
        </w:tc>
        <w:tc>
          <w:tcPr>
            <w:tcW w:w="2223" w:type="pct"/>
            <w:shd w:val="clear" w:color="auto" w:fill="auto"/>
            <w:vAlign w:val="center"/>
          </w:tcPr>
          <w:p w14:paraId="006FF511">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服务内容</w:t>
            </w:r>
          </w:p>
        </w:tc>
        <w:tc>
          <w:tcPr>
            <w:tcW w:w="675" w:type="pct"/>
            <w:vAlign w:val="center"/>
          </w:tcPr>
          <w:p w14:paraId="6D5A68D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5E2BE0C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A8C2A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0140AE21">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2</w:t>
            </w:r>
          </w:p>
        </w:tc>
        <w:tc>
          <w:tcPr>
            <w:tcW w:w="686" w:type="pct"/>
            <w:shd w:val="clear" w:color="auto" w:fill="auto"/>
            <w:vAlign w:val="center"/>
          </w:tcPr>
          <w:p w14:paraId="7CCCDA30">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二</w:t>
            </w:r>
          </w:p>
        </w:tc>
        <w:tc>
          <w:tcPr>
            <w:tcW w:w="2223" w:type="pct"/>
            <w:shd w:val="clear" w:color="auto" w:fill="auto"/>
            <w:vAlign w:val="center"/>
          </w:tcPr>
          <w:p w14:paraId="70E1CB0C">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服务地点及服务期</w:t>
            </w:r>
          </w:p>
        </w:tc>
        <w:tc>
          <w:tcPr>
            <w:tcW w:w="675" w:type="pct"/>
            <w:vAlign w:val="center"/>
          </w:tcPr>
          <w:p w14:paraId="0131898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48FC0D4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AC2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4099B8C6">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3</w:t>
            </w:r>
          </w:p>
        </w:tc>
        <w:tc>
          <w:tcPr>
            <w:tcW w:w="686" w:type="pct"/>
            <w:shd w:val="clear" w:color="auto" w:fill="auto"/>
            <w:vAlign w:val="center"/>
          </w:tcPr>
          <w:p w14:paraId="4C2E7C60">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三</w:t>
            </w:r>
          </w:p>
        </w:tc>
        <w:tc>
          <w:tcPr>
            <w:tcW w:w="2223" w:type="pct"/>
            <w:shd w:val="clear" w:color="auto" w:fill="auto"/>
            <w:vAlign w:val="center"/>
          </w:tcPr>
          <w:p w14:paraId="2BFC6C5C">
            <w:pPr>
              <w:autoSpaceDE w:val="0"/>
              <w:autoSpaceDN w:val="0"/>
              <w:adjustRightInd w:val="0"/>
              <w:spacing w:line="400" w:lineRule="exact"/>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承包方式</w:t>
            </w:r>
          </w:p>
        </w:tc>
        <w:tc>
          <w:tcPr>
            <w:tcW w:w="675" w:type="pct"/>
            <w:vAlign w:val="center"/>
          </w:tcPr>
          <w:p w14:paraId="52E90EC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433CAD6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F45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762C2A83">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4</w:t>
            </w:r>
          </w:p>
        </w:tc>
        <w:tc>
          <w:tcPr>
            <w:tcW w:w="686" w:type="pct"/>
            <w:shd w:val="clear" w:color="auto" w:fill="auto"/>
            <w:vAlign w:val="center"/>
          </w:tcPr>
          <w:p w14:paraId="1C0E146F">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四</w:t>
            </w:r>
          </w:p>
        </w:tc>
        <w:tc>
          <w:tcPr>
            <w:tcW w:w="2223" w:type="pct"/>
            <w:shd w:val="clear" w:color="auto" w:fill="auto"/>
            <w:vAlign w:val="center"/>
          </w:tcPr>
          <w:p w14:paraId="14C7A5CE">
            <w:pPr>
              <w:autoSpaceDE w:val="0"/>
              <w:autoSpaceDN w:val="0"/>
              <w:adjustRightInd w:val="0"/>
              <w:spacing w:line="400" w:lineRule="exact"/>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lang w:val="en-US" w:eastAsia="zh-CN"/>
              </w:rPr>
              <w:t>工作要求</w:t>
            </w:r>
          </w:p>
        </w:tc>
        <w:tc>
          <w:tcPr>
            <w:tcW w:w="675" w:type="pct"/>
            <w:vAlign w:val="center"/>
          </w:tcPr>
          <w:p w14:paraId="08A29F9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0085A5A3">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F23F7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3BE58DF0">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5</w:t>
            </w:r>
          </w:p>
        </w:tc>
        <w:tc>
          <w:tcPr>
            <w:tcW w:w="686" w:type="pct"/>
            <w:shd w:val="clear" w:color="auto" w:fill="auto"/>
            <w:vAlign w:val="center"/>
          </w:tcPr>
          <w:p w14:paraId="3466D020">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五</w:t>
            </w:r>
          </w:p>
        </w:tc>
        <w:tc>
          <w:tcPr>
            <w:tcW w:w="2223" w:type="pct"/>
            <w:shd w:val="clear" w:color="auto" w:fill="auto"/>
            <w:vAlign w:val="center"/>
          </w:tcPr>
          <w:p w14:paraId="31DBE708">
            <w:pPr>
              <w:autoSpaceDE w:val="0"/>
              <w:autoSpaceDN w:val="0"/>
              <w:adjustRightInd w:val="0"/>
              <w:spacing w:line="400" w:lineRule="exact"/>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lang w:val="en-US" w:eastAsia="zh-CN"/>
              </w:rPr>
              <w:t>人员配置要求</w:t>
            </w:r>
          </w:p>
        </w:tc>
        <w:tc>
          <w:tcPr>
            <w:tcW w:w="675" w:type="pct"/>
            <w:vAlign w:val="center"/>
          </w:tcPr>
          <w:p w14:paraId="1982491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7E3CA73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148A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6ADA8D4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6</w:t>
            </w:r>
          </w:p>
        </w:tc>
        <w:tc>
          <w:tcPr>
            <w:tcW w:w="686" w:type="pct"/>
            <w:shd w:val="clear" w:color="auto" w:fill="auto"/>
            <w:vAlign w:val="center"/>
          </w:tcPr>
          <w:p w14:paraId="1218F1DA">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六</w:t>
            </w:r>
          </w:p>
        </w:tc>
        <w:tc>
          <w:tcPr>
            <w:tcW w:w="2223" w:type="pct"/>
            <w:shd w:val="clear" w:color="auto" w:fill="auto"/>
            <w:vAlign w:val="center"/>
          </w:tcPr>
          <w:p w14:paraId="16BA7279">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其他要求</w:t>
            </w:r>
          </w:p>
        </w:tc>
        <w:tc>
          <w:tcPr>
            <w:tcW w:w="675" w:type="pct"/>
            <w:vAlign w:val="center"/>
          </w:tcPr>
          <w:p w14:paraId="63A7FBA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2C1DFA8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236E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66127205">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7</w:t>
            </w:r>
          </w:p>
        </w:tc>
        <w:tc>
          <w:tcPr>
            <w:tcW w:w="686" w:type="pct"/>
            <w:shd w:val="clear" w:color="auto" w:fill="auto"/>
            <w:vAlign w:val="center"/>
          </w:tcPr>
          <w:p w14:paraId="3B1728BE">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七</w:t>
            </w:r>
          </w:p>
        </w:tc>
        <w:tc>
          <w:tcPr>
            <w:tcW w:w="2223" w:type="pct"/>
            <w:shd w:val="clear" w:color="auto" w:fill="auto"/>
            <w:vAlign w:val="center"/>
          </w:tcPr>
          <w:p w14:paraId="5981867C">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服务金额及付款方式</w:t>
            </w:r>
          </w:p>
        </w:tc>
        <w:tc>
          <w:tcPr>
            <w:tcW w:w="675" w:type="pct"/>
            <w:vAlign w:val="center"/>
          </w:tcPr>
          <w:p w14:paraId="642C317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588483D0">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F351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635310EF">
            <w:pPr>
              <w:autoSpaceDE w:val="0"/>
              <w:autoSpaceDN w:val="0"/>
              <w:adjustRightInd w:val="0"/>
              <w:spacing w:line="400" w:lineRule="exact"/>
              <w:jc w:val="center"/>
              <w:outlineLvl w:val="9"/>
              <w:rPr>
                <w:rFonts w:hint="eastAsia" w:ascii="宋体" w:hAnsi="宋体" w:eastAsia="宋体" w:cs="宋体"/>
                <w:color w:val="auto"/>
                <w:kern w:val="0"/>
                <w:szCs w:val="21"/>
                <w:highlight w:val="none"/>
                <w:lang w:eastAsia="zh-CN"/>
              </w:rPr>
            </w:pPr>
            <w:r>
              <w:rPr>
                <w:rFonts w:hint="eastAsia" w:ascii="宋体" w:hAnsi="宋体" w:eastAsia="宋体" w:cs="宋体"/>
                <w:color w:val="auto"/>
                <w:kern w:val="0"/>
                <w:szCs w:val="21"/>
                <w:highlight w:val="none"/>
                <w:lang w:val="en-US" w:eastAsia="zh-CN"/>
              </w:rPr>
              <w:t>8</w:t>
            </w:r>
          </w:p>
        </w:tc>
        <w:tc>
          <w:tcPr>
            <w:tcW w:w="686" w:type="pct"/>
            <w:shd w:val="clear" w:color="auto" w:fill="auto"/>
            <w:vAlign w:val="center"/>
          </w:tcPr>
          <w:p w14:paraId="21DD3A15">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八</w:t>
            </w:r>
          </w:p>
        </w:tc>
        <w:tc>
          <w:tcPr>
            <w:tcW w:w="2223" w:type="pct"/>
            <w:shd w:val="clear" w:color="auto" w:fill="auto"/>
            <w:vAlign w:val="center"/>
          </w:tcPr>
          <w:p w14:paraId="2FAB7775">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甲方权利和义务</w:t>
            </w:r>
          </w:p>
        </w:tc>
        <w:tc>
          <w:tcPr>
            <w:tcW w:w="675" w:type="pct"/>
            <w:vAlign w:val="center"/>
          </w:tcPr>
          <w:p w14:paraId="299D7B3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6E4A69A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E4445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1FF6F4A4">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9</w:t>
            </w:r>
          </w:p>
        </w:tc>
        <w:tc>
          <w:tcPr>
            <w:tcW w:w="686" w:type="pct"/>
            <w:shd w:val="clear" w:color="auto" w:fill="auto"/>
            <w:vAlign w:val="center"/>
          </w:tcPr>
          <w:p w14:paraId="1A39F285">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九</w:t>
            </w:r>
          </w:p>
        </w:tc>
        <w:tc>
          <w:tcPr>
            <w:tcW w:w="2223" w:type="pct"/>
            <w:shd w:val="clear" w:color="auto" w:fill="auto"/>
            <w:vAlign w:val="center"/>
          </w:tcPr>
          <w:p w14:paraId="123544FA">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乙方权利和义务</w:t>
            </w:r>
          </w:p>
        </w:tc>
        <w:tc>
          <w:tcPr>
            <w:tcW w:w="675" w:type="pct"/>
            <w:vAlign w:val="center"/>
          </w:tcPr>
          <w:p w14:paraId="026EBB0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6BEDFB2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2F1CF4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321B30C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10</w:t>
            </w:r>
          </w:p>
        </w:tc>
        <w:tc>
          <w:tcPr>
            <w:tcW w:w="686" w:type="pct"/>
            <w:shd w:val="clear" w:color="auto" w:fill="auto"/>
            <w:vAlign w:val="center"/>
          </w:tcPr>
          <w:p w14:paraId="0F06F0C1">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十</w:t>
            </w:r>
          </w:p>
        </w:tc>
        <w:tc>
          <w:tcPr>
            <w:tcW w:w="2223" w:type="pct"/>
            <w:shd w:val="clear" w:color="auto" w:fill="auto"/>
            <w:vAlign w:val="center"/>
          </w:tcPr>
          <w:p w14:paraId="490E4FBE">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履约担保</w:t>
            </w:r>
          </w:p>
        </w:tc>
        <w:tc>
          <w:tcPr>
            <w:tcW w:w="675" w:type="pct"/>
            <w:vAlign w:val="center"/>
          </w:tcPr>
          <w:p w14:paraId="0F8D2EC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58A18D6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6543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5327FBE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11</w:t>
            </w:r>
          </w:p>
        </w:tc>
        <w:tc>
          <w:tcPr>
            <w:tcW w:w="686" w:type="pct"/>
            <w:vAlign w:val="center"/>
          </w:tcPr>
          <w:p w14:paraId="19F07249">
            <w:pPr>
              <w:autoSpaceDE w:val="0"/>
              <w:autoSpaceDN w:val="0"/>
              <w:adjustRightInd w:val="0"/>
              <w:spacing w:line="400" w:lineRule="exact"/>
              <w:jc w:val="center"/>
              <w:rPr>
                <w:rFonts w:hint="default" w:ascii="宋体" w:hAnsi="宋体" w:eastAsia="宋体" w:cs="宋体"/>
                <w:color w:val="auto"/>
                <w:kern w:val="0"/>
                <w:szCs w:val="21"/>
                <w:highlight w:val="none"/>
                <w:lang w:val="en-US" w:eastAsia="zh-CN"/>
              </w:rPr>
            </w:pPr>
            <w:r>
              <w:rPr>
                <w:rFonts w:hint="eastAsia" w:ascii="宋体" w:hAnsi="宋体" w:eastAsia="宋体" w:cs="宋体"/>
                <w:kern w:val="0"/>
                <w:szCs w:val="21"/>
                <w:highlight w:val="none"/>
              </w:rPr>
              <w:t>十一</w:t>
            </w:r>
          </w:p>
        </w:tc>
        <w:tc>
          <w:tcPr>
            <w:tcW w:w="2223" w:type="pct"/>
            <w:shd w:val="clear" w:color="auto" w:fill="auto"/>
            <w:vAlign w:val="center"/>
          </w:tcPr>
          <w:p w14:paraId="74E10611">
            <w:pPr>
              <w:autoSpaceDE w:val="0"/>
              <w:autoSpaceDN w:val="0"/>
              <w:adjustRightInd w:val="0"/>
              <w:spacing w:line="400" w:lineRule="exact"/>
              <w:jc w:val="center"/>
              <w:rPr>
                <w:rFonts w:hint="default"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违约责任</w:t>
            </w:r>
          </w:p>
        </w:tc>
        <w:tc>
          <w:tcPr>
            <w:tcW w:w="675" w:type="pct"/>
            <w:vAlign w:val="center"/>
          </w:tcPr>
          <w:p w14:paraId="71157B1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252F2649">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4FA4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6AF645C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12</w:t>
            </w:r>
          </w:p>
        </w:tc>
        <w:tc>
          <w:tcPr>
            <w:tcW w:w="686" w:type="pct"/>
            <w:shd w:val="clear" w:color="auto" w:fill="auto"/>
            <w:vAlign w:val="center"/>
          </w:tcPr>
          <w:p w14:paraId="16DB308E">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kern w:val="0"/>
                <w:szCs w:val="21"/>
                <w:highlight w:val="none"/>
              </w:rPr>
              <w:t>十</w:t>
            </w:r>
            <w:r>
              <w:rPr>
                <w:rFonts w:hint="eastAsia" w:ascii="宋体" w:hAnsi="宋体" w:eastAsia="宋体" w:cs="宋体"/>
                <w:kern w:val="0"/>
                <w:szCs w:val="21"/>
                <w:highlight w:val="none"/>
                <w:lang w:val="en-US" w:eastAsia="zh-CN"/>
              </w:rPr>
              <w:t>二</w:t>
            </w:r>
          </w:p>
        </w:tc>
        <w:tc>
          <w:tcPr>
            <w:tcW w:w="2223" w:type="pct"/>
            <w:shd w:val="clear" w:color="auto" w:fill="auto"/>
            <w:vAlign w:val="center"/>
          </w:tcPr>
          <w:p w14:paraId="5A87F6EF">
            <w:pPr>
              <w:autoSpaceDE w:val="0"/>
              <w:autoSpaceDN w:val="0"/>
              <w:adjustRightInd w:val="0"/>
              <w:spacing w:line="400" w:lineRule="exact"/>
              <w:jc w:val="center"/>
              <w:rPr>
                <w:rFonts w:hint="default" w:ascii="宋体" w:hAnsi="宋体" w:eastAsia="宋体" w:cs="宋体"/>
                <w:color w:val="auto"/>
                <w:kern w:val="0"/>
                <w:sz w:val="21"/>
                <w:szCs w:val="21"/>
                <w:highlight w:val="none"/>
                <w:lang w:val="en-US" w:eastAsia="zh-CN" w:bidi="ar-SA"/>
              </w:rPr>
            </w:pPr>
            <w:r>
              <w:rPr>
                <w:rFonts w:hint="eastAsia" w:ascii="宋体" w:hAnsi="宋体" w:eastAsia="宋体" w:cs="宋体"/>
                <w:color w:val="auto"/>
                <w:kern w:val="0"/>
                <w:sz w:val="21"/>
                <w:szCs w:val="21"/>
                <w:highlight w:val="none"/>
                <w:lang w:val="en-US" w:eastAsia="zh-CN" w:bidi="ar-SA"/>
              </w:rPr>
              <w:t>不可抗力</w:t>
            </w:r>
          </w:p>
        </w:tc>
        <w:tc>
          <w:tcPr>
            <w:tcW w:w="675" w:type="pct"/>
            <w:vAlign w:val="center"/>
          </w:tcPr>
          <w:p w14:paraId="218E7A3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5AD5ED6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896F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11AA6B00">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13</w:t>
            </w:r>
          </w:p>
        </w:tc>
        <w:tc>
          <w:tcPr>
            <w:tcW w:w="686" w:type="pct"/>
            <w:shd w:val="clear" w:color="auto" w:fill="auto"/>
            <w:vAlign w:val="center"/>
          </w:tcPr>
          <w:p w14:paraId="76D88381">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kern w:val="0"/>
                <w:szCs w:val="21"/>
                <w:highlight w:val="none"/>
              </w:rPr>
              <w:t>十</w:t>
            </w:r>
            <w:r>
              <w:rPr>
                <w:rFonts w:hint="eastAsia" w:ascii="宋体" w:hAnsi="宋体" w:eastAsia="宋体" w:cs="宋体"/>
                <w:kern w:val="0"/>
                <w:szCs w:val="21"/>
                <w:highlight w:val="none"/>
                <w:lang w:val="en-US" w:eastAsia="zh-CN"/>
              </w:rPr>
              <w:t>三</w:t>
            </w:r>
          </w:p>
        </w:tc>
        <w:tc>
          <w:tcPr>
            <w:tcW w:w="2223" w:type="pct"/>
            <w:shd w:val="clear" w:color="auto" w:fill="auto"/>
            <w:vAlign w:val="center"/>
          </w:tcPr>
          <w:p w14:paraId="65977D48">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kern w:val="0"/>
                <w:szCs w:val="21"/>
                <w:highlight w:val="none"/>
              </w:rPr>
              <w:t>其他约定</w:t>
            </w:r>
          </w:p>
        </w:tc>
        <w:tc>
          <w:tcPr>
            <w:tcW w:w="675" w:type="pct"/>
            <w:vAlign w:val="center"/>
          </w:tcPr>
          <w:p w14:paraId="32000C0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49E1433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CAF75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2CBFB02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14</w:t>
            </w:r>
          </w:p>
        </w:tc>
        <w:tc>
          <w:tcPr>
            <w:tcW w:w="686" w:type="pct"/>
            <w:shd w:val="clear" w:color="auto" w:fill="auto"/>
            <w:vAlign w:val="center"/>
          </w:tcPr>
          <w:p w14:paraId="3DBF9197">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kern w:val="0"/>
                <w:szCs w:val="21"/>
                <w:highlight w:val="none"/>
              </w:rPr>
              <w:t>十</w:t>
            </w:r>
            <w:r>
              <w:rPr>
                <w:rFonts w:hint="eastAsia" w:ascii="宋体" w:hAnsi="宋体" w:eastAsia="宋体" w:cs="宋体"/>
                <w:kern w:val="0"/>
                <w:szCs w:val="21"/>
                <w:highlight w:val="none"/>
                <w:lang w:val="en-US" w:eastAsia="zh-CN"/>
              </w:rPr>
              <w:t>四</w:t>
            </w:r>
          </w:p>
        </w:tc>
        <w:tc>
          <w:tcPr>
            <w:tcW w:w="2223" w:type="pct"/>
            <w:shd w:val="clear" w:color="auto" w:fill="auto"/>
            <w:vAlign w:val="center"/>
          </w:tcPr>
          <w:p w14:paraId="424C907C">
            <w:pPr>
              <w:autoSpaceDE w:val="0"/>
              <w:autoSpaceDN w:val="0"/>
              <w:adjustRightInd w:val="0"/>
              <w:spacing w:line="400" w:lineRule="exact"/>
              <w:jc w:val="center"/>
              <w:rPr>
                <w:rFonts w:hint="eastAsia" w:ascii="宋体" w:hAnsi="宋体" w:eastAsia="宋体" w:cs="宋体"/>
                <w:color w:val="auto"/>
                <w:kern w:val="0"/>
                <w:sz w:val="21"/>
                <w:szCs w:val="21"/>
                <w:highlight w:val="none"/>
                <w:lang w:val="en-US" w:eastAsia="zh-CN" w:bidi="ar-SA"/>
              </w:rPr>
            </w:pPr>
            <w:r>
              <w:rPr>
                <w:rFonts w:hint="eastAsia" w:ascii="宋体" w:hAnsi="宋体" w:eastAsia="宋体" w:cs="宋体"/>
                <w:kern w:val="0"/>
                <w:szCs w:val="21"/>
                <w:highlight w:val="none"/>
              </w:rPr>
              <w:t>送达地址及送达地址的约定</w:t>
            </w:r>
          </w:p>
        </w:tc>
        <w:tc>
          <w:tcPr>
            <w:tcW w:w="675" w:type="pct"/>
            <w:vAlign w:val="center"/>
          </w:tcPr>
          <w:p w14:paraId="7C38E1F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75192C1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2BD79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06AC47BA">
            <w:pPr>
              <w:autoSpaceDE w:val="0"/>
              <w:autoSpaceDN w:val="0"/>
              <w:adjustRightInd w:val="0"/>
              <w:spacing w:line="400" w:lineRule="exact"/>
              <w:jc w:val="center"/>
              <w:outlineLvl w:val="9"/>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15</w:t>
            </w:r>
          </w:p>
        </w:tc>
        <w:tc>
          <w:tcPr>
            <w:tcW w:w="686" w:type="pct"/>
            <w:shd w:val="clear" w:color="auto" w:fill="auto"/>
            <w:vAlign w:val="center"/>
          </w:tcPr>
          <w:p w14:paraId="1603FF06">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十</w:t>
            </w:r>
            <w:r>
              <w:rPr>
                <w:rFonts w:hint="eastAsia" w:ascii="宋体" w:hAnsi="宋体" w:eastAsia="宋体" w:cs="宋体"/>
                <w:kern w:val="0"/>
                <w:szCs w:val="21"/>
                <w:highlight w:val="none"/>
                <w:lang w:val="en-US" w:eastAsia="zh-CN"/>
              </w:rPr>
              <w:t>五</w:t>
            </w:r>
          </w:p>
        </w:tc>
        <w:tc>
          <w:tcPr>
            <w:tcW w:w="2223" w:type="pct"/>
            <w:shd w:val="clear" w:color="auto" w:fill="auto"/>
            <w:vAlign w:val="center"/>
          </w:tcPr>
          <w:p w14:paraId="6F9D4A17">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争议解决</w:t>
            </w:r>
          </w:p>
        </w:tc>
        <w:tc>
          <w:tcPr>
            <w:tcW w:w="675" w:type="pct"/>
            <w:vAlign w:val="center"/>
          </w:tcPr>
          <w:p w14:paraId="7C7DE5F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3C3EB2D2">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6D33A3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06A48107">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16</w:t>
            </w:r>
          </w:p>
        </w:tc>
        <w:tc>
          <w:tcPr>
            <w:tcW w:w="686" w:type="pct"/>
            <w:shd w:val="clear" w:color="auto" w:fill="auto"/>
            <w:vAlign w:val="center"/>
          </w:tcPr>
          <w:p w14:paraId="58B2E6D2">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十</w:t>
            </w:r>
            <w:r>
              <w:rPr>
                <w:rFonts w:hint="eastAsia" w:ascii="宋体" w:hAnsi="宋体" w:eastAsia="宋体" w:cs="宋体"/>
                <w:kern w:val="0"/>
                <w:szCs w:val="21"/>
                <w:highlight w:val="none"/>
                <w:lang w:val="en-US" w:eastAsia="zh-CN"/>
              </w:rPr>
              <w:t>六</w:t>
            </w:r>
          </w:p>
        </w:tc>
        <w:tc>
          <w:tcPr>
            <w:tcW w:w="2223" w:type="pct"/>
            <w:shd w:val="clear" w:color="auto" w:fill="auto"/>
            <w:vAlign w:val="center"/>
          </w:tcPr>
          <w:p w14:paraId="47C9059B">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补充说明</w:t>
            </w:r>
          </w:p>
        </w:tc>
        <w:tc>
          <w:tcPr>
            <w:tcW w:w="675" w:type="pct"/>
            <w:vAlign w:val="center"/>
          </w:tcPr>
          <w:p w14:paraId="19F69E2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35B36191">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B154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37BE90E8">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17</w:t>
            </w:r>
          </w:p>
        </w:tc>
        <w:tc>
          <w:tcPr>
            <w:tcW w:w="686" w:type="pct"/>
            <w:shd w:val="clear" w:color="auto" w:fill="auto"/>
            <w:vAlign w:val="center"/>
          </w:tcPr>
          <w:p w14:paraId="26BFBE62">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附件二</w:t>
            </w:r>
          </w:p>
        </w:tc>
        <w:tc>
          <w:tcPr>
            <w:tcW w:w="2223" w:type="pct"/>
            <w:shd w:val="clear" w:color="auto" w:fill="auto"/>
            <w:vAlign w:val="center"/>
          </w:tcPr>
          <w:p w14:paraId="28D33438">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lang w:val="en-US" w:eastAsia="zh-CN"/>
              </w:rPr>
              <w:t>《东莞市水务环境投资控股集团供水有限公司清洁保洁、绿化养护、除“四害”及灭蚁防治考核评分标准》及相关表格</w:t>
            </w:r>
          </w:p>
        </w:tc>
        <w:tc>
          <w:tcPr>
            <w:tcW w:w="675" w:type="pct"/>
            <w:vAlign w:val="center"/>
          </w:tcPr>
          <w:p w14:paraId="00FD46F5">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18A0FDC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15C656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0B9C248A">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18</w:t>
            </w:r>
          </w:p>
        </w:tc>
        <w:tc>
          <w:tcPr>
            <w:tcW w:w="686" w:type="pct"/>
            <w:shd w:val="clear" w:color="auto" w:fill="auto"/>
            <w:vAlign w:val="center"/>
          </w:tcPr>
          <w:p w14:paraId="7A12FCF4">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附件三</w:t>
            </w:r>
          </w:p>
        </w:tc>
        <w:tc>
          <w:tcPr>
            <w:tcW w:w="2223" w:type="pct"/>
            <w:shd w:val="clear" w:color="auto" w:fill="auto"/>
            <w:vAlign w:val="center"/>
          </w:tcPr>
          <w:p w14:paraId="264228A7">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ascii="宋体" w:hAnsi="宋体" w:eastAsia="宋体" w:cs="宋体"/>
                <w:kern w:val="0"/>
                <w:szCs w:val="21"/>
                <w:highlight w:val="none"/>
              </w:rPr>
              <w:t>清洁保洁危险作业交底表</w:t>
            </w:r>
          </w:p>
        </w:tc>
        <w:tc>
          <w:tcPr>
            <w:tcW w:w="675" w:type="pct"/>
            <w:vAlign w:val="center"/>
          </w:tcPr>
          <w:p w14:paraId="4336883C">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7760541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38890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1FAE8804">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19</w:t>
            </w:r>
          </w:p>
        </w:tc>
        <w:tc>
          <w:tcPr>
            <w:tcW w:w="686" w:type="pct"/>
            <w:shd w:val="clear" w:color="auto" w:fill="auto"/>
            <w:vAlign w:val="center"/>
          </w:tcPr>
          <w:p w14:paraId="088618AA">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附件四</w:t>
            </w:r>
          </w:p>
        </w:tc>
        <w:tc>
          <w:tcPr>
            <w:tcW w:w="2223" w:type="pct"/>
            <w:shd w:val="clear" w:color="auto" w:fill="auto"/>
            <w:vAlign w:val="center"/>
          </w:tcPr>
          <w:p w14:paraId="74741439">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廉洁协议书</w:t>
            </w:r>
          </w:p>
        </w:tc>
        <w:tc>
          <w:tcPr>
            <w:tcW w:w="675" w:type="pct"/>
            <w:vAlign w:val="center"/>
          </w:tcPr>
          <w:p w14:paraId="6CDFE81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3997F9B6">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0C7FA4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5357FAB0">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20</w:t>
            </w:r>
          </w:p>
        </w:tc>
        <w:tc>
          <w:tcPr>
            <w:tcW w:w="686" w:type="pct"/>
            <w:shd w:val="clear" w:color="auto" w:fill="auto"/>
            <w:vAlign w:val="center"/>
          </w:tcPr>
          <w:p w14:paraId="523BBED9">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附件五</w:t>
            </w:r>
          </w:p>
        </w:tc>
        <w:tc>
          <w:tcPr>
            <w:tcW w:w="2223" w:type="pct"/>
            <w:shd w:val="clear" w:color="auto" w:fill="auto"/>
            <w:vAlign w:val="center"/>
          </w:tcPr>
          <w:p w14:paraId="43814D0F">
            <w:pPr>
              <w:autoSpaceDE w:val="0"/>
              <w:autoSpaceDN w:val="0"/>
              <w:adjustRightInd w:val="0"/>
              <w:spacing w:line="400" w:lineRule="exact"/>
              <w:jc w:val="center"/>
              <w:rPr>
                <w:rFonts w:hint="default" w:ascii="宋体" w:hAnsi="宋体" w:eastAsia="宋体" w:cs="宋体"/>
                <w:kern w:val="0"/>
                <w:szCs w:val="21"/>
                <w:highlight w:val="none"/>
                <w:lang w:val="en-US" w:eastAsia="zh-CN"/>
              </w:rPr>
            </w:pPr>
            <w:r>
              <w:rPr>
                <w:rFonts w:hint="eastAsia" w:ascii="宋体" w:hAnsi="宋体" w:eastAsia="宋体" w:cs="宋体"/>
                <w:kern w:val="0"/>
                <w:szCs w:val="21"/>
                <w:highlight w:val="none"/>
                <w:lang w:val="en-US" w:eastAsia="zh-CN"/>
              </w:rPr>
              <w:t>安全生产管理协议</w:t>
            </w:r>
          </w:p>
        </w:tc>
        <w:tc>
          <w:tcPr>
            <w:tcW w:w="675" w:type="pct"/>
            <w:vAlign w:val="center"/>
          </w:tcPr>
          <w:p w14:paraId="3A695BF7">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3A49A65E">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490A68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46EF2C28">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21</w:t>
            </w:r>
          </w:p>
        </w:tc>
        <w:tc>
          <w:tcPr>
            <w:tcW w:w="686" w:type="pct"/>
            <w:shd w:val="clear" w:color="auto" w:fill="auto"/>
            <w:vAlign w:val="center"/>
          </w:tcPr>
          <w:p w14:paraId="324EADE1">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附件</w:t>
            </w:r>
            <w:r>
              <w:rPr>
                <w:rFonts w:hint="eastAsia" w:ascii="宋体" w:hAnsi="宋体" w:eastAsia="宋体" w:cs="宋体"/>
                <w:kern w:val="0"/>
                <w:szCs w:val="21"/>
                <w:highlight w:val="none"/>
                <w:lang w:val="en-US" w:eastAsia="zh-CN"/>
              </w:rPr>
              <w:t>八</w:t>
            </w:r>
          </w:p>
        </w:tc>
        <w:tc>
          <w:tcPr>
            <w:tcW w:w="2223" w:type="pct"/>
            <w:shd w:val="clear" w:color="auto" w:fill="auto"/>
            <w:vAlign w:val="center"/>
          </w:tcPr>
          <w:p w14:paraId="6FCD1925">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ascii="宋体" w:hAnsi="宋体" w:eastAsia="宋体" w:cs="宋体"/>
                <w:kern w:val="0"/>
                <w:szCs w:val="21"/>
                <w:highlight w:val="none"/>
              </w:rPr>
              <w:t>服务费计价表</w:t>
            </w:r>
          </w:p>
        </w:tc>
        <w:tc>
          <w:tcPr>
            <w:tcW w:w="675" w:type="pct"/>
            <w:vAlign w:val="center"/>
          </w:tcPr>
          <w:p w14:paraId="235395A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0DDDD09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7889BA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1C2E7887">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22</w:t>
            </w:r>
          </w:p>
        </w:tc>
        <w:tc>
          <w:tcPr>
            <w:tcW w:w="686" w:type="pct"/>
            <w:shd w:val="clear" w:color="auto" w:fill="auto"/>
            <w:vAlign w:val="center"/>
          </w:tcPr>
          <w:p w14:paraId="3D74E26D">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一</w:t>
            </w:r>
          </w:p>
        </w:tc>
        <w:tc>
          <w:tcPr>
            <w:tcW w:w="2223" w:type="pct"/>
            <w:shd w:val="clear" w:color="auto" w:fill="auto"/>
            <w:vAlign w:val="center"/>
          </w:tcPr>
          <w:p w14:paraId="0C22AA3C">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szCs w:val="21"/>
                <w:highlight w:val="none"/>
                <w:lang w:bidi="ar"/>
              </w:rPr>
              <w:t>不可撤销银行履约保函</w:t>
            </w:r>
          </w:p>
        </w:tc>
        <w:tc>
          <w:tcPr>
            <w:tcW w:w="675" w:type="pct"/>
            <w:vAlign w:val="center"/>
          </w:tcPr>
          <w:p w14:paraId="2D1186B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691FE5DB">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0391C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2BE5E1E0">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23</w:t>
            </w:r>
          </w:p>
        </w:tc>
        <w:tc>
          <w:tcPr>
            <w:tcW w:w="686" w:type="pct"/>
            <w:shd w:val="clear" w:color="auto" w:fill="auto"/>
            <w:vAlign w:val="center"/>
          </w:tcPr>
          <w:p w14:paraId="05F1A70E">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二</w:t>
            </w:r>
          </w:p>
        </w:tc>
        <w:tc>
          <w:tcPr>
            <w:tcW w:w="2223" w:type="pct"/>
            <w:shd w:val="clear" w:color="auto" w:fill="auto"/>
            <w:vAlign w:val="center"/>
          </w:tcPr>
          <w:p w14:paraId="4774142D">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szCs w:val="21"/>
                <w:highlight w:val="none"/>
                <w:lang w:bidi="ar"/>
              </w:rPr>
              <w:t>履约保证保险凭证</w:t>
            </w:r>
          </w:p>
        </w:tc>
        <w:tc>
          <w:tcPr>
            <w:tcW w:w="675" w:type="pct"/>
            <w:vAlign w:val="center"/>
          </w:tcPr>
          <w:p w14:paraId="02A7B1BA">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381BA2CF">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r w14:paraId="5BD1AF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trPr>
        <w:tc>
          <w:tcPr>
            <w:tcW w:w="487" w:type="pct"/>
            <w:vAlign w:val="center"/>
          </w:tcPr>
          <w:p w14:paraId="54DA9DF4">
            <w:pPr>
              <w:autoSpaceDE w:val="0"/>
              <w:autoSpaceDN w:val="0"/>
              <w:adjustRightInd w:val="0"/>
              <w:spacing w:line="400" w:lineRule="exact"/>
              <w:jc w:val="center"/>
              <w:outlineLvl w:val="9"/>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24</w:t>
            </w:r>
          </w:p>
        </w:tc>
        <w:tc>
          <w:tcPr>
            <w:tcW w:w="686" w:type="pct"/>
            <w:shd w:val="clear" w:color="auto" w:fill="auto"/>
            <w:vAlign w:val="center"/>
          </w:tcPr>
          <w:p w14:paraId="4DC9CA1D">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kern w:val="0"/>
                <w:szCs w:val="21"/>
                <w:highlight w:val="none"/>
              </w:rPr>
              <w:t>三</w:t>
            </w:r>
          </w:p>
        </w:tc>
        <w:tc>
          <w:tcPr>
            <w:tcW w:w="2223" w:type="pct"/>
            <w:shd w:val="clear" w:color="auto" w:fill="auto"/>
            <w:vAlign w:val="center"/>
          </w:tcPr>
          <w:p w14:paraId="0DA65434">
            <w:pPr>
              <w:autoSpaceDE w:val="0"/>
              <w:autoSpaceDN w:val="0"/>
              <w:adjustRightInd w:val="0"/>
              <w:spacing w:line="400" w:lineRule="exact"/>
              <w:jc w:val="center"/>
              <w:rPr>
                <w:rFonts w:hint="eastAsia" w:ascii="宋体" w:hAnsi="宋体" w:eastAsia="宋体" w:cs="宋体"/>
                <w:color w:val="auto"/>
                <w:kern w:val="0"/>
                <w:sz w:val="31"/>
                <w:szCs w:val="21"/>
                <w:highlight w:val="none"/>
                <w:lang w:val="en-US" w:eastAsia="zh-CN" w:bidi="ar-SA"/>
              </w:rPr>
            </w:pPr>
            <w:r>
              <w:rPr>
                <w:rFonts w:hint="eastAsia" w:ascii="宋体" w:hAnsi="宋体" w:eastAsia="宋体" w:cs="宋体"/>
                <w:szCs w:val="21"/>
                <w:highlight w:val="none"/>
                <w:lang w:bidi="ar"/>
              </w:rPr>
              <w:t>担保公司履约担保书</w:t>
            </w:r>
          </w:p>
        </w:tc>
        <w:tc>
          <w:tcPr>
            <w:tcW w:w="675" w:type="pct"/>
            <w:vAlign w:val="center"/>
          </w:tcPr>
          <w:p w14:paraId="2026CBC4">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c>
          <w:tcPr>
            <w:tcW w:w="927" w:type="pct"/>
            <w:vAlign w:val="center"/>
          </w:tcPr>
          <w:p w14:paraId="13C2C39D">
            <w:pPr>
              <w:autoSpaceDE w:val="0"/>
              <w:autoSpaceDN w:val="0"/>
              <w:adjustRightInd w:val="0"/>
              <w:spacing w:line="400" w:lineRule="exact"/>
              <w:jc w:val="center"/>
              <w:outlineLvl w:val="9"/>
              <w:rPr>
                <w:rFonts w:hint="eastAsia" w:ascii="宋体" w:hAnsi="宋体" w:eastAsia="宋体" w:cs="宋体"/>
                <w:color w:val="auto"/>
                <w:kern w:val="0"/>
                <w:szCs w:val="21"/>
                <w:highlight w:val="none"/>
              </w:rPr>
            </w:pPr>
          </w:p>
        </w:tc>
      </w:tr>
    </w:tbl>
    <w:p w14:paraId="544F0201">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351CE5A0">
      <w:pPr>
        <w:autoSpaceDE w:val="0"/>
        <w:autoSpaceDN w:val="0"/>
        <w:adjustRightInd w:val="0"/>
        <w:snapToGrid w:val="0"/>
        <w:spacing w:line="360" w:lineRule="auto"/>
        <w:ind w:left="166" w:leftChars="-101" w:hanging="378" w:hangingChars="18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6AAA400D">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（1）</w:t>
      </w:r>
      <w:r>
        <w:rPr>
          <w:rFonts w:hint="eastAsia" w:ascii="宋体" w:hAnsi="宋体" w:eastAsia="宋体" w:cs="宋体"/>
          <w:b/>
          <w:color w:val="auto"/>
          <w:kern w:val="0"/>
          <w:szCs w:val="21"/>
          <w:highlight w:val="none"/>
          <w:u w:val="single"/>
        </w:rPr>
        <w:t>投标人应对照招标文件合同格式内合同条款及附件，逐条、如实地填写“偏离情况”项。“偏离情况”项为正偏离（或负偏离）的，必须在“具体偏离内容”项内详细说明与招标文件的偏离内容，“偏离情况”项为无偏离的，在“具体偏离内容”项内填“无”。若发现虚假填写本表，或对合同及其附件响应有负偏离的，按无效投标文件处理。若发现此表未逐条填写视为完全满足招标文件要求</w:t>
      </w:r>
      <w:r>
        <w:rPr>
          <w:rFonts w:hint="eastAsia" w:ascii="宋体" w:hAnsi="宋体" w:eastAsia="宋体" w:cs="宋体"/>
          <w:b/>
          <w:color w:val="auto"/>
          <w:kern w:val="0"/>
          <w:szCs w:val="21"/>
          <w:highlight w:val="none"/>
        </w:rPr>
        <w:t>。</w:t>
      </w:r>
    </w:p>
    <w:p w14:paraId="73436599">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（2）偏离情况（投标文件对招标文件合同条款的响应程度）分为：正偏离、负偏离、无偏离。正偏离是指投标人提供的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商务条件优于招标文件的要求；负偏离是指投标人提供的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商务条件不满足或不完全满足招标文件的要求；无偏离是指投标人提供的</w:t>
      </w:r>
      <w:r>
        <w:rPr>
          <w:rFonts w:hint="eastAsia" w:ascii="宋体" w:hAnsi="宋体" w:eastAsia="宋体" w:cs="宋体"/>
          <w:color w:val="auto"/>
          <w:szCs w:val="21"/>
          <w:highlight w:val="none"/>
          <w:lang w:val="en-US" w:eastAsia="zh-CN"/>
        </w:rPr>
        <w:t>相关服务</w:t>
      </w:r>
      <w:r>
        <w:rPr>
          <w:rFonts w:hint="eastAsia" w:ascii="宋体" w:hAnsi="宋体" w:eastAsia="宋体" w:cs="宋体"/>
          <w:color w:val="auto"/>
          <w:szCs w:val="21"/>
          <w:highlight w:val="none"/>
        </w:rPr>
        <w:t>商务条件完全满足招标文件的要求。</w:t>
      </w:r>
    </w:p>
    <w:p w14:paraId="01648AD5">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（3）招标文件“第五篇 相关保函格式”作为重要的商务条款，投标人的响应情况列入本合同条款偏离表。</w:t>
      </w:r>
    </w:p>
    <w:p w14:paraId="0B2EDC34">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（4）如投标人差异内容较多可另附页说明，并在本偏离表“具体偏离内容”项注明其在投标文件中的具体页码。</w:t>
      </w:r>
    </w:p>
    <w:p w14:paraId="4FE636DB">
      <w:pPr>
        <w:spacing w:line="360" w:lineRule="auto"/>
        <w:ind w:left="357" w:leftChars="-100" w:hanging="567" w:hangingChars="270"/>
        <w:outlineLvl w:val="9"/>
        <w:rPr>
          <w:rFonts w:hint="eastAsia" w:ascii="宋体" w:hAnsi="宋体" w:eastAsia="宋体" w:cs="宋体"/>
          <w:color w:val="auto"/>
          <w:szCs w:val="21"/>
          <w:highlight w:val="none"/>
        </w:rPr>
      </w:pPr>
    </w:p>
    <w:p w14:paraId="12E18C54">
      <w:pPr>
        <w:spacing w:line="360" w:lineRule="auto"/>
        <w:ind w:left="357" w:leftChars="-100" w:hanging="567" w:hangingChars="270"/>
        <w:outlineLvl w:val="9"/>
        <w:rPr>
          <w:rFonts w:hint="eastAsia" w:ascii="宋体" w:hAnsi="宋体" w:eastAsia="宋体" w:cs="宋体"/>
          <w:color w:val="auto"/>
          <w:szCs w:val="21"/>
          <w:highlight w:val="none"/>
        </w:rPr>
      </w:pPr>
    </w:p>
    <w:p w14:paraId="4E905423">
      <w:pPr>
        <w:spacing w:line="360" w:lineRule="auto"/>
        <w:ind w:left="357" w:leftChars="-100" w:hanging="567" w:hangingChars="270"/>
        <w:outlineLvl w:val="9"/>
        <w:rPr>
          <w:rFonts w:hint="eastAsia" w:ascii="宋体" w:hAnsi="宋体" w:eastAsia="宋体" w:cs="宋体"/>
          <w:color w:val="auto"/>
          <w:szCs w:val="21"/>
          <w:highlight w:val="none"/>
        </w:rPr>
      </w:pPr>
    </w:p>
    <w:p w14:paraId="29C8F856">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54671C1">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57D7563">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7B4F1FFE">
      <w:pPr>
        <w:autoSpaceDE w:val="0"/>
        <w:autoSpaceDN w:val="0"/>
        <w:adjustRightInd w:val="0"/>
        <w:spacing w:line="360" w:lineRule="auto"/>
        <w:jc w:val="center"/>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53B5BF53">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2"/>
          <w:szCs w:val="32"/>
          <w:highlight w:val="none"/>
        </w:rPr>
      </w:pPr>
      <w:r>
        <w:rPr>
          <w:rFonts w:hint="eastAsia" w:ascii="宋体" w:hAnsi="宋体" w:eastAsia="宋体" w:cs="宋体"/>
          <w:b/>
          <w:bCs/>
          <w:color w:val="auto"/>
          <w:kern w:val="0"/>
          <w:sz w:val="30"/>
          <w:szCs w:val="30"/>
          <w:highlight w:val="none"/>
          <w:lang w:val="zh-CN"/>
        </w:rPr>
        <w:br w:type="page"/>
      </w:r>
      <w:bookmarkStart w:id="644" w:name="_Toc5473"/>
      <w:bookmarkStart w:id="645" w:name="_Toc102860426"/>
      <w:bookmarkStart w:id="646" w:name="_Toc94107218"/>
      <w:bookmarkStart w:id="647" w:name="_Toc140596937"/>
      <w:bookmarkStart w:id="648" w:name="_Toc29505"/>
      <w:bookmarkStart w:id="649" w:name="_Toc142508377"/>
      <w:bookmarkStart w:id="650" w:name="_Toc13179"/>
      <w:bookmarkStart w:id="651" w:name="_Toc104991884"/>
      <w:bookmarkStart w:id="652" w:name="_Toc102860082"/>
      <w:bookmarkStart w:id="653" w:name="_Toc486167717"/>
      <w:bookmarkStart w:id="654" w:name="_Toc27980_WPSOffice_Level2"/>
      <w:r>
        <w:rPr>
          <w:rFonts w:hint="eastAsia" w:ascii="宋体" w:hAnsi="宋体" w:eastAsia="宋体" w:cs="宋体"/>
          <w:b/>
          <w:color w:val="auto"/>
          <w:kern w:val="0"/>
          <w:sz w:val="32"/>
          <w:szCs w:val="32"/>
          <w:highlight w:val="none"/>
          <w:lang w:val="en-US" w:eastAsia="zh-CN"/>
        </w:rPr>
        <w:t>8、</w:t>
      </w:r>
      <w:r>
        <w:rPr>
          <w:rFonts w:hint="eastAsia" w:ascii="宋体" w:hAnsi="宋体" w:eastAsia="宋体" w:cs="宋体"/>
          <w:b/>
          <w:color w:val="auto"/>
          <w:kern w:val="0"/>
          <w:sz w:val="32"/>
          <w:szCs w:val="32"/>
          <w:highlight w:val="none"/>
        </w:rPr>
        <w:t>业绩表格式</w:t>
      </w:r>
      <w:bookmarkEnd w:id="644"/>
      <w:bookmarkEnd w:id="645"/>
      <w:bookmarkEnd w:id="646"/>
      <w:bookmarkEnd w:id="647"/>
      <w:bookmarkEnd w:id="648"/>
      <w:bookmarkEnd w:id="649"/>
      <w:bookmarkEnd w:id="650"/>
      <w:bookmarkEnd w:id="651"/>
      <w:bookmarkEnd w:id="652"/>
    </w:p>
    <w:p w14:paraId="51CCF834">
      <w:pPr>
        <w:autoSpaceDE w:val="0"/>
        <w:autoSpaceDN w:val="0"/>
        <w:adjustRightInd w:val="0"/>
        <w:spacing w:line="360" w:lineRule="auto"/>
        <w:jc w:val="center"/>
        <w:outlineLvl w:val="9"/>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投标人202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lang w:val="zh-CN"/>
        </w:rPr>
        <w:t>年1月1日至今（合同签订时间为202</w:t>
      </w:r>
      <w:r>
        <w:rPr>
          <w:rFonts w:hint="eastAsia" w:ascii="宋体" w:hAnsi="宋体" w:eastAsia="宋体" w:cs="宋体"/>
          <w:b/>
          <w:bCs/>
          <w:color w:val="auto"/>
          <w:sz w:val="30"/>
          <w:szCs w:val="30"/>
          <w:highlight w:val="none"/>
          <w:lang w:val="en-US" w:eastAsia="zh-CN"/>
        </w:rPr>
        <w:t>3</w:t>
      </w:r>
      <w:r>
        <w:rPr>
          <w:rFonts w:hint="eastAsia" w:ascii="宋体" w:hAnsi="宋体" w:eastAsia="宋体" w:cs="宋体"/>
          <w:b/>
          <w:bCs/>
          <w:color w:val="auto"/>
          <w:sz w:val="30"/>
          <w:szCs w:val="30"/>
          <w:highlight w:val="none"/>
          <w:lang w:val="zh-CN"/>
        </w:rPr>
        <w:t>年1月1日或以后）承接过清洁保洁服务或绿化养护服务项目业绩表</w:t>
      </w:r>
    </w:p>
    <w:tbl>
      <w:tblPr>
        <w:tblStyle w:val="3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30" w:type="dxa"/>
          <w:bottom w:w="0" w:type="dxa"/>
          <w:right w:w="30" w:type="dxa"/>
        </w:tblCellMar>
      </w:tblPr>
      <w:tblGrid>
        <w:gridCol w:w="613"/>
        <w:gridCol w:w="889"/>
        <w:gridCol w:w="891"/>
        <w:gridCol w:w="891"/>
        <w:gridCol w:w="891"/>
        <w:gridCol w:w="1038"/>
        <w:gridCol w:w="891"/>
        <w:gridCol w:w="891"/>
        <w:gridCol w:w="891"/>
        <w:gridCol w:w="891"/>
        <w:gridCol w:w="733"/>
      </w:tblGrid>
      <w:tr w14:paraId="03F319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1627" w:hRule="exact"/>
          <w:jc w:val="center"/>
        </w:trPr>
        <w:tc>
          <w:tcPr>
            <w:tcW w:w="613" w:type="dxa"/>
            <w:noWrap w:val="0"/>
            <w:vAlign w:val="center"/>
          </w:tcPr>
          <w:p w14:paraId="53127E07">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序号</w:t>
            </w:r>
          </w:p>
        </w:tc>
        <w:tc>
          <w:tcPr>
            <w:tcW w:w="889" w:type="dxa"/>
            <w:noWrap w:val="0"/>
            <w:vAlign w:val="center"/>
          </w:tcPr>
          <w:p w14:paraId="59C9096E">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项目名称</w:t>
            </w:r>
          </w:p>
        </w:tc>
        <w:tc>
          <w:tcPr>
            <w:tcW w:w="891" w:type="dxa"/>
            <w:noWrap w:val="0"/>
            <w:vAlign w:val="center"/>
          </w:tcPr>
          <w:p w14:paraId="07DF2E96">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lang w:val="zh-CN"/>
              </w:rPr>
              <w:t>项目规模</w:t>
            </w:r>
          </w:p>
        </w:tc>
        <w:tc>
          <w:tcPr>
            <w:tcW w:w="891" w:type="dxa"/>
            <w:noWrap w:val="0"/>
            <w:vAlign w:val="center"/>
          </w:tcPr>
          <w:p w14:paraId="7A72F5C8">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合同金额（万元）</w:t>
            </w:r>
          </w:p>
        </w:tc>
        <w:tc>
          <w:tcPr>
            <w:tcW w:w="891" w:type="dxa"/>
            <w:noWrap w:val="0"/>
            <w:vAlign w:val="center"/>
          </w:tcPr>
          <w:p w14:paraId="0649F340">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合同主要服务内容</w:t>
            </w:r>
          </w:p>
        </w:tc>
        <w:tc>
          <w:tcPr>
            <w:tcW w:w="1038" w:type="dxa"/>
            <w:noWrap w:val="0"/>
            <w:vAlign w:val="center"/>
          </w:tcPr>
          <w:p w14:paraId="7CE0C6EB">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合同期限</w:t>
            </w:r>
          </w:p>
        </w:tc>
        <w:tc>
          <w:tcPr>
            <w:tcW w:w="891" w:type="dxa"/>
            <w:noWrap w:val="0"/>
            <w:vAlign w:val="center"/>
          </w:tcPr>
          <w:p w14:paraId="076BA2F8">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签约日期</w:t>
            </w:r>
          </w:p>
        </w:tc>
        <w:tc>
          <w:tcPr>
            <w:tcW w:w="891" w:type="dxa"/>
            <w:noWrap w:val="0"/>
            <w:vAlign w:val="center"/>
          </w:tcPr>
          <w:p w14:paraId="3D557620">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服务完成情况</w:t>
            </w:r>
          </w:p>
        </w:tc>
        <w:tc>
          <w:tcPr>
            <w:tcW w:w="891" w:type="dxa"/>
            <w:noWrap w:val="0"/>
            <w:vAlign w:val="center"/>
          </w:tcPr>
          <w:p w14:paraId="058E8847">
            <w:pPr>
              <w:jc w:val="center"/>
              <w:rPr>
                <w:rFonts w:hint="eastAsia" w:ascii="宋体" w:hAnsi="宋体" w:eastAsia="宋体" w:cs="宋体"/>
                <w:color w:val="auto"/>
                <w:sz w:val="21"/>
                <w:szCs w:val="21"/>
                <w:highlight w:val="none"/>
                <w:lang w:val="en-US" w:eastAsia="zh-CN"/>
              </w:rPr>
            </w:pPr>
            <w:r>
              <w:rPr>
                <w:rFonts w:hint="eastAsia" w:ascii="宋体" w:hAnsi="宋体" w:eastAsia="宋体" w:cs="宋体"/>
                <w:szCs w:val="21"/>
                <w:highlight w:val="none"/>
              </w:rPr>
              <w:t>服务质量情况</w:t>
            </w:r>
          </w:p>
        </w:tc>
        <w:tc>
          <w:tcPr>
            <w:tcW w:w="891" w:type="dxa"/>
            <w:noWrap w:val="0"/>
            <w:vAlign w:val="center"/>
          </w:tcPr>
          <w:p w14:paraId="37CA673F">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业主联系人及电话</w:t>
            </w:r>
          </w:p>
        </w:tc>
        <w:tc>
          <w:tcPr>
            <w:tcW w:w="733" w:type="dxa"/>
            <w:noWrap w:val="0"/>
            <w:vAlign w:val="center"/>
          </w:tcPr>
          <w:p w14:paraId="09BA88BB">
            <w:pPr>
              <w:jc w:val="center"/>
              <w:rPr>
                <w:rFonts w:hint="eastAsia" w:ascii="宋体" w:hAnsi="宋体" w:eastAsia="宋体" w:cs="宋体"/>
                <w:color w:val="auto"/>
                <w:sz w:val="21"/>
                <w:szCs w:val="21"/>
                <w:highlight w:val="none"/>
              </w:rPr>
            </w:pPr>
            <w:r>
              <w:rPr>
                <w:rFonts w:hint="eastAsia" w:ascii="宋体" w:hAnsi="宋体" w:eastAsia="宋体" w:cs="宋体"/>
                <w:szCs w:val="21"/>
                <w:highlight w:val="none"/>
              </w:rPr>
              <w:t>备注</w:t>
            </w:r>
          </w:p>
        </w:tc>
      </w:tr>
      <w:tr w14:paraId="1FAC33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noWrap w:val="0"/>
            <w:vAlign w:val="center"/>
          </w:tcPr>
          <w:p w14:paraId="16E40E36">
            <w:pPr>
              <w:jc w:val="center"/>
              <w:outlineLvl w:val="9"/>
              <w:rPr>
                <w:rFonts w:hint="eastAsia" w:ascii="宋体" w:hAnsi="宋体" w:eastAsia="宋体" w:cs="宋体"/>
                <w:color w:val="auto"/>
                <w:sz w:val="21"/>
                <w:szCs w:val="21"/>
                <w:highlight w:val="none"/>
              </w:rPr>
            </w:pPr>
          </w:p>
        </w:tc>
        <w:tc>
          <w:tcPr>
            <w:tcW w:w="467" w:type="pct"/>
            <w:noWrap w:val="0"/>
            <w:vAlign w:val="center"/>
          </w:tcPr>
          <w:p w14:paraId="0EEEA381">
            <w:pPr>
              <w:jc w:val="center"/>
              <w:outlineLvl w:val="9"/>
              <w:rPr>
                <w:rFonts w:hint="eastAsia" w:ascii="宋体" w:hAnsi="宋体" w:eastAsia="宋体" w:cs="宋体"/>
                <w:color w:val="auto"/>
                <w:sz w:val="21"/>
                <w:szCs w:val="21"/>
                <w:highlight w:val="none"/>
              </w:rPr>
            </w:pPr>
          </w:p>
        </w:tc>
        <w:tc>
          <w:tcPr>
            <w:tcW w:w="468" w:type="pct"/>
            <w:noWrap w:val="0"/>
            <w:vAlign w:val="center"/>
          </w:tcPr>
          <w:p w14:paraId="7024298C">
            <w:pPr>
              <w:jc w:val="center"/>
              <w:outlineLvl w:val="9"/>
              <w:rPr>
                <w:rFonts w:hint="eastAsia" w:ascii="宋体" w:hAnsi="宋体" w:eastAsia="宋体" w:cs="宋体"/>
                <w:color w:val="auto"/>
                <w:sz w:val="21"/>
                <w:szCs w:val="21"/>
                <w:highlight w:val="none"/>
              </w:rPr>
            </w:pPr>
          </w:p>
        </w:tc>
        <w:tc>
          <w:tcPr>
            <w:tcW w:w="468" w:type="pct"/>
            <w:noWrap w:val="0"/>
            <w:vAlign w:val="center"/>
          </w:tcPr>
          <w:p w14:paraId="66304265">
            <w:pPr>
              <w:jc w:val="center"/>
              <w:outlineLvl w:val="9"/>
              <w:rPr>
                <w:rFonts w:hint="eastAsia" w:ascii="宋体" w:hAnsi="宋体" w:eastAsia="宋体" w:cs="宋体"/>
                <w:color w:val="auto"/>
                <w:sz w:val="21"/>
                <w:szCs w:val="21"/>
                <w:highlight w:val="none"/>
              </w:rPr>
            </w:pPr>
          </w:p>
        </w:tc>
        <w:tc>
          <w:tcPr>
            <w:tcW w:w="468" w:type="pct"/>
            <w:noWrap w:val="0"/>
            <w:vAlign w:val="center"/>
          </w:tcPr>
          <w:p w14:paraId="261498E1">
            <w:pPr>
              <w:jc w:val="center"/>
              <w:outlineLvl w:val="9"/>
              <w:rPr>
                <w:rFonts w:hint="eastAsia" w:ascii="宋体" w:hAnsi="宋体" w:eastAsia="宋体" w:cs="宋体"/>
                <w:color w:val="auto"/>
                <w:sz w:val="21"/>
                <w:szCs w:val="21"/>
                <w:highlight w:val="none"/>
              </w:rPr>
            </w:pPr>
          </w:p>
        </w:tc>
        <w:tc>
          <w:tcPr>
            <w:tcW w:w="545" w:type="pct"/>
            <w:noWrap w:val="0"/>
            <w:vAlign w:val="center"/>
          </w:tcPr>
          <w:p w14:paraId="7187C892">
            <w:pPr>
              <w:jc w:val="center"/>
              <w:outlineLvl w:val="9"/>
              <w:rPr>
                <w:rFonts w:hint="eastAsia" w:ascii="宋体" w:hAnsi="宋体" w:eastAsia="宋体" w:cs="宋体"/>
                <w:color w:val="auto"/>
                <w:sz w:val="21"/>
                <w:szCs w:val="21"/>
                <w:highlight w:val="none"/>
              </w:rPr>
            </w:pPr>
          </w:p>
        </w:tc>
        <w:tc>
          <w:tcPr>
            <w:tcW w:w="468" w:type="pct"/>
            <w:noWrap w:val="0"/>
            <w:vAlign w:val="top"/>
          </w:tcPr>
          <w:p w14:paraId="35E6C729">
            <w:pPr>
              <w:jc w:val="center"/>
              <w:outlineLvl w:val="9"/>
              <w:rPr>
                <w:rFonts w:hint="eastAsia" w:ascii="宋体" w:hAnsi="宋体" w:eastAsia="宋体" w:cs="宋体"/>
                <w:color w:val="auto"/>
                <w:sz w:val="21"/>
                <w:szCs w:val="21"/>
                <w:highlight w:val="none"/>
              </w:rPr>
            </w:pPr>
          </w:p>
        </w:tc>
        <w:tc>
          <w:tcPr>
            <w:tcW w:w="468" w:type="pct"/>
            <w:noWrap w:val="0"/>
            <w:vAlign w:val="center"/>
          </w:tcPr>
          <w:p w14:paraId="6CFEB4C7">
            <w:pPr>
              <w:jc w:val="center"/>
              <w:outlineLvl w:val="9"/>
              <w:rPr>
                <w:rFonts w:hint="eastAsia" w:ascii="宋体" w:hAnsi="宋体" w:eastAsia="宋体" w:cs="宋体"/>
                <w:color w:val="auto"/>
                <w:sz w:val="21"/>
                <w:szCs w:val="21"/>
                <w:highlight w:val="none"/>
              </w:rPr>
            </w:pPr>
          </w:p>
        </w:tc>
        <w:tc>
          <w:tcPr>
            <w:tcW w:w="468" w:type="pct"/>
            <w:noWrap w:val="0"/>
            <w:vAlign w:val="center"/>
          </w:tcPr>
          <w:p w14:paraId="5C7DBE87">
            <w:pPr>
              <w:jc w:val="center"/>
              <w:outlineLvl w:val="9"/>
              <w:rPr>
                <w:rFonts w:hint="eastAsia" w:ascii="宋体" w:hAnsi="宋体" w:eastAsia="宋体" w:cs="宋体"/>
                <w:color w:val="auto"/>
                <w:sz w:val="21"/>
                <w:szCs w:val="21"/>
                <w:highlight w:val="none"/>
              </w:rPr>
            </w:pPr>
          </w:p>
        </w:tc>
        <w:tc>
          <w:tcPr>
            <w:tcW w:w="468" w:type="pct"/>
            <w:noWrap w:val="0"/>
            <w:vAlign w:val="center"/>
          </w:tcPr>
          <w:p w14:paraId="496B08B8">
            <w:pPr>
              <w:jc w:val="center"/>
              <w:outlineLvl w:val="9"/>
              <w:rPr>
                <w:rFonts w:hint="eastAsia" w:ascii="宋体" w:hAnsi="宋体" w:eastAsia="宋体" w:cs="宋体"/>
                <w:color w:val="auto"/>
                <w:sz w:val="21"/>
                <w:szCs w:val="21"/>
                <w:highlight w:val="none"/>
              </w:rPr>
            </w:pPr>
          </w:p>
        </w:tc>
        <w:tc>
          <w:tcPr>
            <w:tcW w:w="385" w:type="pct"/>
            <w:noWrap w:val="0"/>
            <w:vAlign w:val="center"/>
          </w:tcPr>
          <w:p w14:paraId="10C3C59D">
            <w:pPr>
              <w:jc w:val="center"/>
              <w:outlineLvl w:val="9"/>
              <w:rPr>
                <w:rFonts w:hint="eastAsia" w:ascii="宋体" w:hAnsi="宋体" w:eastAsia="宋体" w:cs="宋体"/>
                <w:color w:val="auto"/>
                <w:sz w:val="21"/>
                <w:szCs w:val="21"/>
                <w:highlight w:val="none"/>
              </w:rPr>
            </w:pPr>
          </w:p>
        </w:tc>
      </w:tr>
      <w:tr w14:paraId="31D0C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noWrap w:val="0"/>
            <w:vAlign w:val="center"/>
          </w:tcPr>
          <w:p w14:paraId="16A376DF">
            <w:pPr>
              <w:jc w:val="center"/>
              <w:outlineLvl w:val="9"/>
              <w:rPr>
                <w:rFonts w:hint="eastAsia" w:ascii="宋体" w:hAnsi="宋体" w:eastAsia="宋体" w:cs="宋体"/>
                <w:color w:val="auto"/>
                <w:sz w:val="21"/>
                <w:szCs w:val="21"/>
                <w:highlight w:val="none"/>
              </w:rPr>
            </w:pPr>
          </w:p>
        </w:tc>
        <w:tc>
          <w:tcPr>
            <w:tcW w:w="467" w:type="pct"/>
            <w:noWrap w:val="0"/>
            <w:vAlign w:val="center"/>
          </w:tcPr>
          <w:p w14:paraId="125C958B">
            <w:pPr>
              <w:jc w:val="center"/>
              <w:outlineLvl w:val="9"/>
              <w:rPr>
                <w:rFonts w:hint="eastAsia" w:ascii="宋体" w:hAnsi="宋体" w:eastAsia="宋体" w:cs="宋体"/>
                <w:color w:val="auto"/>
                <w:sz w:val="21"/>
                <w:szCs w:val="21"/>
                <w:highlight w:val="none"/>
              </w:rPr>
            </w:pPr>
          </w:p>
        </w:tc>
        <w:tc>
          <w:tcPr>
            <w:tcW w:w="468" w:type="pct"/>
            <w:noWrap w:val="0"/>
            <w:vAlign w:val="center"/>
          </w:tcPr>
          <w:p w14:paraId="283DFFF7">
            <w:pPr>
              <w:jc w:val="center"/>
              <w:outlineLvl w:val="9"/>
              <w:rPr>
                <w:rFonts w:hint="eastAsia" w:ascii="宋体" w:hAnsi="宋体" w:eastAsia="宋体" w:cs="宋体"/>
                <w:color w:val="auto"/>
                <w:sz w:val="21"/>
                <w:szCs w:val="21"/>
                <w:highlight w:val="none"/>
              </w:rPr>
            </w:pPr>
          </w:p>
        </w:tc>
        <w:tc>
          <w:tcPr>
            <w:tcW w:w="468" w:type="pct"/>
            <w:noWrap w:val="0"/>
            <w:vAlign w:val="center"/>
          </w:tcPr>
          <w:p w14:paraId="301EE4CF">
            <w:pPr>
              <w:jc w:val="center"/>
              <w:outlineLvl w:val="9"/>
              <w:rPr>
                <w:rFonts w:hint="eastAsia" w:ascii="宋体" w:hAnsi="宋体" w:eastAsia="宋体" w:cs="宋体"/>
                <w:color w:val="auto"/>
                <w:sz w:val="21"/>
                <w:szCs w:val="21"/>
                <w:highlight w:val="none"/>
              </w:rPr>
            </w:pPr>
          </w:p>
        </w:tc>
        <w:tc>
          <w:tcPr>
            <w:tcW w:w="468" w:type="pct"/>
            <w:noWrap w:val="0"/>
            <w:vAlign w:val="center"/>
          </w:tcPr>
          <w:p w14:paraId="0F971AA8">
            <w:pPr>
              <w:jc w:val="center"/>
              <w:outlineLvl w:val="9"/>
              <w:rPr>
                <w:rFonts w:hint="eastAsia" w:ascii="宋体" w:hAnsi="宋体" w:eastAsia="宋体" w:cs="宋体"/>
                <w:color w:val="auto"/>
                <w:sz w:val="21"/>
                <w:szCs w:val="21"/>
                <w:highlight w:val="none"/>
              </w:rPr>
            </w:pPr>
          </w:p>
        </w:tc>
        <w:tc>
          <w:tcPr>
            <w:tcW w:w="545" w:type="pct"/>
            <w:noWrap w:val="0"/>
            <w:vAlign w:val="center"/>
          </w:tcPr>
          <w:p w14:paraId="2E720E6D">
            <w:pPr>
              <w:jc w:val="center"/>
              <w:outlineLvl w:val="9"/>
              <w:rPr>
                <w:rFonts w:hint="eastAsia" w:ascii="宋体" w:hAnsi="宋体" w:eastAsia="宋体" w:cs="宋体"/>
                <w:color w:val="auto"/>
                <w:sz w:val="21"/>
                <w:szCs w:val="21"/>
                <w:highlight w:val="none"/>
              </w:rPr>
            </w:pPr>
          </w:p>
        </w:tc>
        <w:tc>
          <w:tcPr>
            <w:tcW w:w="468" w:type="pct"/>
            <w:noWrap w:val="0"/>
            <w:vAlign w:val="top"/>
          </w:tcPr>
          <w:p w14:paraId="578291F5">
            <w:pPr>
              <w:jc w:val="center"/>
              <w:outlineLvl w:val="9"/>
              <w:rPr>
                <w:rFonts w:hint="eastAsia" w:ascii="宋体" w:hAnsi="宋体" w:eastAsia="宋体" w:cs="宋体"/>
                <w:color w:val="auto"/>
                <w:sz w:val="21"/>
                <w:szCs w:val="21"/>
                <w:highlight w:val="none"/>
              </w:rPr>
            </w:pPr>
          </w:p>
        </w:tc>
        <w:tc>
          <w:tcPr>
            <w:tcW w:w="468" w:type="pct"/>
            <w:noWrap w:val="0"/>
            <w:vAlign w:val="center"/>
          </w:tcPr>
          <w:p w14:paraId="01557C48">
            <w:pPr>
              <w:jc w:val="center"/>
              <w:outlineLvl w:val="9"/>
              <w:rPr>
                <w:rFonts w:hint="eastAsia" w:ascii="宋体" w:hAnsi="宋体" w:eastAsia="宋体" w:cs="宋体"/>
                <w:color w:val="auto"/>
                <w:sz w:val="21"/>
                <w:szCs w:val="21"/>
                <w:highlight w:val="none"/>
              </w:rPr>
            </w:pPr>
          </w:p>
        </w:tc>
        <w:tc>
          <w:tcPr>
            <w:tcW w:w="468" w:type="pct"/>
            <w:noWrap w:val="0"/>
            <w:vAlign w:val="center"/>
          </w:tcPr>
          <w:p w14:paraId="28EDC3CC">
            <w:pPr>
              <w:jc w:val="center"/>
              <w:outlineLvl w:val="9"/>
              <w:rPr>
                <w:rFonts w:hint="eastAsia" w:ascii="宋体" w:hAnsi="宋体" w:eastAsia="宋体" w:cs="宋体"/>
                <w:color w:val="auto"/>
                <w:sz w:val="21"/>
                <w:szCs w:val="21"/>
                <w:highlight w:val="none"/>
              </w:rPr>
            </w:pPr>
          </w:p>
        </w:tc>
        <w:tc>
          <w:tcPr>
            <w:tcW w:w="468" w:type="pct"/>
            <w:noWrap w:val="0"/>
            <w:vAlign w:val="center"/>
          </w:tcPr>
          <w:p w14:paraId="29F48C01">
            <w:pPr>
              <w:jc w:val="center"/>
              <w:outlineLvl w:val="9"/>
              <w:rPr>
                <w:rFonts w:hint="eastAsia" w:ascii="宋体" w:hAnsi="宋体" w:eastAsia="宋体" w:cs="宋体"/>
                <w:color w:val="auto"/>
                <w:sz w:val="21"/>
                <w:szCs w:val="21"/>
                <w:highlight w:val="none"/>
              </w:rPr>
            </w:pPr>
          </w:p>
        </w:tc>
        <w:tc>
          <w:tcPr>
            <w:tcW w:w="385" w:type="pct"/>
            <w:noWrap w:val="0"/>
            <w:vAlign w:val="center"/>
          </w:tcPr>
          <w:p w14:paraId="762E561B">
            <w:pPr>
              <w:jc w:val="center"/>
              <w:outlineLvl w:val="9"/>
              <w:rPr>
                <w:rFonts w:hint="eastAsia" w:ascii="宋体" w:hAnsi="宋体" w:eastAsia="宋体" w:cs="宋体"/>
                <w:color w:val="auto"/>
                <w:sz w:val="21"/>
                <w:szCs w:val="21"/>
                <w:highlight w:val="none"/>
              </w:rPr>
            </w:pPr>
          </w:p>
        </w:tc>
      </w:tr>
      <w:tr w14:paraId="0616B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noWrap w:val="0"/>
            <w:vAlign w:val="center"/>
          </w:tcPr>
          <w:p w14:paraId="093F9756">
            <w:pPr>
              <w:jc w:val="center"/>
              <w:outlineLvl w:val="9"/>
              <w:rPr>
                <w:rFonts w:hint="eastAsia" w:ascii="宋体" w:hAnsi="宋体" w:eastAsia="宋体" w:cs="宋体"/>
                <w:color w:val="auto"/>
                <w:sz w:val="21"/>
                <w:szCs w:val="21"/>
                <w:highlight w:val="none"/>
              </w:rPr>
            </w:pPr>
          </w:p>
        </w:tc>
        <w:tc>
          <w:tcPr>
            <w:tcW w:w="467" w:type="pct"/>
            <w:noWrap w:val="0"/>
            <w:vAlign w:val="center"/>
          </w:tcPr>
          <w:p w14:paraId="5CA08F1D">
            <w:pPr>
              <w:jc w:val="center"/>
              <w:outlineLvl w:val="9"/>
              <w:rPr>
                <w:rFonts w:hint="eastAsia" w:ascii="宋体" w:hAnsi="宋体" w:eastAsia="宋体" w:cs="宋体"/>
                <w:color w:val="auto"/>
                <w:sz w:val="21"/>
                <w:szCs w:val="21"/>
                <w:highlight w:val="none"/>
              </w:rPr>
            </w:pPr>
          </w:p>
        </w:tc>
        <w:tc>
          <w:tcPr>
            <w:tcW w:w="468" w:type="pct"/>
            <w:noWrap w:val="0"/>
            <w:vAlign w:val="center"/>
          </w:tcPr>
          <w:p w14:paraId="1CC07A16">
            <w:pPr>
              <w:jc w:val="center"/>
              <w:outlineLvl w:val="9"/>
              <w:rPr>
                <w:rFonts w:hint="eastAsia" w:ascii="宋体" w:hAnsi="宋体" w:eastAsia="宋体" w:cs="宋体"/>
                <w:color w:val="auto"/>
                <w:sz w:val="21"/>
                <w:szCs w:val="21"/>
                <w:highlight w:val="none"/>
              </w:rPr>
            </w:pPr>
          </w:p>
        </w:tc>
        <w:tc>
          <w:tcPr>
            <w:tcW w:w="468" w:type="pct"/>
            <w:noWrap w:val="0"/>
            <w:vAlign w:val="center"/>
          </w:tcPr>
          <w:p w14:paraId="778699B9">
            <w:pPr>
              <w:jc w:val="center"/>
              <w:outlineLvl w:val="9"/>
              <w:rPr>
                <w:rFonts w:hint="eastAsia" w:ascii="宋体" w:hAnsi="宋体" w:eastAsia="宋体" w:cs="宋体"/>
                <w:color w:val="auto"/>
                <w:sz w:val="21"/>
                <w:szCs w:val="21"/>
                <w:highlight w:val="none"/>
              </w:rPr>
            </w:pPr>
          </w:p>
        </w:tc>
        <w:tc>
          <w:tcPr>
            <w:tcW w:w="468" w:type="pct"/>
            <w:noWrap w:val="0"/>
            <w:vAlign w:val="center"/>
          </w:tcPr>
          <w:p w14:paraId="16728048">
            <w:pPr>
              <w:jc w:val="center"/>
              <w:outlineLvl w:val="9"/>
              <w:rPr>
                <w:rFonts w:hint="eastAsia" w:ascii="宋体" w:hAnsi="宋体" w:eastAsia="宋体" w:cs="宋体"/>
                <w:color w:val="auto"/>
                <w:sz w:val="21"/>
                <w:szCs w:val="21"/>
                <w:highlight w:val="none"/>
              </w:rPr>
            </w:pPr>
          </w:p>
        </w:tc>
        <w:tc>
          <w:tcPr>
            <w:tcW w:w="545" w:type="pct"/>
            <w:noWrap w:val="0"/>
            <w:vAlign w:val="center"/>
          </w:tcPr>
          <w:p w14:paraId="5EE37B9B">
            <w:pPr>
              <w:jc w:val="center"/>
              <w:outlineLvl w:val="9"/>
              <w:rPr>
                <w:rFonts w:hint="eastAsia" w:ascii="宋体" w:hAnsi="宋体" w:eastAsia="宋体" w:cs="宋体"/>
                <w:color w:val="auto"/>
                <w:sz w:val="21"/>
                <w:szCs w:val="21"/>
                <w:highlight w:val="none"/>
              </w:rPr>
            </w:pPr>
          </w:p>
        </w:tc>
        <w:tc>
          <w:tcPr>
            <w:tcW w:w="468" w:type="pct"/>
            <w:noWrap w:val="0"/>
            <w:vAlign w:val="top"/>
          </w:tcPr>
          <w:p w14:paraId="608CA3CF">
            <w:pPr>
              <w:jc w:val="center"/>
              <w:outlineLvl w:val="9"/>
              <w:rPr>
                <w:rFonts w:hint="eastAsia" w:ascii="宋体" w:hAnsi="宋体" w:eastAsia="宋体" w:cs="宋体"/>
                <w:color w:val="auto"/>
                <w:sz w:val="21"/>
                <w:szCs w:val="21"/>
                <w:highlight w:val="none"/>
              </w:rPr>
            </w:pPr>
          </w:p>
        </w:tc>
        <w:tc>
          <w:tcPr>
            <w:tcW w:w="468" w:type="pct"/>
            <w:noWrap w:val="0"/>
            <w:vAlign w:val="center"/>
          </w:tcPr>
          <w:p w14:paraId="3F075100">
            <w:pPr>
              <w:jc w:val="center"/>
              <w:outlineLvl w:val="9"/>
              <w:rPr>
                <w:rFonts w:hint="eastAsia" w:ascii="宋体" w:hAnsi="宋体" w:eastAsia="宋体" w:cs="宋体"/>
                <w:color w:val="auto"/>
                <w:sz w:val="21"/>
                <w:szCs w:val="21"/>
                <w:highlight w:val="none"/>
              </w:rPr>
            </w:pPr>
          </w:p>
        </w:tc>
        <w:tc>
          <w:tcPr>
            <w:tcW w:w="468" w:type="pct"/>
            <w:noWrap w:val="0"/>
            <w:vAlign w:val="center"/>
          </w:tcPr>
          <w:p w14:paraId="5E5D8682">
            <w:pPr>
              <w:jc w:val="center"/>
              <w:outlineLvl w:val="9"/>
              <w:rPr>
                <w:rFonts w:hint="eastAsia" w:ascii="宋体" w:hAnsi="宋体" w:eastAsia="宋体" w:cs="宋体"/>
                <w:color w:val="auto"/>
                <w:sz w:val="21"/>
                <w:szCs w:val="21"/>
                <w:highlight w:val="none"/>
              </w:rPr>
            </w:pPr>
          </w:p>
        </w:tc>
        <w:tc>
          <w:tcPr>
            <w:tcW w:w="468" w:type="pct"/>
            <w:noWrap w:val="0"/>
            <w:vAlign w:val="center"/>
          </w:tcPr>
          <w:p w14:paraId="2806425F">
            <w:pPr>
              <w:jc w:val="center"/>
              <w:outlineLvl w:val="9"/>
              <w:rPr>
                <w:rFonts w:hint="eastAsia" w:ascii="宋体" w:hAnsi="宋体" w:eastAsia="宋体" w:cs="宋体"/>
                <w:color w:val="auto"/>
                <w:sz w:val="21"/>
                <w:szCs w:val="21"/>
                <w:highlight w:val="none"/>
              </w:rPr>
            </w:pPr>
          </w:p>
        </w:tc>
        <w:tc>
          <w:tcPr>
            <w:tcW w:w="385" w:type="pct"/>
            <w:noWrap w:val="0"/>
            <w:vAlign w:val="center"/>
          </w:tcPr>
          <w:p w14:paraId="5607FE05">
            <w:pPr>
              <w:jc w:val="center"/>
              <w:outlineLvl w:val="9"/>
              <w:rPr>
                <w:rFonts w:hint="eastAsia" w:ascii="宋体" w:hAnsi="宋体" w:eastAsia="宋体" w:cs="宋体"/>
                <w:color w:val="auto"/>
                <w:sz w:val="21"/>
                <w:szCs w:val="21"/>
                <w:highlight w:val="none"/>
              </w:rPr>
            </w:pPr>
          </w:p>
        </w:tc>
      </w:tr>
      <w:tr w14:paraId="68A041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30" w:type="dxa"/>
            <w:bottom w:w="0" w:type="dxa"/>
            <w:right w:w="30" w:type="dxa"/>
          </w:tblCellMar>
        </w:tblPrEx>
        <w:trPr>
          <w:cantSplit/>
          <w:trHeight w:val="760" w:hRule="exact"/>
          <w:jc w:val="center"/>
        </w:trPr>
        <w:tc>
          <w:tcPr>
            <w:tcW w:w="322" w:type="pct"/>
            <w:noWrap w:val="0"/>
            <w:vAlign w:val="center"/>
          </w:tcPr>
          <w:p w14:paraId="58FADE51">
            <w:pPr>
              <w:jc w:val="center"/>
              <w:outlineLvl w:val="9"/>
              <w:rPr>
                <w:rFonts w:hint="eastAsia" w:ascii="宋体" w:hAnsi="宋体" w:eastAsia="宋体" w:cs="宋体"/>
                <w:color w:val="auto"/>
                <w:sz w:val="21"/>
                <w:szCs w:val="21"/>
                <w:highlight w:val="none"/>
              </w:rPr>
            </w:pPr>
          </w:p>
        </w:tc>
        <w:tc>
          <w:tcPr>
            <w:tcW w:w="467" w:type="pct"/>
            <w:noWrap w:val="0"/>
            <w:vAlign w:val="center"/>
          </w:tcPr>
          <w:p w14:paraId="78D3BF77">
            <w:pPr>
              <w:jc w:val="center"/>
              <w:outlineLvl w:val="9"/>
              <w:rPr>
                <w:rFonts w:hint="eastAsia" w:ascii="宋体" w:hAnsi="宋体" w:eastAsia="宋体" w:cs="宋体"/>
                <w:color w:val="auto"/>
                <w:sz w:val="21"/>
                <w:szCs w:val="21"/>
                <w:highlight w:val="none"/>
              </w:rPr>
            </w:pPr>
          </w:p>
        </w:tc>
        <w:tc>
          <w:tcPr>
            <w:tcW w:w="468" w:type="pct"/>
            <w:noWrap w:val="0"/>
            <w:vAlign w:val="center"/>
          </w:tcPr>
          <w:p w14:paraId="372B564B">
            <w:pPr>
              <w:jc w:val="center"/>
              <w:outlineLvl w:val="9"/>
              <w:rPr>
                <w:rFonts w:hint="eastAsia" w:ascii="宋体" w:hAnsi="宋体" w:eastAsia="宋体" w:cs="宋体"/>
                <w:color w:val="auto"/>
                <w:sz w:val="21"/>
                <w:szCs w:val="21"/>
                <w:highlight w:val="none"/>
              </w:rPr>
            </w:pPr>
          </w:p>
        </w:tc>
        <w:tc>
          <w:tcPr>
            <w:tcW w:w="468" w:type="pct"/>
            <w:noWrap w:val="0"/>
            <w:vAlign w:val="center"/>
          </w:tcPr>
          <w:p w14:paraId="1FF7A394">
            <w:pPr>
              <w:jc w:val="center"/>
              <w:outlineLvl w:val="9"/>
              <w:rPr>
                <w:rFonts w:hint="eastAsia" w:ascii="宋体" w:hAnsi="宋体" w:eastAsia="宋体" w:cs="宋体"/>
                <w:color w:val="auto"/>
                <w:sz w:val="21"/>
                <w:szCs w:val="21"/>
                <w:highlight w:val="none"/>
              </w:rPr>
            </w:pPr>
          </w:p>
        </w:tc>
        <w:tc>
          <w:tcPr>
            <w:tcW w:w="468" w:type="pct"/>
            <w:noWrap w:val="0"/>
            <w:vAlign w:val="center"/>
          </w:tcPr>
          <w:p w14:paraId="33F2AA25">
            <w:pPr>
              <w:jc w:val="center"/>
              <w:outlineLvl w:val="9"/>
              <w:rPr>
                <w:rFonts w:hint="eastAsia" w:ascii="宋体" w:hAnsi="宋体" w:eastAsia="宋体" w:cs="宋体"/>
                <w:color w:val="auto"/>
                <w:sz w:val="21"/>
                <w:szCs w:val="21"/>
                <w:highlight w:val="none"/>
              </w:rPr>
            </w:pPr>
          </w:p>
        </w:tc>
        <w:tc>
          <w:tcPr>
            <w:tcW w:w="545" w:type="pct"/>
            <w:noWrap w:val="0"/>
            <w:vAlign w:val="center"/>
          </w:tcPr>
          <w:p w14:paraId="264905D0">
            <w:pPr>
              <w:jc w:val="center"/>
              <w:outlineLvl w:val="9"/>
              <w:rPr>
                <w:rFonts w:hint="eastAsia" w:ascii="宋体" w:hAnsi="宋体" w:eastAsia="宋体" w:cs="宋体"/>
                <w:color w:val="auto"/>
                <w:sz w:val="21"/>
                <w:szCs w:val="21"/>
                <w:highlight w:val="none"/>
              </w:rPr>
            </w:pPr>
          </w:p>
        </w:tc>
        <w:tc>
          <w:tcPr>
            <w:tcW w:w="468" w:type="pct"/>
            <w:noWrap w:val="0"/>
            <w:vAlign w:val="top"/>
          </w:tcPr>
          <w:p w14:paraId="5D4086AB">
            <w:pPr>
              <w:jc w:val="center"/>
              <w:outlineLvl w:val="9"/>
              <w:rPr>
                <w:rFonts w:hint="eastAsia" w:ascii="宋体" w:hAnsi="宋体" w:eastAsia="宋体" w:cs="宋体"/>
                <w:color w:val="auto"/>
                <w:sz w:val="21"/>
                <w:szCs w:val="21"/>
                <w:highlight w:val="none"/>
              </w:rPr>
            </w:pPr>
          </w:p>
        </w:tc>
        <w:tc>
          <w:tcPr>
            <w:tcW w:w="468" w:type="pct"/>
            <w:noWrap w:val="0"/>
            <w:vAlign w:val="center"/>
          </w:tcPr>
          <w:p w14:paraId="35A14309">
            <w:pPr>
              <w:jc w:val="center"/>
              <w:outlineLvl w:val="9"/>
              <w:rPr>
                <w:rFonts w:hint="eastAsia" w:ascii="宋体" w:hAnsi="宋体" w:eastAsia="宋体" w:cs="宋体"/>
                <w:color w:val="auto"/>
                <w:sz w:val="21"/>
                <w:szCs w:val="21"/>
                <w:highlight w:val="none"/>
              </w:rPr>
            </w:pPr>
          </w:p>
        </w:tc>
        <w:tc>
          <w:tcPr>
            <w:tcW w:w="468" w:type="pct"/>
            <w:noWrap w:val="0"/>
            <w:vAlign w:val="center"/>
          </w:tcPr>
          <w:p w14:paraId="13C82A4B">
            <w:pPr>
              <w:jc w:val="center"/>
              <w:outlineLvl w:val="9"/>
              <w:rPr>
                <w:rFonts w:hint="eastAsia" w:ascii="宋体" w:hAnsi="宋体" w:eastAsia="宋体" w:cs="宋体"/>
                <w:color w:val="auto"/>
                <w:sz w:val="21"/>
                <w:szCs w:val="21"/>
                <w:highlight w:val="none"/>
              </w:rPr>
            </w:pPr>
          </w:p>
        </w:tc>
        <w:tc>
          <w:tcPr>
            <w:tcW w:w="468" w:type="pct"/>
            <w:noWrap w:val="0"/>
            <w:vAlign w:val="center"/>
          </w:tcPr>
          <w:p w14:paraId="08D54E4D">
            <w:pPr>
              <w:jc w:val="center"/>
              <w:outlineLvl w:val="9"/>
              <w:rPr>
                <w:rFonts w:hint="eastAsia" w:ascii="宋体" w:hAnsi="宋体" w:eastAsia="宋体" w:cs="宋体"/>
                <w:color w:val="auto"/>
                <w:sz w:val="21"/>
                <w:szCs w:val="21"/>
                <w:highlight w:val="none"/>
              </w:rPr>
            </w:pPr>
          </w:p>
        </w:tc>
        <w:tc>
          <w:tcPr>
            <w:tcW w:w="385" w:type="pct"/>
            <w:noWrap w:val="0"/>
            <w:vAlign w:val="center"/>
          </w:tcPr>
          <w:p w14:paraId="46B7989E">
            <w:pPr>
              <w:jc w:val="center"/>
              <w:outlineLvl w:val="9"/>
              <w:rPr>
                <w:rFonts w:hint="eastAsia" w:ascii="宋体" w:hAnsi="宋体" w:eastAsia="宋体" w:cs="宋体"/>
                <w:color w:val="auto"/>
                <w:sz w:val="21"/>
                <w:szCs w:val="21"/>
                <w:highlight w:val="none"/>
              </w:rPr>
            </w:pPr>
          </w:p>
        </w:tc>
      </w:tr>
    </w:tbl>
    <w:p w14:paraId="44B20EF0">
      <w:pPr>
        <w:autoSpaceDE w:val="0"/>
        <w:autoSpaceDN w:val="0"/>
        <w:adjustRightInd w:val="0"/>
        <w:snapToGrid w:val="0"/>
        <w:spacing w:line="360" w:lineRule="auto"/>
        <w:ind w:left="186" w:leftChars="-158" w:hanging="518" w:hangingChars="247"/>
        <w:jc w:val="left"/>
        <w:outlineLvl w:val="9"/>
        <w:rPr>
          <w:rFonts w:hint="eastAsia" w:ascii="宋体" w:hAnsi="宋体" w:eastAsia="宋体" w:cs="宋体"/>
          <w:color w:val="auto"/>
          <w:szCs w:val="24"/>
          <w:highlight w:val="none"/>
          <w:lang w:val="zh-CN"/>
        </w:rPr>
      </w:pPr>
    </w:p>
    <w:p w14:paraId="6781203F">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3BCAC48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（1）作为投标人评分要求的业绩放置在此处，业绩按单项合同金额从高到低的方式排列；</w:t>
      </w:r>
      <w:r>
        <w:rPr>
          <w:rFonts w:hint="eastAsia" w:ascii="宋体" w:hAnsi="宋体" w:eastAsia="宋体" w:cs="宋体"/>
          <w:b/>
          <w:bCs/>
          <w:color w:val="auto"/>
          <w:szCs w:val="24"/>
          <w:highlight w:val="none"/>
          <w:lang w:val="zh-CN"/>
        </w:rPr>
        <w:t>同一个单项合同的业绩可以同时在资格业绩和评分业绩重复放置</w:t>
      </w:r>
      <w:r>
        <w:rPr>
          <w:rFonts w:hint="eastAsia" w:ascii="宋体" w:hAnsi="宋体" w:eastAsia="宋体" w:cs="宋体"/>
          <w:color w:val="auto"/>
          <w:szCs w:val="24"/>
          <w:highlight w:val="none"/>
          <w:lang w:val="zh-CN"/>
        </w:rPr>
        <w:t>。</w:t>
      </w:r>
    </w:p>
    <w:p w14:paraId="5F6E210A">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（2）业绩须附合同扫描件（合同服务提供方为投标人）及</w:t>
      </w:r>
      <w:r>
        <w:rPr>
          <w:rFonts w:hint="eastAsia" w:ascii="宋体" w:hAnsi="宋体" w:eastAsia="宋体" w:cs="宋体"/>
          <w:b w:val="0"/>
          <w:bCs w:val="0"/>
          <w:color w:val="auto"/>
          <w:szCs w:val="24"/>
          <w:highlight w:val="none"/>
          <w:lang w:val="zh-CN" w:eastAsia="zh-CN"/>
        </w:rPr>
        <w:t>已</w:t>
      </w:r>
      <w:r>
        <w:rPr>
          <w:rFonts w:hint="eastAsia" w:ascii="宋体" w:hAnsi="宋体" w:eastAsia="宋体" w:cs="宋体"/>
          <w:b w:val="0"/>
          <w:bCs w:val="0"/>
          <w:color w:val="auto"/>
          <w:szCs w:val="24"/>
          <w:highlight w:val="none"/>
          <w:lang w:val="en-US" w:eastAsia="zh-CN"/>
        </w:rPr>
        <w:t>服务</w:t>
      </w:r>
      <w:r>
        <w:rPr>
          <w:rFonts w:hint="eastAsia" w:ascii="宋体" w:hAnsi="宋体" w:eastAsia="宋体" w:cs="宋体"/>
          <w:b w:val="0"/>
          <w:bCs w:val="0"/>
          <w:color w:val="auto"/>
          <w:szCs w:val="24"/>
          <w:highlight w:val="none"/>
          <w:lang w:val="zh-CN" w:eastAsia="zh-CN"/>
        </w:rPr>
        <w:t>的</w:t>
      </w:r>
      <w:r>
        <w:rPr>
          <w:rFonts w:hint="eastAsia" w:ascii="宋体" w:hAnsi="宋体" w:eastAsia="宋体" w:cs="宋体"/>
          <w:b w:val="0"/>
          <w:bCs w:val="0"/>
          <w:color w:val="auto"/>
          <w:szCs w:val="24"/>
          <w:highlight w:val="none"/>
          <w:lang w:val="zh-CN"/>
        </w:rPr>
        <w:t>任意一张发票</w:t>
      </w:r>
      <w:r>
        <w:rPr>
          <w:rFonts w:hint="eastAsia" w:ascii="宋体" w:hAnsi="宋体" w:eastAsia="宋体" w:cs="宋体"/>
          <w:b w:val="0"/>
          <w:bCs w:val="0"/>
          <w:color w:val="auto"/>
          <w:szCs w:val="24"/>
          <w:highlight w:val="none"/>
          <w:lang w:val="en-US" w:eastAsia="zh-CN"/>
        </w:rPr>
        <w:t>扫描</w:t>
      </w:r>
      <w:r>
        <w:rPr>
          <w:rFonts w:hint="eastAsia" w:ascii="宋体" w:hAnsi="宋体" w:eastAsia="宋体" w:cs="宋体"/>
          <w:b w:val="0"/>
          <w:bCs w:val="0"/>
          <w:color w:val="auto"/>
          <w:szCs w:val="24"/>
          <w:highlight w:val="none"/>
          <w:lang w:val="zh-CN" w:eastAsia="zh-CN"/>
        </w:rPr>
        <w:t>件</w:t>
      </w:r>
      <w:r>
        <w:rPr>
          <w:rFonts w:hint="eastAsia" w:ascii="宋体" w:hAnsi="宋体" w:eastAsia="宋体" w:cs="宋体"/>
          <w:b w:val="0"/>
          <w:bCs w:val="0"/>
          <w:color w:val="auto"/>
          <w:szCs w:val="24"/>
          <w:highlight w:val="none"/>
          <w:lang w:val="zh-CN"/>
        </w:rPr>
        <w:t>(发票开具日期须在本项目招标公告发布之日前)</w:t>
      </w:r>
      <w:r>
        <w:rPr>
          <w:rFonts w:hint="eastAsia" w:ascii="宋体" w:hAnsi="宋体" w:eastAsia="宋体" w:cs="宋体"/>
          <w:color w:val="auto"/>
          <w:szCs w:val="24"/>
          <w:highlight w:val="none"/>
          <w:lang w:val="zh-CN"/>
        </w:rPr>
        <w:t>，否则不得分；</w:t>
      </w:r>
    </w:p>
    <w:p w14:paraId="01428DB4">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（3）若合同及证明文件无法反映评分条件（合同签订日期为202</w:t>
      </w:r>
      <w:r>
        <w:rPr>
          <w:rFonts w:hint="eastAsia" w:ascii="宋体" w:hAnsi="宋体" w:eastAsia="宋体" w:cs="宋体"/>
          <w:color w:val="auto"/>
          <w:szCs w:val="24"/>
          <w:highlight w:val="none"/>
          <w:lang w:val="en-US" w:eastAsia="zh-CN"/>
        </w:rPr>
        <w:t>3</w:t>
      </w:r>
      <w:r>
        <w:rPr>
          <w:rFonts w:hint="eastAsia" w:ascii="宋体" w:hAnsi="宋体" w:eastAsia="宋体" w:cs="宋体"/>
          <w:color w:val="auto"/>
          <w:szCs w:val="24"/>
          <w:highlight w:val="none"/>
          <w:lang w:val="zh-CN"/>
        </w:rPr>
        <w:t>年1月1日或以后、合同服务内容必须具有</w:t>
      </w:r>
      <w:r>
        <w:rPr>
          <w:rFonts w:hint="eastAsia" w:ascii="宋体" w:hAnsi="宋体" w:eastAsia="宋体" w:cs="宋体"/>
          <w:b/>
          <w:bCs/>
          <w:color w:val="auto"/>
          <w:szCs w:val="24"/>
          <w:highlight w:val="none"/>
          <w:lang w:val="zh-CN"/>
        </w:rPr>
        <w:t>清洁保洁服务或绿化养护服务</w:t>
      </w:r>
      <w:r>
        <w:rPr>
          <w:rFonts w:hint="eastAsia" w:ascii="宋体" w:hAnsi="宋体" w:eastAsia="宋体" w:cs="宋体"/>
          <w:color w:val="auto"/>
          <w:szCs w:val="24"/>
          <w:highlight w:val="none"/>
          <w:lang w:val="zh-CN"/>
        </w:rPr>
        <w:t>、合同金额）的，还需提供服务购买方出具的书面补充说明文件</w:t>
      </w:r>
      <w:r>
        <w:rPr>
          <w:rFonts w:hint="eastAsia" w:ascii="宋体" w:hAnsi="宋体" w:eastAsia="宋体" w:cs="宋体"/>
          <w:color w:val="auto"/>
          <w:szCs w:val="24"/>
          <w:highlight w:val="none"/>
          <w:lang w:val="en-US" w:eastAsia="zh-CN"/>
        </w:rPr>
        <w:t>扫描</w:t>
      </w:r>
      <w:r>
        <w:rPr>
          <w:rFonts w:hint="eastAsia" w:ascii="宋体" w:hAnsi="宋体" w:eastAsia="宋体" w:cs="宋体"/>
          <w:color w:val="auto"/>
          <w:szCs w:val="24"/>
          <w:highlight w:val="none"/>
          <w:lang w:val="zh-CN"/>
        </w:rPr>
        <w:t>件作为辅助证明（补充说明</w:t>
      </w:r>
      <w:r>
        <w:rPr>
          <w:rFonts w:hint="eastAsia" w:ascii="宋体" w:hAnsi="宋体" w:eastAsia="宋体" w:cs="宋体"/>
          <w:color w:val="auto"/>
          <w:szCs w:val="24"/>
          <w:highlight w:val="none"/>
          <w:lang w:val="en-US" w:eastAsia="zh-CN"/>
        </w:rPr>
        <w:t>文件扫描件</w:t>
      </w:r>
      <w:r>
        <w:rPr>
          <w:rFonts w:hint="eastAsia" w:ascii="宋体" w:hAnsi="宋体" w:eastAsia="宋体" w:cs="宋体"/>
          <w:color w:val="auto"/>
          <w:szCs w:val="24"/>
          <w:highlight w:val="none"/>
          <w:lang w:val="zh-CN"/>
        </w:rPr>
        <w:t>能显示服务购买方公章），否则不得分；</w:t>
      </w:r>
    </w:p>
    <w:p w14:paraId="2C318322">
      <w:pPr>
        <w:autoSpaceDE w:val="0"/>
        <w:autoSpaceDN w:val="0"/>
        <w:adjustRightInd w:val="0"/>
        <w:snapToGrid w:val="0"/>
        <w:spacing w:line="360" w:lineRule="auto"/>
        <w:ind w:left="483" w:leftChars="-41" w:hanging="569" w:hangingChars="270"/>
        <w:jc w:val="left"/>
        <w:outlineLvl w:val="9"/>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（4）投标人符合评审细则的同一个项目业绩同时包含清洁保洁、绿化养护服务时，只按其中一类业绩计分（即不重复计分）；</w:t>
      </w:r>
    </w:p>
    <w:p w14:paraId="061742FF">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（5）若业绩为框架式协议或资格入围等无明确金额的合同，必须同时提供合同期限内已服务发票金额统计表和发票扫描</w:t>
      </w:r>
      <w:r>
        <w:rPr>
          <w:rFonts w:hint="eastAsia" w:ascii="宋体" w:hAnsi="宋体" w:eastAsia="宋体" w:cs="宋体"/>
          <w:color w:val="auto"/>
          <w:szCs w:val="24"/>
          <w:highlight w:val="none"/>
          <w:lang w:val="en-US" w:eastAsia="zh-CN"/>
        </w:rPr>
        <w:t>件</w:t>
      </w:r>
      <w:r>
        <w:rPr>
          <w:rFonts w:hint="eastAsia" w:ascii="宋体" w:hAnsi="宋体" w:eastAsia="宋体" w:cs="宋体"/>
          <w:color w:val="auto"/>
          <w:szCs w:val="24"/>
          <w:highlight w:val="none"/>
          <w:lang w:val="zh-CN"/>
        </w:rPr>
        <w:t>；</w:t>
      </w:r>
    </w:p>
    <w:p w14:paraId="403EDE93">
      <w:pPr>
        <w:autoSpaceDE w:val="0"/>
        <w:autoSpaceDN w:val="0"/>
        <w:adjustRightInd w:val="0"/>
        <w:snapToGrid w:val="0"/>
        <w:spacing w:line="360" w:lineRule="auto"/>
        <w:ind w:left="481" w:leftChars="-41" w:hanging="567" w:hangingChars="270"/>
        <w:jc w:val="left"/>
        <w:outlineLvl w:val="9"/>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（6）未按上述要求在此格式下提供证明材料的业绩，或在此格式下所附材料无法证明填报项目符合本项评分要求的业绩，在评标时将不予考虑。</w:t>
      </w:r>
    </w:p>
    <w:p w14:paraId="17E0A28A">
      <w:pPr>
        <w:autoSpaceDE w:val="0"/>
        <w:autoSpaceDN w:val="0"/>
        <w:adjustRightInd w:val="0"/>
        <w:spacing w:line="360" w:lineRule="auto"/>
        <w:ind w:firstLine="5040" w:firstLineChars="2400"/>
        <w:jc w:val="left"/>
        <w:rPr>
          <w:rFonts w:hint="eastAsia" w:ascii="宋体" w:hAnsi="宋体" w:eastAsia="宋体" w:cs="宋体"/>
          <w:color w:val="auto"/>
          <w:szCs w:val="24"/>
          <w:highlight w:val="none"/>
          <w:lang w:val="zh-CN"/>
        </w:rPr>
      </w:pPr>
    </w:p>
    <w:p w14:paraId="2A76C35F">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D41664B">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426FE6D5">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0CF59654">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0BABE69E">
      <w:pPr>
        <w:autoSpaceDE/>
        <w:autoSpaceDN/>
        <w:adjustRightInd/>
        <w:spacing w:line="240" w:lineRule="auto"/>
        <w:rPr>
          <w:rFonts w:hint="eastAsia"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br w:type="page"/>
      </w:r>
    </w:p>
    <w:p w14:paraId="343C376F">
      <w:pPr>
        <w:tabs>
          <w:tab w:val="left" w:pos="567"/>
        </w:tabs>
        <w:autoSpaceDE w:val="0"/>
        <w:autoSpaceDN w:val="0"/>
        <w:adjustRightInd w:val="0"/>
        <w:spacing w:line="360" w:lineRule="auto"/>
        <w:ind w:left="657" w:hanging="867"/>
        <w:jc w:val="left"/>
        <w:outlineLvl w:val="9"/>
        <w:rPr>
          <w:rFonts w:hint="eastAsia" w:ascii="宋体" w:hAnsi="宋体" w:eastAsia="宋体" w:cs="宋体"/>
          <w:b/>
          <w:color w:val="auto"/>
          <w:kern w:val="0"/>
          <w:sz w:val="32"/>
          <w:szCs w:val="32"/>
          <w:highlight w:val="none"/>
          <w:lang w:val="zh-CN"/>
        </w:rPr>
      </w:pPr>
      <w:bookmarkStart w:id="655" w:name="_Toc10033"/>
      <w:r>
        <w:rPr>
          <w:rFonts w:hint="eastAsia" w:ascii="宋体" w:hAnsi="宋体" w:eastAsia="宋体" w:cs="宋体"/>
          <w:b/>
          <w:color w:val="auto"/>
          <w:kern w:val="0"/>
          <w:sz w:val="32"/>
          <w:szCs w:val="32"/>
          <w:highlight w:val="none"/>
          <w:lang w:val="zh-CN"/>
        </w:rPr>
        <w:t>附表：已服务发票金额统计表</w:t>
      </w:r>
      <w:bookmarkEnd w:id="655"/>
    </w:p>
    <w:tbl>
      <w:tblPr>
        <w:tblStyle w:val="3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00"/>
        <w:gridCol w:w="2720"/>
        <w:gridCol w:w="2526"/>
        <w:gridCol w:w="1056"/>
        <w:gridCol w:w="1476"/>
        <w:gridCol w:w="636"/>
      </w:tblGrid>
      <w:tr w14:paraId="1A4874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7CB08E63">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项目名称</w:t>
            </w:r>
          </w:p>
        </w:tc>
        <w:tc>
          <w:tcPr>
            <w:tcW w:w="0" w:type="auto"/>
            <w:gridSpan w:val="4"/>
            <w:vAlign w:val="center"/>
          </w:tcPr>
          <w:p w14:paraId="57BF6AEE">
            <w:pPr>
              <w:pStyle w:val="19"/>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34BA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61E25F9B">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合同约定的服务期</w:t>
            </w:r>
          </w:p>
        </w:tc>
        <w:tc>
          <w:tcPr>
            <w:tcW w:w="0" w:type="auto"/>
            <w:gridSpan w:val="4"/>
            <w:vAlign w:val="center"/>
          </w:tcPr>
          <w:p w14:paraId="3EDFD6DB">
            <w:pPr>
              <w:pStyle w:val="19"/>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3350C7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3820" w:type="dxa"/>
            <w:gridSpan w:val="2"/>
            <w:vAlign w:val="center"/>
          </w:tcPr>
          <w:p w14:paraId="49A8FD5D">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发票抬头（合同服务购买方）</w:t>
            </w:r>
          </w:p>
        </w:tc>
        <w:tc>
          <w:tcPr>
            <w:tcW w:w="0" w:type="auto"/>
            <w:gridSpan w:val="4"/>
            <w:vAlign w:val="center"/>
          </w:tcPr>
          <w:p w14:paraId="4F894416">
            <w:pPr>
              <w:pStyle w:val="19"/>
              <w:keepNext w:val="0"/>
              <w:keepLines w:val="0"/>
              <w:pageBreakBefore w:val="0"/>
              <w:widowControl w:val="0"/>
              <w:kinsoku/>
              <w:wordWrap/>
              <w:overflowPunct/>
              <w:topLinePunct w:val="0"/>
              <w:autoSpaceDE/>
              <w:autoSpaceDN/>
              <w:bidi w:val="0"/>
              <w:adjustRightInd/>
              <w:snapToGrid/>
              <w:spacing w:line="360" w:lineRule="auto"/>
              <w:ind w:left="0" w:leftChars="0"/>
              <w:textAlignment w:val="auto"/>
              <w:outlineLvl w:val="9"/>
              <w:rPr>
                <w:rFonts w:hint="eastAsia" w:ascii="宋体" w:hAnsi="宋体" w:eastAsia="宋体" w:cs="宋体"/>
                <w:color w:val="auto"/>
                <w:highlight w:val="none"/>
              </w:rPr>
            </w:pPr>
          </w:p>
        </w:tc>
      </w:tr>
      <w:tr w14:paraId="4E140F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786EC96C">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序号</w:t>
            </w:r>
          </w:p>
        </w:tc>
        <w:tc>
          <w:tcPr>
            <w:tcW w:w="2720" w:type="dxa"/>
            <w:vAlign w:val="center"/>
          </w:tcPr>
          <w:p w14:paraId="0A90B338">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发票名目</w:t>
            </w:r>
          </w:p>
        </w:tc>
        <w:tc>
          <w:tcPr>
            <w:tcW w:w="0" w:type="auto"/>
            <w:vAlign w:val="center"/>
          </w:tcPr>
          <w:p w14:paraId="6333F773">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发票金额（单位：万元）</w:t>
            </w:r>
          </w:p>
        </w:tc>
        <w:tc>
          <w:tcPr>
            <w:tcW w:w="0" w:type="auto"/>
            <w:vAlign w:val="center"/>
          </w:tcPr>
          <w:p w14:paraId="0F41CF1D">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发票号码</w:t>
            </w:r>
          </w:p>
        </w:tc>
        <w:tc>
          <w:tcPr>
            <w:tcW w:w="0" w:type="auto"/>
            <w:vAlign w:val="center"/>
          </w:tcPr>
          <w:p w14:paraId="5906CBA0">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发票所属时期</w:t>
            </w:r>
          </w:p>
        </w:tc>
        <w:tc>
          <w:tcPr>
            <w:tcW w:w="0" w:type="auto"/>
            <w:vAlign w:val="center"/>
          </w:tcPr>
          <w:p w14:paraId="0DD8BFF4">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备注</w:t>
            </w:r>
          </w:p>
        </w:tc>
      </w:tr>
      <w:tr w14:paraId="0CE9B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57A29477">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1</w:t>
            </w:r>
          </w:p>
        </w:tc>
        <w:tc>
          <w:tcPr>
            <w:tcW w:w="2720" w:type="dxa"/>
            <w:vAlign w:val="center"/>
          </w:tcPr>
          <w:p w14:paraId="4E5CFDD1">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D286946">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1685DD6B">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0CF2420">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7B0D6E4">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26913D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22A5F8F7">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2</w:t>
            </w:r>
          </w:p>
        </w:tc>
        <w:tc>
          <w:tcPr>
            <w:tcW w:w="2720" w:type="dxa"/>
            <w:vAlign w:val="center"/>
          </w:tcPr>
          <w:p w14:paraId="5876CBCC">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7E4CBD87">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2503E7BA">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29AD528B">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D482C40">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5D0A29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00423695">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3</w:t>
            </w:r>
          </w:p>
        </w:tc>
        <w:tc>
          <w:tcPr>
            <w:tcW w:w="2720" w:type="dxa"/>
            <w:vAlign w:val="center"/>
          </w:tcPr>
          <w:p w14:paraId="2BEF1B26">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1246242B">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045167B">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3FD3C193">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0ED37D91">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34D606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6" w:hRule="atLeast"/>
          <w:jc w:val="center"/>
        </w:trPr>
        <w:tc>
          <w:tcPr>
            <w:tcW w:w="1100" w:type="dxa"/>
            <w:vAlign w:val="center"/>
          </w:tcPr>
          <w:p w14:paraId="27D3F598">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w:t>
            </w:r>
          </w:p>
        </w:tc>
        <w:tc>
          <w:tcPr>
            <w:tcW w:w="2720" w:type="dxa"/>
            <w:vAlign w:val="center"/>
          </w:tcPr>
          <w:p w14:paraId="22D83D80">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EB864FE">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4F9F184C">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6597C4E4">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9019A2C">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r w14:paraId="7C994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7" w:hRule="atLeast"/>
          <w:jc w:val="center"/>
        </w:trPr>
        <w:tc>
          <w:tcPr>
            <w:tcW w:w="3820" w:type="dxa"/>
            <w:gridSpan w:val="2"/>
            <w:vAlign w:val="center"/>
          </w:tcPr>
          <w:p w14:paraId="04FFDA3D">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r>
              <w:rPr>
                <w:rFonts w:hint="eastAsia" w:ascii="宋体" w:hAnsi="宋体" w:eastAsia="宋体" w:cs="宋体"/>
                <w:color w:val="auto"/>
                <w:highlight w:val="none"/>
              </w:rPr>
              <w:t>发票金额合计</w:t>
            </w:r>
          </w:p>
        </w:tc>
        <w:tc>
          <w:tcPr>
            <w:tcW w:w="0" w:type="auto"/>
            <w:vAlign w:val="center"/>
          </w:tcPr>
          <w:p w14:paraId="0E88FFA1">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34BA155C">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09E5FCC">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c>
          <w:tcPr>
            <w:tcW w:w="0" w:type="auto"/>
            <w:vAlign w:val="center"/>
          </w:tcPr>
          <w:p w14:paraId="5B95E464">
            <w:pPr>
              <w:pStyle w:val="19"/>
              <w:keepNext w:val="0"/>
              <w:keepLines w:val="0"/>
              <w:pageBreakBefore w:val="0"/>
              <w:widowControl w:val="0"/>
              <w:kinsoku/>
              <w:wordWrap/>
              <w:overflowPunct/>
              <w:topLinePunct w:val="0"/>
              <w:autoSpaceDE/>
              <w:autoSpaceDN/>
              <w:bidi w:val="0"/>
              <w:adjustRightInd/>
              <w:snapToGrid/>
              <w:spacing w:line="240" w:lineRule="auto"/>
              <w:ind w:left="0" w:leftChars="0"/>
              <w:jc w:val="center"/>
              <w:textAlignment w:val="auto"/>
              <w:outlineLvl w:val="9"/>
              <w:rPr>
                <w:rFonts w:hint="eastAsia" w:ascii="宋体" w:hAnsi="宋体" w:eastAsia="宋体" w:cs="宋体"/>
                <w:color w:val="auto"/>
                <w:highlight w:val="none"/>
              </w:rPr>
            </w:pPr>
          </w:p>
        </w:tc>
      </w:tr>
    </w:tbl>
    <w:p w14:paraId="4FD8A7BA">
      <w:pPr>
        <w:snapToGrid w:val="0"/>
        <w:spacing w:line="360" w:lineRule="auto"/>
        <w:ind w:left="491" w:leftChars="-57" w:hanging="611" w:hangingChars="291"/>
        <w:outlineLvl w:val="9"/>
        <w:rPr>
          <w:rFonts w:hint="eastAsia" w:ascii="宋体" w:hAnsi="宋体" w:eastAsia="宋体" w:cs="宋体"/>
          <w:color w:val="auto"/>
          <w:szCs w:val="21"/>
          <w:highlight w:val="none"/>
        </w:rPr>
      </w:pPr>
    </w:p>
    <w:p w14:paraId="327226AE">
      <w:pPr>
        <w:snapToGrid w:val="0"/>
        <w:spacing w:line="360" w:lineRule="auto"/>
        <w:ind w:left="491" w:leftChars="-57" w:hanging="611" w:hangingChars="291"/>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4A6310C1">
      <w:pPr>
        <w:pStyle w:val="45"/>
        <w:ind w:firstLine="420" w:firstLineChars="200"/>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（1）投标人提供框架式协议或资格入围</w:t>
      </w:r>
      <w:r>
        <w:rPr>
          <w:rFonts w:hint="eastAsia" w:hAnsi="宋体" w:eastAsia="宋体" w:cs="宋体"/>
          <w:color w:val="auto"/>
          <w:highlight w:val="none"/>
          <w:lang w:val="en-US" w:eastAsia="zh-CN"/>
        </w:rPr>
        <w:t>等</w:t>
      </w:r>
      <w:r>
        <w:rPr>
          <w:rFonts w:hint="eastAsia" w:ascii="宋体" w:hAnsi="宋体" w:eastAsia="宋体" w:cs="宋体"/>
          <w:color w:val="auto"/>
          <w:highlight w:val="none"/>
          <w:lang w:val="zh-CN"/>
        </w:rPr>
        <w:t>无明确金额的合同时，须同时提供本统计表及发票</w:t>
      </w:r>
      <w:r>
        <w:rPr>
          <w:rFonts w:hint="eastAsia" w:hAnsi="宋体" w:eastAsia="宋体" w:cs="宋体"/>
          <w:color w:val="auto"/>
          <w:highlight w:val="none"/>
          <w:lang w:val="en-US" w:eastAsia="zh-CN"/>
        </w:rPr>
        <w:t>扫描件</w:t>
      </w:r>
      <w:r>
        <w:rPr>
          <w:rFonts w:hint="eastAsia" w:ascii="宋体" w:hAnsi="宋体" w:eastAsia="宋体" w:cs="宋体"/>
          <w:color w:val="auto"/>
          <w:highlight w:val="none"/>
          <w:lang w:val="zh-CN"/>
        </w:rPr>
        <w:t>，本统计表及发票</w:t>
      </w:r>
      <w:r>
        <w:rPr>
          <w:rFonts w:hint="eastAsia" w:hAnsi="宋体" w:eastAsia="宋体" w:cs="宋体"/>
          <w:color w:val="auto"/>
          <w:highlight w:val="none"/>
          <w:lang w:val="en-US" w:eastAsia="zh-CN"/>
        </w:rPr>
        <w:t>扫描</w:t>
      </w:r>
      <w:r>
        <w:rPr>
          <w:rFonts w:hint="eastAsia" w:ascii="宋体" w:hAnsi="宋体" w:eastAsia="宋体" w:cs="宋体"/>
          <w:color w:val="auto"/>
          <w:highlight w:val="none"/>
          <w:lang w:val="zh-CN"/>
        </w:rPr>
        <w:t>件应后附于合同</w:t>
      </w:r>
      <w:r>
        <w:rPr>
          <w:rFonts w:hint="eastAsia" w:hAnsi="宋体" w:eastAsia="宋体" w:cs="宋体"/>
          <w:color w:val="auto"/>
          <w:highlight w:val="none"/>
          <w:lang w:val="en-US" w:eastAsia="zh-CN"/>
        </w:rPr>
        <w:t>扫描</w:t>
      </w:r>
      <w:r>
        <w:rPr>
          <w:rFonts w:hint="eastAsia" w:ascii="宋体" w:hAnsi="宋体" w:eastAsia="宋体" w:cs="宋体"/>
          <w:color w:val="auto"/>
          <w:highlight w:val="none"/>
          <w:lang w:val="zh-CN"/>
        </w:rPr>
        <w:t>件。</w:t>
      </w:r>
    </w:p>
    <w:p w14:paraId="6B6A7CBD">
      <w:pPr>
        <w:pStyle w:val="45"/>
        <w:ind w:firstLine="420" w:firstLineChars="200"/>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（2）发票抬头应为合同服务购买方，</w:t>
      </w:r>
      <w:r>
        <w:rPr>
          <w:rFonts w:hint="eastAsia" w:hAnsi="宋体" w:eastAsia="宋体" w:cs="宋体"/>
          <w:color w:val="auto"/>
          <w:highlight w:val="none"/>
          <w:lang w:val="en-US" w:eastAsia="zh-CN"/>
        </w:rPr>
        <w:t>销售方</w:t>
      </w:r>
      <w:r>
        <w:rPr>
          <w:rFonts w:hint="eastAsia" w:ascii="宋体" w:hAnsi="宋体" w:eastAsia="宋体" w:cs="宋体"/>
          <w:color w:val="auto"/>
          <w:highlight w:val="none"/>
          <w:lang w:val="zh-CN"/>
        </w:rPr>
        <w:t>应为投标人，且发票名目、所属时期应与合同约定内容一致，否则不计分。</w:t>
      </w:r>
    </w:p>
    <w:p w14:paraId="026FB9B2">
      <w:pPr>
        <w:pStyle w:val="45"/>
        <w:ind w:firstLine="420" w:firstLineChars="200"/>
        <w:outlineLvl w:val="9"/>
        <w:rPr>
          <w:rFonts w:hint="eastAsia" w:ascii="宋体" w:hAnsi="宋体" w:eastAsia="宋体" w:cs="宋体"/>
          <w:color w:val="auto"/>
          <w:highlight w:val="none"/>
          <w:lang w:val="zh-CN"/>
        </w:rPr>
      </w:pPr>
      <w:r>
        <w:rPr>
          <w:rFonts w:hint="eastAsia" w:ascii="宋体" w:hAnsi="宋体" w:eastAsia="宋体" w:cs="宋体"/>
          <w:color w:val="auto"/>
          <w:highlight w:val="none"/>
          <w:lang w:val="zh-CN"/>
        </w:rPr>
        <w:t>（3）发票合计金额视为投标人所提供该项服务业绩的服务金额，并按此金额进行评审。</w:t>
      </w:r>
    </w:p>
    <w:p w14:paraId="6BA7FDA3">
      <w:pPr>
        <w:pStyle w:val="45"/>
        <w:outlineLvl w:val="9"/>
        <w:rPr>
          <w:rFonts w:hint="eastAsia" w:ascii="宋体" w:hAnsi="宋体" w:eastAsia="宋体" w:cs="宋体"/>
          <w:color w:val="auto"/>
          <w:highlight w:val="none"/>
          <w:lang w:val="zh-CN"/>
        </w:rPr>
      </w:pPr>
    </w:p>
    <w:p w14:paraId="661130AA">
      <w:pPr>
        <w:autoSpaceDE w:val="0"/>
        <w:autoSpaceDN w:val="0"/>
        <w:adjustRightInd w:val="0"/>
        <w:spacing w:line="360" w:lineRule="auto"/>
        <w:ind w:firstLine="602"/>
        <w:outlineLvl w:val="9"/>
        <w:rPr>
          <w:rFonts w:hint="eastAsia" w:ascii="宋体" w:hAnsi="宋体" w:eastAsia="宋体" w:cs="宋体"/>
          <w:b/>
          <w:bCs/>
          <w:color w:val="auto"/>
          <w:sz w:val="30"/>
          <w:szCs w:val="30"/>
          <w:highlight w:val="none"/>
          <w:lang w:val="zh-CN"/>
        </w:rPr>
      </w:pPr>
    </w:p>
    <w:bookmarkEnd w:id="653"/>
    <w:bookmarkEnd w:id="654"/>
    <w:p w14:paraId="5FC17236">
      <w:pPr>
        <w:autoSpaceDE w:val="0"/>
        <w:autoSpaceDN w:val="0"/>
        <w:adjustRightInd w:val="0"/>
        <w:spacing w:line="360" w:lineRule="auto"/>
        <w:ind w:firstLine="5145" w:firstLineChars="2450"/>
        <w:outlineLvl w:val="9"/>
        <w:rPr>
          <w:rFonts w:hint="eastAsia" w:ascii="宋体" w:hAnsi="宋体" w:eastAsia="宋体" w:cs="宋体"/>
          <w:color w:val="auto"/>
          <w:szCs w:val="24"/>
          <w:highlight w:val="none"/>
          <w:lang w:val="zh-CN"/>
        </w:rPr>
      </w:pPr>
    </w:p>
    <w:p w14:paraId="02CCEB3E">
      <w:pPr>
        <w:spacing w:line="360" w:lineRule="auto"/>
        <w:outlineLvl w:val="9"/>
        <w:rPr>
          <w:rFonts w:hint="eastAsia" w:ascii="宋体" w:hAnsi="宋体" w:eastAsia="宋体" w:cs="宋体"/>
          <w:b/>
          <w:color w:val="auto"/>
          <w:kern w:val="0"/>
          <w:szCs w:val="21"/>
          <w:highlight w:val="none"/>
        </w:rPr>
      </w:pPr>
      <w:bookmarkStart w:id="656" w:name="_Toc533708134"/>
      <w:bookmarkStart w:id="657" w:name="_Toc486167721"/>
    </w:p>
    <w:p w14:paraId="3E90F2F6">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bookmarkStart w:id="658" w:name="_Toc142508379"/>
      <w:bookmarkStart w:id="659" w:name="_Toc102860428"/>
      <w:bookmarkStart w:id="660" w:name="_Toc24616"/>
      <w:bookmarkStart w:id="661" w:name="_Toc102860084"/>
      <w:bookmarkStart w:id="662" w:name="_Toc94107221"/>
      <w:bookmarkStart w:id="663" w:name="_Toc140596939"/>
      <w:bookmarkStart w:id="664" w:name="_Toc1977738"/>
      <w:bookmarkStart w:id="665" w:name="_Toc104991886"/>
    </w:p>
    <w:p w14:paraId="7ACD2CDB">
      <w:pPr>
        <w:tabs>
          <w:tab w:val="left" w:pos="567"/>
        </w:tabs>
        <w:autoSpaceDE w:val="0"/>
        <w:autoSpaceDN w:val="0"/>
        <w:adjustRightInd w:val="0"/>
        <w:spacing w:line="360" w:lineRule="auto"/>
        <w:ind w:left="357" w:leftChars="-100" w:hanging="567"/>
        <w:jc w:val="left"/>
        <w:outlineLvl w:val="9"/>
        <w:rPr>
          <w:rFonts w:hint="eastAsia" w:ascii="宋体" w:hAnsi="宋体" w:eastAsia="宋体" w:cs="宋体"/>
          <w:b/>
          <w:bCs/>
          <w:color w:val="auto"/>
          <w:kern w:val="0"/>
          <w:sz w:val="32"/>
          <w:szCs w:val="32"/>
          <w:highlight w:val="none"/>
          <w:lang w:val="zh-CN"/>
        </w:rPr>
      </w:pPr>
    </w:p>
    <w:p w14:paraId="7CC2ABE3">
      <w:pPr>
        <w:autoSpaceDE/>
        <w:autoSpaceDN/>
        <w:adjustRightInd/>
        <w:spacing w:line="240" w:lineRule="auto"/>
        <w:ind w:left="0" w:leftChars="0" w:firstLine="0"/>
        <w:jc w:val="left"/>
        <w:outlineLvl w:val="9"/>
        <w:rPr>
          <w:rFonts w:hint="eastAsia" w:ascii="宋体" w:hAnsi="宋体" w:eastAsia="宋体" w:cs="宋体"/>
          <w:b/>
          <w:bCs/>
          <w:color w:val="auto"/>
          <w:kern w:val="0"/>
          <w:sz w:val="32"/>
          <w:szCs w:val="32"/>
          <w:highlight w:val="none"/>
          <w:lang w:val="zh-CN"/>
        </w:rPr>
      </w:pPr>
      <w:bookmarkStart w:id="666" w:name="_Toc29652"/>
      <w:bookmarkStart w:id="667" w:name="_Toc2007"/>
      <w:r>
        <w:rPr>
          <w:rFonts w:hint="eastAsia" w:ascii="宋体" w:hAnsi="宋体" w:eastAsia="宋体" w:cs="宋体"/>
          <w:b/>
          <w:bCs/>
          <w:color w:val="auto"/>
          <w:kern w:val="0"/>
          <w:sz w:val="32"/>
          <w:szCs w:val="32"/>
          <w:highlight w:val="none"/>
          <w:lang w:val="zh-CN"/>
        </w:rPr>
        <w:br w:type="page"/>
      </w:r>
    </w:p>
    <w:p w14:paraId="33FCE514">
      <w:pPr>
        <w:tabs>
          <w:tab w:val="left" w:pos="567"/>
        </w:tabs>
        <w:spacing w:line="360" w:lineRule="auto"/>
        <w:ind w:left="593" w:hanging="803"/>
        <w:outlineLvl w:val="1"/>
        <w:rPr>
          <w:rFonts w:ascii="宋体" w:hAnsi="宋体" w:eastAsia="宋体" w:cs="宋体"/>
          <w:b/>
          <w:color w:val="auto"/>
          <w:sz w:val="32"/>
          <w:szCs w:val="32"/>
          <w:highlight w:val="none"/>
        </w:rPr>
      </w:pPr>
      <w:bookmarkStart w:id="668" w:name="_Toc85553401"/>
      <w:bookmarkStart w:id="669" w:name="_Toc3795"/>
      <w:bookmarkStart w:id="670" w:name="_Toc176453454"/>
      <w:bookmarkStart w:id="671" w:name="_Toc117668212"/>
      <w:bookmarkStart w:id="672" w:name="_Toc177203325"/>
      <w:r>
        <w:rPr>
          <w:rFonts w:hint="eastAsia" w:ascii="宋体" w:hAnsi="宋体" w:eastAsia="宋体" w:cs="宋体"/>
          <w:b/>
          <w:color w:val="auto"/>
          <w:sz w:val="32"/>
          <w:szCs w:val="32"/>
          <w:highlight w:val="none"/>
          <w:lang w:val="en-US" w:eastAsia="zh-CN"/>
        </w:rPr>
        <w:t>9</w:t>
      </w:r>
      <w:r>
        <w:rPr>
          <w:rFonts w:hint="eastAsia" w:ascii="宋体" w:hAnsi="宋体" w:eastAsia="宋体" w:cs="宋体"/>
          <w:b/>
          <w:color w:val="auto"/>
          <w:sz w:val="32"/>
          <w:szCs w:val="32"/>
          <w:highlight w:val="none"/>
        </w:rPr>
        <w:t>、</w:t>
      </w:r>
      <w:bookmarkEnd w:id="668"/>
      <w:bookmarkEnd w:id="669"/>
      <w:bookmarkEnd w:id="670"/>
      <w:bookmarkEnd w:id="671"/>
      <w:bookmarkEnd w:id="672"/>
      <w:r>
        <w:rPr>
          <w:rFonts w:hint="eastAsia" w:ascii="宋体" w:hAnsi="宋体" w:eastAsia="宋体" w:cs="宋体"/>
          <w:b/>
          <w:color w:val="auto"/>
          <w:sz w:val="32"/>
          <w:szCs w:val="32"/>
          <w:highlight w:val="none"/>
        </w:rPr>
        <w:t>中标服务费承诺书</w:t>
      </w:r>
    </w:p>
    <w:p w14:paraId="1D03473D">
      <w:pPr>
        <w:spacing w:line="360" w:lineRule="auto"/>
        <w:jc w:val="center"/>
        <w:rPr>
          <w:rFonts w:ascii="宋体" w:hAnsi="宋体" w:eastAsia="宋体" w:cs="宋体"/>
          <w:b/>
          <w:bCs/>
          <w:color w:val="auto"/>
          <w:sz w:val="30"/>
          <w:szCs w:val="30"/>
          <w:highlight w:val="none"/>
          <w:lang w:val="zh-CN"/>
        </w:rPr>
      </w:pPr>
      <w:r>
        <w:rPr>
          <w:rFonts w:hint="eastAsia" w:ascii="宋体" w:hAnsi="宋体" w:eastAsia="宋体" w:cs="宋体"/>
          <w:b/>
          <w:bCs/>
          <w:color w:val="auto"/>
          <w:sz w:val="30"/>
          <w:szCs w:val="30"/>
          <w:highlight w:val="none"/>
          <w:lang w:val="zh-CN"/>
        </w:rPr>
        <w:t>中标服务费承诺书</w:t>
      </w:r>
    </w:p>
    <w:p w14:paraId="50C574E1">
      <w:pPr>
        <w:spacing w:line="360" w:lineRule="auto"/>
        <w:rPr>
          <w:rFonts w:ascii="宋体" w:hAnsi="宋体" w:eastAsia="宋体" w:cs="宋体"/>
          <w:b/>
          <w:bCs/>
          <w:color w:val="auto"/>
          <w:highlight w:val="none"/>
          <w:lang w:val="zh-CN"/>
        </w:rPr>
      </w:pPr>
    </w:p>
    <w:p w14:paraId="02C7C19E">
      <w:pPr>
        <w:spacing w:line="360" w:lineRule="auto"/>
        <w:rPr>
          <w:rFonts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致：广州宏达工程顾问集团有限公司</w:t>
      </w:r>
    </w:p>
    <w:p w14:paraId="0334E3F0">
      <w:pPr>
        <w:spacing w:line="360" w:lineRule="auto"/>
        <w:ind w:right="893"/>
        <w:rPr>
          <w:rFonts w:ascii="宋体" w:hAnsi="宋体" w:eastAsia="宋体" w:cs="宋体"/>
          <w:color w:val="auto"/>
          <w:szCs w:val="21"/>
          <w:highlight w:val="none"/>
          <w:lang w:val="zh-CN"/>
        </w:rPr>
      </w:pPr>
    </w:p>
    <w:p w14:paraId="083ED0BA">
      <w:pPr>
        <w:tabs>
          <w:tab w:val="left" w:pos="-142"/>
        </w:tabs>
        <w:spacing w:line="360" w:lineRule="auto"/>
        <w:ind w:left="-31" w:leftChars="-15" w:right="18" w:firstLine="457" w:firstLineChars="218"/>
        <w:rPr>
          <w:rFonts w:ascii="宋体" w:hAnsi="宋体" w:eastAsia="宋体" w:cs="宋体"/>
          <w:color w:val="auto"/>
          <w:highlight w:val="none"/>
          <w:lang w:val="zh-CN"/>
        </w:rPr>
      </w:pPr>
      <w:r>
        <w:rPr>
          <w:rFonts w:hint="eastAsia" w:ascii="宋体" w:hAnsi="宋体" w:eastAsia="宋体" w:cs="宋体"/>
          <w:color w:val="auto"/>
          <w:highlight w:val="none"/>
          <w:lang w:val="zh-CN"/>
        </w:rPr>
        <w:t>在贵司代理的东莞市水务环境投资控股集团供水有限公司2026-2027年度清洁保洁、绿化养护、除“四害”及灭蚁防治服务采购项目</w:t>
      </w:r>
      <w:r>
        <w:rPr>
          <w:rFonts w:hint="eastAsia" w:ascii="宋体" w:hAnsi="宋体" w:eastAsia="宋体" w:cs="宋体"/>
          <w:color w:val="auto"/>
          <w:szCs w:val="21"/>
          <w:highlight w:val="none"/>
          <w:lang w:val="zh-CN"/>
        </w:rPr>
        <w:t>（招标编号：</w:t>
      </w:r>
      <w:r>
        <w:rPr>
          <w:rFonts w:hint="eastAsia" w:ascii="宋体" w:hAnsi="宋体" w:eastAsia="宋体" w:cs="宋体"/>
          <w:color w:val="auto"/>
          <w:szCs w:val="21"/>
          <w:highlight w:val="none"/>
        </w:rPr>
        <w:t xml:space="preserve">               </w:t>
      </w:r>
      <w:r>
        <w:rPr>
          <w:rFonts w:hint="eastAsia" w:ascii="宋体" w:hAnsi="宋体" w:eastAsia="宋体" w:cs="宋体"/>
          <w:color w:val="auto"/>
          <w:szCs w:val="21"/>
          <w:highlight w:val="none"/>
          <w:lang w:val="zh-CN"/>
        </w:rPr>
        <w:t>）</w:t>
      </w:r>
      <w:r>
        <w:rPr>
          <w:rFonts w:hint="eastAsia" w:ascii="宋体" w:hAnsi="宋体" w:eastAsia="宋体" w:cs="宋体"/>
          <w:color w:val="auto"/>
          <w:highlight w:val="none"/>
          <w:lang w:val="zh-CN"/>
        </w:rPr>
        <w:t>招标中，我司如获中标，保证在领取中标通知书原件之</w:t>
      </w:r>
      <w:r>
        <w:rPr>
          <w:rFonts w:hint="eastAsia" w:ascii="宋体" w:hAnsi="宋体" w:eastAsia="宋体" w:cs="宋体"/>
          <w:color w:val="auto"/>
          <w:highlight w:val="none"/>
        </w:rPr>
        <w:t>前</w:t>
      </w:r>
      <w:r>
        <w:rPr>
          <w:rFonts w:hint="eastAsia" w:ascii="宋体" w:hAnsi="宋体" w:eastAsia="宋体" w:cs="宋体"/>
          <w:color w:val="auto"/>
          <w:highlight w:val="none"/>
          <w:lang w:val="zh-CN"/>
        </w:rPr>
        <w:t>按招标文件的规定向贵</w:t>
      </w:r>
      <w:r>
        <w:rPr>
          <w:rFonts w:hint="eastAsia" w:ascii="宋体" w:hAnsi="宋体" w:eastAsia="宋体" w:cs="宋体"/>
          <w:color w:val="auto"/>
          <w:szCs w:val="21"/>
          <w:highlight w:val="none"/>
          <w:lang w:val="zh-CN"/>
        </w:rPr>
        <w:t>司即广州宏达工程顾问集团有限公司指定的银行账号，一次性交纳中标服务费</w:t>
      </w:r>
      <w:r>
        <w:rPr>
          <w:rFonts w:hint="eastAsia" w:ascii="宋体" w:hAnsi="宋体" w:eastAsia="宋体" w:cs="宋体"/>
          <w:color w:val="auto"/>
          <w:highlight w:val="none"/>
          <w:lang w:val="zh-CN"/>
        </w:rPr>
        <w:t>。</w:t>
      </w:r>
    </w:p>
    <w:p w14:paraId="79B3DC18">
      <w:pPr>
        <w:spacing w:line="360" w:lineRule="auto"/>
        <w:ind w:right="893"/>
        <w:rPr>
          <w:rFonts w:ascii="宋体" w:hAnsi="宋体" w:eastAsia="宋体" w:cs="宋体"/>
          <w:color w:val="auto"/>
          <w:szCs w:val="21"/>
          <w:highlight w:val="none"/>
          <w:lang w:val="zh-CN"/>
        </w:rPr>
      </w:pPr>
    </w:p>
    <w:p w14:paraId="79D7803E">
      <w:pPr>
        <w:spacing w:line="360" w:lineRule="auto"/>
        <w:ind w:right="893" w:firstLine="480"/>
        <w:rPr>
          <w:rFonts w:ascii="宋体" w:hAnsi="宋体" w:eastAsia="宋体" w:cs="宋体"/>
          <w:color w:val="auto"/>
          <w:highlight w:val="none"/>
          <w:lang w:val="zh-CN"/>
        </w:rPr>
      </w:pPr>
      <w:r>
        <w:rPr>
          <w:rFonts w:hint="eastAsia" w:ascii="宋体" w:hAnsi="宋体" w:eastAsia="宋体" w:cs="宋体"/>
          <w:color w:val="auto"/>
          <w:highlight w:val="none"/>
          <w:lang w:val="zh-CN"/>
        </w:rPr>
        <w:t>特此承诺。</w:t>
      </w:r>
    </w:p>
    <w:p w14:paraId="50C7DAF3">
      <w:pPr>
        <w:spacing w:line="360" w:lineRule="auto"/>
        <w:ind w:right="893"/>
        <w:rPr>
          <w:rFonts w:ascii="宋体" w:hAnsi="宋体" w:eastAsia="宋体" w:cs="宋体"/>
          <w:color w:val="auto"/>
          <w:highlight w:val="none"/>
          <w:lang w:val="zh-CN"/>
        </w:rPr>
      </w:pPr>
    </w:p>
    <w:p w14:paraId="14DDB959">
      <w:pPr>
        <w:spacing w:line="360" w:lineRule="auto"/>
        <w:ind w:right="893"/>
        <w:rPr>
          <w:rFonts w:ascii="宋体" w:hAnsi="宋体" w:eastAsia="宋体" w:cs="宋体"/>
          <w:color w:val="auto"/>
          <w:highlight w:val="none"/>
          <w:lang w:val="zh-CN"/>
        </w:rPr>
      </w:pPr>
      <w:r>
        <w:rPr>
          <w:rFonts w:hint="eastAsia" w:ascii="宋体" w:hAnsi="宋体" w:eastAsia="宋体" w:cs="宋体"/>
          <w:color w:val="auto"/>
          <w:highlight w:val="none"/>
          <w:lang w:val="zh-CN"/>
        </w:rPr>
        <w:t>地址：</w:t>
      </w:r>
      <w:r>
        <w:rPr>
          <w:rFonts w:hint="eastAsia" w:ascii="宋体" w:hAnsi="宋体" w:eastAsia="宋体" w:cs="宋体"/>
          <w:color w:val="auto"/>
          <w:highlight w:val="none"/>
          <w:u w:val="single"/>
          <w:lang w:val="zh-CN"/>
        </w:rPr>
        <w:t xml:space="preserve">                       </w:t>
      </w:r>
    </w:p>
    <w:p w14:paraId="030F3612">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电话：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传真： </w:t>
      </w:r>
      <w:r>
        <w:rPr>
          <w:rFonts w:hint="eastAsia" w:ascii="宋体" w:hAnsi="宋体" w:eastAsia="宋体" w:cs="宋体"/>
          <w:color w:val="auto"/>
          <w:highlight w:val="none"/>
          <w:u w:val="single"/>
          <w:lang w:val="zh-CN"/>
        </w:rPr>
        <w:t xml:space="preserve">                  </w:t>
      </w:r>
    </w:p>
    <w:p w14:paraId="126A87A7">
      <w:pPr>
        <w:spacing w:line="360" w:lineRule="auto"/>
        <w:ind w:right="893"/>
        <w:rPr>
          <w:rFonts w:ascii="宋体" w:hAnsi="宋体" w:eastAsia="宋体" w:cs="宋体"/>
          <w:color w:val="auto"/>
          <w:highlight w:val="none"/>
          <w:u w:val="single"/>
          <w:lang w:val="zh-CN"/>
        </w:rPr>
      </w:pPr>
      <w:r>
        <w:rPr>
          <w:rFonts w:hint="eastAsia" w:ascii="宋体" w:hAnsi="宋体" w:eastAsia="宋体" w:cs="宋体"/>
          <w:color w:val="auto"/>
          <w:highlight w:val="none"/>
          <w:lang w:val="zh-CN"/>
        </w:rPr>
        <w:t xml:space="preserve">邮箱： </w:t>
      </w:r>
      <w:r>
        <w:rPr>
          <w:rFonts w:hint="eastAsia" w:ascii="宋体" w:hAnsi="宋体" w:eastAsia="宋体" w:cs="宋体"/>
          <w:color w:val="auto"/>
          <w:highlight w:val="none"/>
          <w:u w:val="single"/>
          <w:lang w:val="zh-CN"/>
        </w:rPr>
        <w:t xml:space="preserve">                      </w:t>
      </w:r>
      <w:r>
        <w:rPr>
          <w:rFonts w:hint="eastAsia" w:ascii="宋体" w:hAnsi="宋体" w:eastAsia="宋体" w:cs="宋体"/>
          <w:color w:val="auto"/>
          <w:highlight w:val="none"/>
          <w:lang w:val="zh-CN"/>
        </w:rPr>
        <w:t xml:space="preserve">       邮编： </w:t>
      </w:r>
      <w:r>
        <w:rPr>
          <w:rFonts w:hint="eastAsia" w:ascii="宋体" w:hAnsi="宋体" w:eastAsia="宋体" w:cs="宋体"/>
          <w:color w:val="auto"/>
          <w:highlight w:val="none"/>
          <w:u w:val="single"/>
          <w:lang w:val="zh-CN"/>
        </w:rPr>
        <w:t xml:space="preserve">                  </w:t>
      </w:r>
    </w:p>
    <w:p w14:paraId="163B9AB7">
      <w:pPr>
        <w:spacing w:line="360" w:lineRule="auto"/>
        <w:ind w:right="893"/>
        <w:rPr>
          <w:rFonts w:ascii="宋体" w:hAnsi="宋体" w:eastAsia="宋体" w:cs="宋体"/>
          <w:color w:val="auto"/>
          <w:highlight w:val="none"/>
          <w:lang w:val="zh-CN"/>
        </w:rPr>
      </w:pPr>
    </w:p>
    <w:p w14:paraId="5FC12535">
      <w:pPr>
        <w:autoSpaceDE w:val="0"/>
        <w:autoSpaceDN w:val="0"/>
        <w:adjustRightInd w:val="0"/>
        <w:spacing w:line="360" w:lineRule="auto"/>
        <w:ind w:firstLine="3780" w:firstLineChars="1800"/>
        <w:rPr>
          <w:rFonts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2BE64E23">
      <w:pPr>
        <w:autoSpaceDE w:val="0"/>
        <w:autoSpaceDN w:val="0"/>
        <w:adjustRightInd w:val="0"/>
        <w:spacing w:line="360" w:lineRule="auto"/>
        <w:ind w:firstLine="3780" w:firstLineChars="1800"/>
        <w:rPr>
          <w:rFonts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3ED2F28C">
      <w:pPr>
        <w:autoSpaceDE w:val="0"/>
        <w:autoSpaceDN w:val="0"/>
        <w:adjustRightInd w:val="0"/>
        <w:spacing w:line="360" w:lineRule="auto"/>
        <w:jc w:val="center"/>
        <w:rPr>
          <w:rFonts w:ascii="宋体" w:hAnsi="宋体" w:eastAsia="宋体" w:cs="宋体"/>
          <w:b/>
          <w:bCs/>
          <w:color w:val="auto"/>
          <w:szCs w:val="24"/>
          <w:highlight w:val="none"/>
          <w:lang w:val="zh-CN"/>
        </w:rPr>
      </w:pPr>
    </w:p>
    <w:p w14:paraId="0209FBBA">
      <w:pPr>
        <w:autoSpaceDE w:val="0"/>
        <w:autoSpaceDN w:val="0"/>
        <w:adjustRightInd w:val="0"/>
        <w:spacing w:line="360" w:lineRule="auto"/>
        <w:jc w:val="center"/>
        <w:rPr>
          <w:rFonts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C9DF6F4">
      <w:pPr>
        <w:autoSpaceDE w:val="0"/>
        <w:autoSpaceDN w:val="0"/>
        <w:adjustRightInd w:val="0"/>
        <w:spacing w:line="360" w:lineRule="auto"/>
        <w:jc w:val="center"/>
        <w:rPr>
          <w:rFonts w:hint="eastAsia" w:ascii="宋体" w:hAnsi="宋体" w:eastAsia="宋体" w:cs="宋体"/>
          <w:color w:val="auto"/>
          <w:szCs w:val="24"/>
          <w:highlight w:val="none"/>
          <w:lang w:val="zh-CN"/>
        </w:rPr>
      </w:pPr>
    </w:p>
    <w:p w14:paraId="6A950219">
      <w:pPr>
        <w:rPr>
          <w:rFonts w:ascii="宋体" w:hAnsi="宋体" w:eastAsia="宋体" w:cs="宋体"/>
          <w:color w:val="auto"/>
          <w:highlight w:val="none"/>
          <w:lang w:val="zh-CN"/>
        </w:rPr>
      </w:pPr>
    </w:p>
    <w:p w14:paraId="292E73DE">
      <w:pPr>
        <w:autoSpaceDE/>
        <w:autoSpaceDN/>
        <w:adjustRightInd/>
        <w:spacing w:line="240" w:lineRule="auto"/>
        <w:jc w:val="left"/>
        <w:outlineLvl w:val="9"/>
        <w:rPr>
          <w:rFonts w:hint="eastAsia" w:ascii="宋体" w:hAnsi="宋体" w:eastAsia="宋体" w:cs="宋体"/>
          <w:b/>
          <w:bCs/>
          <w:color w:val="auto"/>
          <w:kern w:val="0"/>
          <w:sz w:val="32"/>
          <w:szCs w:val="32"/>
          <w:highlight w:val="none"/>
          <w:lang w:val="en-US" w:eastAsia="zh-CN"/>
        </w:rPr>
      </w:pPr>
    </w:p>
    <w:p w14:paraId="5DDF2F55">
      <w:pPr>
        <w:autoSpaceDE/>
        <w:autoSpaceDN/>
        <w:adjustRightInd/>
        <w:spacing w:line="240" w:lineRule="auto"/>
        <w:jc w:val="left"/>
        <w:outlineLvl w:val="9"/>
        <w:rPr>
          <w:rFonts w:hint="eastAsia" w:ascii="宋体" w:hAnsi="宋体" w:eastAsia="宋体" w:cs="宋体"/>
          <w:b/>
          <w:bCs/>
          <w:color w:val="auto"/>
          <w:kern w:val="0"/>
          <w:sz w:val="32"/>
          <w:szCs w:val="32"/>
          <w:highlight w:val="none"/>
          <w:lang w:val="en-US" w:eastAsia="zh-CN"/>
        </w:rPr>
      </w:pPr>
      <w:r>
        <w:rPr>
          <w:rFonts w:hint="eastAsia" w:ascii="宋体" w:hAnsi="宋体" w:eastAsia="宋体" w:cs="宋体"/>
          <w:b/>
          <w:bCs/>
          <w:color w:val="auto"/>
          <w:kern w:val="0"/>
          <w:sz w:val="32"/>
          <w:szCs w:val="32"/>
          <w:highlight w:val="none"/>
          <w:lang w:val="en-US" w:eastAsia="zh-CN"/>
        </w:rPr>
        <w:br w:type="page"/>
      </w:r>
    </w:p>
    <w:p w14:paraId="6D66612A">
      <w:pPr>
        <w:pageBreakBefore/>
        <w:tabs>
          <w:tab w:val="left" w:pos="567"/>
        </w:tabs>
        <w:autoSpaceDE w:val="0"/>
        <w:autoSpaceDN w:val="0"/>
        <w:adjustRightInd w:val="0"/>
        <w:spacing w:line="360" w:lineRule="auto"/>
        <w:ind w:left="-183" w:leftChars="-100" w:hanging="27"/>
        <w:jc w:val="left"/>
        <w:outlineLvl w:val="1"/>
        <w:rPr>
          <w:rFonts w:hint="eastAsia" w:ascii="宋体" w:hAnsi="宋体" w:eastAsia="宋体" w:cs="宋体"/>
          <w:b/>
          <w:color w:val="auto"/>
          <w:kern w:val="0"/>
          <w:sz w:val="32"/>
          <w:szCs w:val="32"/>
          <w:highlight w:val="none"/>
        </w:rPr>
        <w:sectPr>
          <w:pgSz w:w="12240" w:h="15840"/>
          <w:pgMar w:top="1191" w:right="1737" w:bottom="1191" w:left="1043" w:header="720" w:footer="720" w:gutter="0"/>
          <w:cols w:space="720" w:num="1"/>
          <w:titlePg/>
          <w:docGrid w:linePitch="326" w:charSpace="0"/>
        </w:sectPr>
      </w:pPr>
      <w:r>
        <w:rPr>
          <w:rFonts w:hint="eastAsia" w:ascii="宋体" w:hAnsi="宋体" w:eastAsia="宋体" w:cs="宋体"/>
          <w:b/>
          <w:bCs/>
          <w:color w:val="auto"/>
          <w:kern w:val="0"/>
          <w:sz w:val="32"/>
          <w:szCs w:val="32"/>
          <w:highlight w:val="none"/>
          <w:lang w:val="en-US" w:eastAsia="zh-CN"/>
        </w:rPr>
        <w:t>10、</w:t>
      </w:r>
      <w:r>
        <w:rPr>
          <w:rFonts w:hint="eastAsia" w:ascii="宋体" w:hAnsi="宋体" w:eastAsia="宋体" w:cs="宋体"/>
          <w:b/>
          <w:bCs/>
          <w:color w:val="auto"/>
          <w:kern w:val="0"/>
          <w:sz w:val="32"/>
          <w:szCs w:val="32"/>
          <w:highlight w:val="none"/>
          <w:lang w:val="zh-CN"/>
        </w:rPr>
        <w:t>投标人资格证明文件以外的其他资质证书、知识产权证书及获得的相关获奖、认证证书、社会评价资料证明文件扫描件等投标人认为有需要证明其具备为本次招标项目提供服务能力的有关其它商务文件（不做强制要求）</w:t>
      </w:r>
      <w:bookmarkEnd w:id="658"/>
      <w:bookmarkEnd w:id="659"/>
      <w:bookmarkEnd w:id="660"/>
      <w:bookmarkEnd w:id="661"/>
      <w:bookmarkEnd w:id="662"/>
      <w:bookmarkEnd w:id="663"/>
      <w:bookmarkEnd w:id="664"/>
      <w:bookmarkEnd w:id="665"/>
      <w:bookmarkEnd w:id="666"/>
      <w:bookmarkEnd w:id="667"/>
    </w:p>
    <w:p w14:paraId="3420226C">
      <w:pPr>
        <w:jc w:val="center"/>
        <w:outlineLvl w:val="1"/>
        <w:rPr>
          <w:rFonts w:hint="eastAsia" w:ascii="宋体" w:hAnsi="宋体" w:eastAsia="宋体" w:cs="宋体"/>
          <w:b/>
          <w:color w:val="auto"/>
          <w:kern w:val="0"/>
          <w:sz w:val="32"/>
          <w:szCs w:val="32"/>
          <w:highlight w:val="none"/>
        </w:rPr>
      </w:pPr>
      <w:bookmarkStart w:id="673" w:name="_Toc32650"/>
      <w:bookmarkStart w:id="674" w:name="_Toc13776"/>
      <w:bookmarkStart w:id="675" w:name="_Toc14997"/>
      <w:bookmarkStart w:id="676" w:name="_Toc4972"/>
      <w:bookmarkStart w:id="677" w:name="_Toc27993"/>
      <w:bookmarkStart w:id="678" w:name="_Toc195714399"/>
      <w:bookmarkStart w:id="679" w:name="_Toc142508380"/>
      <w:bookmarkStart w:id="680" w:name="_Toc104991887"/>
      <w:bookmarkStart w:id="681" w:name="_Toc102860429"/>
      <w:bookmarkStart w:id="682" w:name="_Toc27482"/>
      <w:bookmarkStart w:id="683" w:name="_Toc18038"/>
      <w:bookmarkStart w:id="684" w:name="_Toc102860085"/>
      <w:bookmarkStart w:id="685" w:name="_Toc31916"/>
      <w:bookmarkStart w:id="686" w:name="_Toc1977739"/>
      <w:bookmarkStart w:id="687" w:name="_Toc94107222"/>
      <w:bookmarkStart w:id="688" w:name="_Toc140596940"/>
      <w:r>
        <w:rPr>
          <w:rFonts w:hint="eastAsia" w:ascii="宋体" w:hAnsi="宋体" w:eastAsia="宋体" w:cs="宋体"/>
          <w:b/>
          <w:color w:val="auto"/>
          <w:kern w:val="0"/>
          <w:sz w:val="32"/>
          <w:szCs w:val="32"/>
          <w:highlight w:val="none"/>
        </w:rPr>
        <w:t>二  技术标格式</w:t>
      </w:r>
      <w:bookmarkEnd w:id="673"/>
      <w:bookmarkEnd w:id="674"/>
      <w:bookmarkEnd w:id="675"/>
      <w:bookmarkEnd w:id="676"/>
      <w:bookmarkEnd w:id="677"/>
      <w:bookmarkEnd w:id="678"/>
    </w:p>
    <w:bookmarkEnd w:id="656"/>
    <w:bookmarkEnd w:id="679"/>
    <w:bookmarkEnd w:id="680"/>
    <w:bookmarkEnd w:id="681"/>
    <w:bookmarkEnd w:id="682"/>
    <w:bookmarkEnd w:id="683"/>
    <w:bookmarkEnd w:id="684"/>
    <w:bookmarkEnd w:id="685"/>
    <w:bookmarkEnd w:id="686"/>
    <w:bookmarkEnd w:id="687"/>
    <w:bookmarkEnd w:id="688"/>
    <w:p w14:paraId="54A98F9F">
      <w:pPr>
        <w:pStyle w:val="19"/>
        <w:spacing w:line="360" w:lineRule="auto"/>
        <w:jc w:val="center"/>
        <w:outlineLvl w:val="9"/>
        <w:rPr>
          <w:rFonts w:hint="eastAsia" w:ascii="宋体" w:hAnsi="宋体" w:eastAsia="宋体" w:cs="宋体"/>
          <w:b/>
          <w:color w:val="auto"/>
          <w:kern w:val="0"/>
          <w:szCs w:val="21"/>
          <w:highlight w:val="none"/>
        </w:rPr>
      </w:pPr>
      <w:r>
        <w:rPr>
          <w:rFonts w:hint="eastAsia" w:ascii="宋体" w:hAnsi="宋体" w:eastAsia="宋体" w:cs="宋体"/>
          <w:b/>
          <w:color w:val="auto"/>
          <w:kern w:val="0"/>
          <w:szCs w:val="21"/>
          <w:highlight w:val="none"/>
        </w:rPr>
        <w:br w:type="page"/>
      </w:r>
      <w:bookmarkEnd w:id="657"/>
      <w:bookmarkStart w:id="689" w:name="_Toc533708135"/>
      <w:bookmarkStart w:id="690" w:name="_Toc142508381"/>
      <w:bookmarkStart w:id="691" w:name="_Toc102860086"/>
      <w:bookmarkStart w:id="692" w:name="_Toc140596941"/>
      <w:bookmarkStart w:id="693" w:name="_Toc1977740"/>
      <w:bookmarkStart w:id="694" w:name="_Toc102860430"/>
      <w:bookmarkStart w:id="695" w:name="_Toc104991888"/>
      <w:bookmarkStart w:id="696" w:name="_Toc94107223"/>
    </w:p>
    <w:p w14:paraId="6B0F3BFA">
      <w:pPr>
        <w:pStyle w:val="19"/>
        <w:spacing w:line="360" w:lineRule="auto"/>
        <w:jc w:val="center"/>
        <w:outlineLvl w:val="9"/>
        <w:rPr>
          <w:rFonts w:hint="eastAsia" w:ascii="宋体" w:hAnsi="宋体" w:eastAsia="宋体" w:cs="宋体"/>
          <w:b/>
          <w:color w:val="auto"/>
          <w:kern w:val="0"/>
          <w:szCs w:val="21"/>
          <w:highlight w:val="none"/>
        </w:rPr>
      </w:pPr>
    </w:p>
    <w:p w14:paraId="5C0390E1">
      <w:pPr>
        <w:pStyle w:val="19"/>
        <w:spacing w:line="360" w:lineRule="auto"/>
        <w:jc w:val="center"/>
        <w:outlineLvl w:val="9"/>
        <w:rPr>
          <w:rFonts w:hint="eastAsia" w:ascii="宋体" w:hAnsi="宋体" w:eastAsia="宋体" w:cs="宋体"/>
          <w:b/>
          <w:color w:val="auto"/>
          <w:kern w:val="0"/>
          <w:szCs w:val="21"/>
          <w:highlight w:val="none"/>
        </w:rPr>
      </w:pPr>
    </w:p>
    <w:p w14:paraId="517B800F">
      <w:pPr>
        <w:pStyle w:val="19"/>
        <w:spacing w:line="360" w:lineRule="auto"/>
        <w:jc w:val="center"/>
        <w:outlineLvl w:val="9"/>
        <w:rPr>
          <w:rFonts w:hint="eastAsia" w:ascii="宋体" w:hAnsi="宋体" w:eastAsia="宋体" w:cs="宋体"/>
          <w:b/>
          <w:color w:val="auto"/>
          <w:kern w:val="0"/>
          <w:szCs w:val="21"/>
          <w:highlight w:val="none"/>
        </w:rPr>
      </w:pPr>
    </w:p>
    <w:p w14:paraId="36E1CA71">
      <w:pPr>
        <w:pStyle w:val="19"/>
        <w:spacing w:line="360" w:lineRule="auto"/>
        <w:jc w:val="center"/>
        <w:outlineLvl w:val="9"/>
        <w:rPr>
          <w:rFonts w:hint="eastAsia" w:ascii="宋体" w:hAnsi="宋体" w:eastAsia="宋体" w:cs="宋体"/>
          <w:b/>
          <w:color w:val="auto"/>
          <w:kern w:val="0"/>
          <w:szCs w:val="21"/>
          <w:highlight w:val="none"/>
        </w:rPr>
      </w:pPr>
    </w:p>
    <w:p w14:paraId="717A1862">
      <w:pPr>
        <w:pStyle w:val="19"/>
        <w:spacing w:line="360" w:lineRule="auto"/>
        <w:jc w:val="center"/>
        <w:outlineLvl w:val="9"/>
        <w:rPr>
          <w:rFonts w:hint="eastAsia" w:ascii="宋体" w:hAnsi="宋体" w:eastAsia="宋体" w:cs="宋体"/>
          <w:b/>
          <w:color w:val="auto"/>
          <w:kern w:val="0"/>
          <w:szCs w:val="21"/>
          <w:highlight w:val="none"/>
        </w:rPr>
      </w:pPr>
    </w:p>
    <w:p w14:paraId="2267A69E">
      <w:pPr>
        <w:pStyle w:val="19"/>
        <w:spacing w:line="360" w:lineRule="auto"/>
        <w:jc w:val="center"/>
        <w:outlineLvl w:val="9"/>
        <w:rPr>
          <w:rFonts w:hint="eastAsia" w:ascii="宋体" w:hAnsi="宋体" w:eastAsia="宋体" w:cs="宋体"/>
          <w:b/>
          <w:color w:val="auto"/>
          <w:kern w:val="0"/>
          <w:szCs w:val="21"/>
          <w:highlight w:val="none"/>
        </w:rPr>
      </w:pPr>
    </w:p>
    <w:p w14:paraId="0AB12DA1">
      <w:pPr>
        <w:pStyle w:val="19"/>
        <w:spacing w:line="360" w:lineRule="auto"/>
        <w:jc w:val="center"/>
        <w:outlineLvl w:val="9"/>
        <w:rPr>
          <w:rFonts w:hint="eastAsia" w:ascii="宋体" w:hAnsi="宋体" w:eastAsia="宋体" w:cs="宋体"/>
          <w:b/>
          <w:color w:val="auto"/>
          <w:kern w:val="0"/>
          <w:szCs w:val="21"/>
          <w:highlight w:val="none"/>
        </w:rPr>
      </w:pPr>
    </w:p>
    <w:p w14:paraId="0A40481F">
      <w:pPr>
        <w:pStyle w:val="19"/>
        <w:spacing w:line="360" w:lineRule="auto"/>
        <w:jc w:val="center"/>
        <w:outlineLvl w:val="9"/>
        <w:rPr>
          <w:rFonts w:hint="eastAsia" w:ascii="宋体" w:hAnsi="宋体" w:eastAsia="宋体" w:cs="宋体"/>
          <w:b/>
          <w:color w:val="auto"/>
          <w:kern w:val="0"/>
          <w:szCs w:val="21"/>
          <w:highlight w:val="none"/>
        </w:rPr>
      </w:pPr>
    </w:p>
    <w:p w14:paraId="01700E8E">
      <w:pPr>
        <w:pStyle w:val="19"/>
        <w:spacing w:line="360" w:lineRule="auto"/>
        <w:jc w:val="center"/>
        <w:outlineLvl w:val="9"/>
        <w:rPr>
          <w:rFonts w:hint="eastAsia" w:ascii="宋体" w:hAnsi="宋体" w:eastAsia="宋体" w:cs="宋体"/>
          <w:color w:val="auto"/>
          <w:sz w:val="84"/>
          <w:highlight w:val="none"/>
        </w:rPr>
      </w:pPr>
      <w:r>
        <w:rPr>
          <w:rFonts w:hint="eastAsia" w:ascii="宋体" w:hAnsi="宋体" w:eastAsia="宋体" w:cs="宋体"/>
          <w:color w:val="auto"/>
          <w:sz w:val="84"/>
          <w:highlight w:val="none"/>
        </w:rPr>
        <w:t>投 标 文 件</w:t>
      </w:r>
    </w:p>
    <w:p w14:paraId="6AD15BB2">
      <w:pPr>
        <w:pStyle w:val="19"/>
        <w:spacing w:line="360" w:lineRule="auto"/>
        <w:outlineLvl w:val="9"/>
        <w:rPr>
          <w:rFonts w:hint="eastAsia" w:ascii="宋体" w:hAnsi="宋体" w:eastAsia="宋体" w:cs="宋体"/>
          <w:color w:val="auto"/>
          <w:highlight w:val="none"/>
        </w:rPr>
      </w:pPr>
    </w:p>
    <w:p w14:paraId="42901951">
      <w:pPr>
        <w:pStyle w:val="19"/>
        <w:spacing w:line="360" w:lineRule="auto"/>
        <w:outlineLvl w:val="9"/>
        <w:rPr>
          <w:rFonts w:hint="eastAsia" w:ascii="宋体" w:hAnsi="宋体" w:eastAsia="宋体" w:cs="宋体"/>
          <w:color w:val="auto"/>
          <w:highlight w:val="none"/>
        </w:rPr>
      </w:pPr>
    </w:p>
    <w:p w14:paraId="5ABCFB9E">
      <w:pPr>
        <w:pStyle w:val="19"/>
        <w:spacing w:line="360" w:lineRule="auto"/>
        <w:outlineLvl w:val="9"/>
        <w:rPr>
          <w:rFonts w:hint="eastAsia" w:ascii="宋体" w:hAnsi="宋体" w:eastAsia="宋体" w:cs="宋体"/>
          <w:color w:val="auto"/>
          <w:highlight w:val="none"/>
        </w:rPr>
      </w:pPr>
    </w:p>
    <w:p w14:paraId="3DF9F63F">
      <w:pPr>
        <w:pStyle w:val="19"/>
        <w:spacing w:line="360" w:lineRule="auto"/>
        <w:outlineLvl w:val="9"/>
        <w:rPr>
          <w:rFonts w:hint="eastAsia" w:ascii="宋体" w:hAnsi="宋体" w:eastAsia="宋体" w:cs="宋体"/>
          <w:color w:val="auto"/>
          <w:highlight w:val="none"/>
        </w:rPr>
      </w:pPr>
    </w:p>
    <w:p w14:paraId="7BCFD6D7">
      <w:pPr>
        <w:pStyle w:val="19"/>
        <w:spacing w:line="360" w:lineRule="auto"/>
        <w:outlineLvl w:val="9"/>
        <w:rPr>
          <w:rFonts w:hint="eastAsia" w:ascii="宋体" w:hAnsi="宋体" w:eastAsia="宋体" w:cs="宋体"/>
          <w:color w:val="auto"/>
          <w:highlight w:val="none"/>
        </w:rPr>
      </w:pPr>
    </w:p>
    <w:p w14:paraId="452E6A25">
      <w:pPr>
        <w:pStyle w:val="19"/>
        <w:spacing w:line="360" w:lineRule="auto"/>
        <w:outlineLvl w:val="9"/>
        <w:rPr>
          <w:rFonts w:hint="eastAsia" w:ascii="宋体" w:hAnsi="宋体" w:eastAsia="宋体" w:cs="宋体"/>
          <w:color w:val="auto"/>
          <w:highlight w:val="none"/>
        </w:rPr>
      </w:pPr>
    </w:p>
    <w:p w14:paraId="5CE71B2A">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招标编号：</w:t>
      </w:r>
      <w:r>
        <w:rPr>
          <w:rFonts w:hint="eastAsia" w:ascii="宋体" w:hAnsi="宋体" w:eastAsia="宋体" w:cs="宋体"/>
          <w:color w:val="auto"/>
          <w:sz w:val="30"/>
          <w:highlight w:val="none"/>
          <w:u w:val="single"/>
        </w:rPr>
        <w:t xml:space="preserve">                      </w:t>
      </w:r>
    </w:p>
    <w:p w14:paraId="1C2278A6">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项目名称：</w:t>
      </w:r>
      <w:r>
        <w:rPr>
          <w:rFonts w:hint="eastAsia" w:ascii="宋体" w:hAnsi="宋体" w:eastAsia="宋体" w:cs="宋体"/>
          <w:color w:val="auto"/>
          <w:sz w:val="30"/>
          <w:highlight w:val="none"/>
          <w:u w:val="single"/>
        </w:rPr>
        <w:t xml:space="preserve">                      </w:t>
      </w:r>
    </w:p>
    <w:p w14:paraId="2CDF277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投标文件内容：</w:t>
      </w:r>
      <w:r>
        <w:rPr>
          <w:rFonts w:hint="eastAsia" w:ascii="宋体" w:hAnsi="宋体" w:eastAsia="宋体" w:cs="宋体"/>
          <w:color w:val="auto"/>
          <w:sz w:val="30"/>
          <w:highlight w:val="none"/>
          <w:u w:val="single"/>
        </w:rPr>
        <w:t xml:space="preserve"> 投标文件技术标 </w:t>
      </w:r>
    </w:p>
    <w:p w14:paraId="13CBA21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招标人：</w:t>
      </w:r>
      <w:r>
        <w:rPr>
          <w:rFonts w:hint="eastAsia" w:ascii="宋体" w:hAnsi="宋体" w:eastAsia="宋体" w:cs="宋体"/>
          <w:color w:val="auto"/>
          <w:sz w:val="30"/>
          <w:highlight w:val="none"/>
          <w:u w:val="single"/>
        </w:rPr>
        <w:t xml:space="preserve">                        </w:t>
      </w:r>
    </w:p>
    <w:p w14:paraId="7CBB4272">
      <w:pPr>
        <w:pStyle w:val="19"/>
        <w:spacing w:line="360" w:lineRule="auto"/>
        <w:ind w:firstLine="1875" w:firstLineChars="625"/>
        <w:rPr>
          <w:rFonts w:hint="eastAsia" w:ascii="宋体" w:hAnsi="宋体" w:eastAsia="宋体" w:cs="宋体"/>
          <w:color w:val="auto"/>
          <w:sz w:val="30"/>
          <w:highlight w:val="none"/>
          <w:u w:val="single"/>
        </w:rPr>
      </w:pPr>
      <w:r>
        <w:rPr>
          <w:rFonts w:hint="eastAsia" w:ascii="宋体" w:hAnsi="宋体" w:eastAsia="宋体" w:cs="宋体"/>
          <w:color w:val="auto"/>
          <w:sz w:val="30"/>
          <w:highlight w:val="none"/>
        </w:rPr>
        <w:t>投标人：</w:t>
      </w:r>
      <w:r>
        <w:rPr>
          <w:rFonts w:hint="eastAsia" w:ascii="宋体" w:hAnsi="宋体" w:eastAsia="宋体" w:cs="宋体"/>
          <w:color w:val="auto"/>
          <w:sz w:val="30"/>
          <w:highlight w:val="none"/>
          <w:u w:val="single"/>
        </w:rPr>
        <w:t xml:space="preserve">    （企业数字证书电子签名）   </w:t>
      </w:r>
    </w:p>
    <w:p w14:paraId="4B8D6E6B">
      <w:pPr>
        <w:pStyle w:val="19"/>
        <w:spacing w:line="360" w:lineRule="auto"/>
        <w:ind w:firstLine="1875" w:firstLineChars="625"/>
        <w:rPr>
          <w:rFonts w:hint="eastAsia" w:ascii="宋体" w:hAnsi="宋体" w:eastAsia="宋体" w:cs="宋体"/>
          <w:color w:val="auto"/>
          <w:sz w:val="30"/>
          <w:highlight w:val="none"/>
        </w:rPr>
      </w:pPr>
      <w:r>
        <w:rPr>
          <w:rFonts w:hint="eastAsia" w:ascii="宋体" w:hAnsi="宋体" w:eastAsia="宋体" w:cs="宋体"/>
          <w:color w:val="auto"/>
          <w:sz w:val="30"/>
          <w:highlight w:val="none"/>
        </w:rPr>
        <w:t>日  期：</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年</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月</w:t>
      </w:r>
      <w:r>
        <w:rPr>
          <w:rFonts w:hint="eastAsia" w:ascii="宋体" w:hAnsi="宋体" w:eastAsia="宋体" w:cs="宋体"/>
          <w:color w:val="auto"/>
          <w:sz w:val="30"/>
          <w:highlight w:val="none"/>
          <w:u w:val="single"/>
        </w:rPr>
        <w:t xml:space="preserve">    </w:t>
      </w:r>
      <w:r>
        <w:rPr>
          <w:rFonts w:hint="eastAsia" w:ascii="宋体" w:hAnsi="宋体" w:eastAsia="宋体" w:cs="宋体"/>
          <w:color w:val="auto"/>
          <w:sz w:val="30"/>
          <w:highlight w:val="none"/>
        </w:rPr>
        <w:t>日</w:t>
      </w:r>
    </w:p>
    <w:p w14:paraId="75468DA8">
      <w:pPr>
        <w:pStyle w:val="19"/>
        <w:spacing w:line="360" w:lineRule="auto"/>
        <w:outlineLvl w:val="9"/>
        <w:rPr>
          <w:rFonts w:hint="eastAsia" w:ascii="宋体" w:hAnsi="宋体" w:eastAsia="宋体" w:cs="宋体"/>
          <w:color w:val="auto"/>
          <w:highlight w:val="none"/>
        </w:rPr>
      </w:pPr>
    </w:p>
    <w:p w14:paraId="637F9F1F">
      <w:pPr>
        <w:pStyle w:val="19"/>
        <w:spacing w:line="360" w:lineRule="auto"/>
        <w:outlineLvl w:val="9"/>
        <w:rPr>
          <w:rFonts w:hint="eastAsia" w:ascii="宋体" w:hAnsi="宋体" w:eastAsia="宋体" w:cs="宋体"/>
          <w:color w:val="auto"/>
          <w:highlight w:val="none"/>
        </w:rPr>
      </w:pPr>
      <w:r>
        <w:rPr>
          <w:rFonts w:hint="eastAsia" w:ascii="宋体" w:hAnsi="宋体" w:eastAsia="宋体" w:cs="宋体"/>
          <w:color w:val="auto"/>
          <w:highlight w:val="none"/>
        </w:rPr>
        <w:br w:type="page"/>
      </w:r>
    </w:p>
    <w:p w14:paraId="56B10C46">
      <w:pPr>
        <w:tabs>
          <w:tab w:val="left" w:pos="567"/>
        </w:tabs>
        <w:autoSpaceDE w:val="0"/>
        <w:autoSpaceDN w:val="0"/>
        <w:adjustRightInd w:val="0"/>
        <w:spacing w:line="360" w:lineRule="auto"/>
        <w:ind w:left="357" w:leftChars="-100" w:hanging="567"/>
        <w:jc w:val="center"/>
        <w:outlineLvl w:val="1"/>
        <w:rPr>
          <w:rFonts w:hint="eastAsia" w:ascii="宋体" w:hAnsi="宋体" w:eastAsia="宋体" w:cs="宋体"/>
          <w:b/>
          <w:color w:val="auto"/>
          <w:kern w:val="0"/>
          <w:sz w:val="24"/>
          <w:szCs w:val="24"/>
          <w:highlight w:val="none"/>
        </w:rPr>
      </w:pPr>
      <w:bookmarkStart w:id="697" w:name="_Toc31565"/>
      <w:bookmarkStart w:id="698" w:name="_Toc8004"/>
      <w:bookmarkStart w:id="699" w:name="_Toc23902"/>
      <w:bookmarkStart w:id="700" w:name="_Toc14054"/>
      <w:bookmarkStart w:id="701" w:name="_Toc195714400"/>
      <w:bookmarkStart w:id="702" w:name="_Toc11390"/>
      <w:r>
        <w:rPr>
          <w:rFonts w:hint="eastAsia" w:ascii="宋体" w:hAnsi="宋体" w:eastAsia="宋体" w:cs="宋体"/>
          <w:b/>
          <w:color w:val="auto"/>
          <w:kern w:val="0"/>
          <w:sz w:val="24"/>
          <w:szCs w:val="24"/>
          <w:highlight w:val="none"/>
        </w:rPr>
        <w:t>目录</w:t>
      </w:r>
      <w:bookmarkEnd w:id="697"/>
      <w:bookmarkEnd w:id="698"/>
      <w:bookmarkEnd w:id="699"/>
      <w:bookmarkEnd w:id="700"/>
      <w:bookmarkEnd w:id="701"/>
      <w:bookmarkEnd w:id="702"/>
    </w:p>
    <w:p w14:paraId="2B7CFAC3">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rPr>
        <w:t>1、用户需求书响应程度（即用户需求偏离表）；</w:t>
      </w:r>
    </w:p>
    <w:p w14:paraId="78FA2DD8">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2、</w:t>
      </w:r>
      <w:r>
        <w:rPr>
          <w:rFonts w:hint="eastAsia" w:ascii="宋体" w:hAnsi="宋体" w:eastAsia="宋体" w:cs="宋体"/>
          <w:b/>
          <w:bCs/>
          <w:color w:val="auto"/>
          <w:kern w:val="0"/>
          <w:szCs w:val="21"/>
          <w:highlight w:val="none"/>
        </w:rPr>
        <w:t>拟投入的设备情况；</w:t>
      </w:r>
    </w:p>
    <w:p w14:paraId="7516D53B">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3、</w:t>
      </w:r>
      <w:r>
        <w:rPr>
          <w:rFonts w:hint="eastAsia" w:ascii="宋体" w:hAnsi="宋体" w:eastAsia="宋体" w:cs="宋体"/>
          <w:b/>
          <w:bCs/>
          <w:color w:val="auto"/>
          <w:kern w:val="0"/>
          <w:szCs w:val="21"/>
          <w:highlight w:val="none"/>
        </w:rPr>
        <w:t>投标人服务团队实力；</w:t>
      </w:r>
    </w:p>
    <w:p w14:paraId="6D333C9D">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4、</w:t>
      </w:r>
      <w:r>
        <w:rPr>
          <w:rFonts w:hint="eastAsia" w:ascii="宋体" w:hAnsi="宋体" w:eastAsia="宋体" w:cs="宋体"/>
          <w:b/>
          <w:bCs/>
          <w:color w:val="auto"/>
          <w:kern w:val="0"/>
          <w:szCs w:val="21"/>
          <w:highlight w:val="none"/>
        </w:rPr>
        <w:t>清洁管理方案；</w:t>
      </w:r>
    </w:p>
    <w:p w14:paraId="4325999F">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5、</w:t>
      </w:r>
      <w:r>
        <w:rPr>
          <w:rFonts w:hint="eastAsia" w:ascii="宋体" w:hAnsi="宋体" w:eastAsia="宋体" w:cs="宋体"/>
          <w:b/>
          <w:bCs/>
          <w:color w:val="auto"/>
          <w:kern w:val="0"/>
          <w:szCs w:val="21"/>
          <w:highlight w:val="none"/>
        </w:rPr>
        <w:t>绿化管理方案；</w:t>
      </w:r>
    </w:p>
    <w:p w14:paraId="767E6FB1">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6、</w:t>
      </w:r>
      <w:r>
        <w:rPr>
          <w:rFonts w:hint="eastAsia" w:ascii="宋体" w:hAnsi="宋体" w:eastAsia="宋体" w:cs="宋体"/>
          <w:b/>
          <w:bCs/>
          <w:color w:val="auto"/>
          <w:kern w:val="0"/>
          <w:szCs w:val="21"/>
          <w:highlight w:val="none"/>
        </w:rPr>
        <w:t>除四害及白蚁防治管理方案；</w:t>
      </w:r>
    </w:p>
    <w:p w14:paraId="425C8B7A">
      <w:pPr>
        <w:spacing w:line="360" w:lineRule="auto"/>
        <w:ind w:left="444" w:leftChars="77" w:hanging="282" w:hangingChars="134"/>
        <w:outlineLvl w:val="9"/>
        <w:rPr>
          <w:rFonts w:hint="eastAsia" w:ascii="宋体" w:hAnsi="宋体" w:eastAsia="宋体" w:cs="宋体"/>
          <w:b/>
          <w:bCs/>
          <w:color w:val="auto"/>
          <w:kern w:val="0"/>
          <w:sz w:val="21"/>
          <w:szCs w:val="21"/>
          <w:highlight w:val="none"/>
          <w:lang w:val="en-US"/>
        </w:rPr>
      </w:pPr>
      <w:r>
        <w:rPr>
          <w:rFonts w:hint="eastAsia" w:ascii="宋体" w:hAnsi="宋体" w:eastAsia="宋体" w:cs="宋体"/>
          <w:b/>
          <w:bCs/>
          <w:color w:val="auto"/>
          <w:kern w:val="0"/>
          <w:sz w:val="21"/>
          <w:szCs w:val="21"/>
          <w:highlight w:val="none"/>
          <w:lang w:val="en-US" w:eastAsia="zh-CN"/>
        </w:rPr>
        <w:t>7、增值服务方案</w:t>
      </w:r>
      <w:r>
        <w:rPr>
          <w:rFonts w:hint="eastAsia" w:ascii="宋体" w:hAnsi="宋体" w:eastAsia="宋体" w:cs="宋体"/>
          <w:b/>
          <w:bCs/>
          <w:color w:val="auto"/>
          <w:kern w:val="0"/>
          <w:sz w:val="21"/>
          <w:szCs w:val="21"/>
          <w:highlight w:val="none"/>
          <w:lang w:val="en-US"/>
        </w:rPr>
        <w:t>；</w:t>
      </w:r>
    </w:p>
    <w:p w14:paraId="5658BD33">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8、</w:t>
      </w:r>
      <w:r>
        <w:rPr>
          <w:rFonts w:hint="eastAsia" w:ascii="宋体" w:hAnsi="宋体" w:eastAsia="宋体" w:cs="宋体"/>
          <w:b/>
          <w:bCs/>
          <w:color w:val="auto"/>
          <w:kern w:val="0"/>
          <w:szCs w:val="21"/>
          <w:highlight w:val="none"/>
        </w:rPr>
        <w:t>安全作业</w:t>
      </w:r>
      <w:r>
        <w:rPr>
          <w:rFonts w:hint="eastAsia" w:ascii="宋体" w:hAnsi="宋体" w:eastAsia="宋体" w:cs="宋体"/>
          <w:b/>
          <w:bCs/>
          <w:color w:val="auto"/>
          <w:kern w:val="0"/>
          <w:szCs w:val="21"/>
          <w:highlight w:val="none"/>
          <w:lang w:val="en-US" w:eastAsia="zh-CN"/>
        </w:rPr>
        <w:t>及</w:t>
      </w:r>
      <w:r>
        <w:rPr>
          <w:rFonts w:hint="eastAsia" w:ascii="宋体" w:hAnsi="宋体" w:eastAsia="宋体" w:cs="宋体"/>
          <w:b/>
          <w:bCs/>
          <w:color w:val="auto"/>
          <w:kern w:val="0"/>
          <w:szCs w:val="21"/>
          <w:highlight w:val="none"/>
        </w:rPr>
        <w:t>应急</w:t>
      </w:r>
      <w:r>
        <w:rPr>
          <w:rFonts w:hint="eastAsia" w:ascii="宋体" w:hAnsi="宋体" w:eastAsia="宋体" w:cs="宋体"/>
          <w:b/>
          <w:bCs/>
          <w:color w:val="auto"/>
          <w:kern w:val="0"/>
          <w:szCs w:val="21"/>
          <w:highlight w:val="none"/>
          <w:lang w:val="en-US" w:eastAsia="zh-CN"/>
        </w:rPr>
        <w:t>预案</w:t>
      </w:r>
      <w:r>
        <w:rPr>
          <w:rFonts w:hint="eastAsia" w:ascii="宋体" w:hAnsi="宋体" w:eastAsia="宋体" w:cs="宋体"/>
          <w:b/>
          <w:bCs/>
          <w:color w:val="auto"/>
          <w:kern w:val="0"/>
          <w:szCs w:val="21"/>
          <w:highlight w:val="none"/>
        </w:rPr>
        <w:t>；</w:t>
      </w:r>
    </w:p>
    <w:p w14:paraId="21DFBA40">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9、</w:t>
      </w:r>
      <w:r>
        <w:rPr>
          <w:rFonts w:hint="eastAsia" w:ascii="宋体" w:hAnsi="宋体" w:eastAsia="宋体" w:cs="宋体"/>
          <w:b/>
          <w:bCs/>
          <w:color w:val="auto"/>
          <w:kern w:val="0"/>
          <w:szCs w:val="21"/>
          <w:highlight w:val="none"/>
        </w:rPr>
        <w:t>服务承诺书；</w:t>
      </w:r>
    </w:p>
    <w:p w14:paraId="6FB200D2">
      <w:pPr>
        <w:spacing w:line="360" w:lineRule="auto"/>
        <w:ind w:left="444" w:leftChars="77" w:hanging="282" w:hangingChars="134"/>
        <w:outlineLvl w:val="9"/>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en-US" w:eastAsia="zh-CN"/>
        </w:rPr>
        <w:t>10</w:t>
      </w:r>
      <w:r>
        <w:rPr>
          <w:rFonts w:hint="eastAsia" w:ascii="宋体" w:hAnsi="宋体" w:eastAsia="宋体" w:cs="宋体"/>
          <w:b/>
          <w:bCs/>
          <w:color w:val="auto"/>
          <w:kern w:val="0"/>
          <w:szCs w:val="21"/>
          <w:highlight w:val="none"/>
        </w:rPr>
        <w:t>、投标人认为有必要提供的其它材料（不做强制要求）。</w:t>
      </w:r>
    </w:p>
    <w:p w14:paraId="45723A04">
      <w:pPr>
        <w:spacing w:line="360" w:lineRule="auto"/>
        <w:ind w:left="444" w:leftChars="77" w:hanging="282" w:hangingChars="134"/>
        <w:outlineLvl w:val="9"/>
        <w:rPr>
          <w:rFonts w:hint="eastAsia" w:ascii="宋体" w:hAnsi="宋体" w:eastAsia="宋体" w:cs="宋体"/>
          <w:b/>
          <w:bCs/>
          <w:color w:val="auto"/>
          <w:kern w:val="0"/>
          <w:szCs w:val="21"/>
          <w:highlight w:val="none"/>
          <w:lang w:val="en-US" w:eastAsia="zh-CN"/>
        </w:rPr>
      </w:pPr>
    </w:p>
    <w:p w14:paraId="4465FC1E">
      <w:pPr>
        <w:outlineLvl w:val="9"/>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rPr>
        <w:br w:type="page"/>
      </w:r>
    </w:p>
    <w:p w14:paraId="20C6421C">
      <w:pPr>
        <w:tabs>
          <w:tab w:val="left" w:pos="567"/>
        </w:tabs>
        <w:autoSpaceDE w:val="0"/>
        <w:autoSpaceDN w:val="0"/>
        <w:adjustRightInd w:val="0"/>
        <w:spacing w:line="360" w:lineRule="auto"/>
        <w:jc w:val="left"/>
        <w:outlineLvl w:val="1"/>
        <w:rPr>
          <w:rFonts w:hint="eastAsia" w:ascii="宋体" w:hAnsi="宋体" w:eastAsia="宋体" w:cs="宋体"/>
          <w:b/>
          <w:color w:val="auto"/>
          <w:kern w:val="0"/>
          <w:sz w:val="30"/>
          <w:szCs w:val="30"/>
          <w:highlight w:val="none"/>
        </w:rPr>
      </w:pPr>
      <w:bookmarkStart w:id="703" w:name="_Toc18999"/>
      <w:bookmarkStart w:id="704" w:name="_Toc27934"/>
      <w:bookmarkStart w:id="705" w:name="_Toc30448"/>
      <w:r>
        <w:rPr>
          <w:rFonts w:hint="eastAsia" w:ascii="宋体" w:hAnsi="宋体" w:eastAsia="宋体" w:cs="宋体"/>
          <w:b/>
          <w:color w:val="auto"/>
          <w:kern w:val="0"/>
          <w:sz w:val="30"/>
          <w:szCs w:val="30"/>
          <w:highlight w:val="none"/>
          <w:lang w:val="en-US" w:eastAsia="zh-CN"/>
        </w:rPr>
        <w:t>1、</w:t>
      </w:r>
      <w:r>
        <w:rPr>
          <w:rFonts w:hint="eastAsia" w:ascii="宋体" w:hAnsi="宋体" w:eastAsia="宋体" w:cs="宋体"/>
          <w:b/>
          <w:color w:val="auto"/>
          <w:kern w:val="0"/>
          <w:sz w:val="30"/>
          <w:szCs w:val="30"/>
          <w:highlight w:val="none"/>
        </w:rPr>
        <w:t>用户需求偏离表格式</w:t>
      </w:r>
      <w:bookmarkEnd w:id="689"/>
      <w:bookmarkEnd w:id="690"/>
      <w:bookmarkEnd w:id="691"/>
      <w:bookmarkEnd w:id="692"/>
      <w:bookmarkEnd w:id="693"/>
      <w:bookmarkEnd w:id="694"/>
      <w:bookmarkEnd w:id="695"/>
      <w:bookmarkEnd w:id="696"/>
      <w:bookmarkEnd w:id="703"/>
      <w:bookmarkEnd w:id="704"/>
      <w:bookmarkEnd w:id="705"/>
    </w:p>
    <w:p w14:paraId="053C0A95">
      <w:pPr>
        <w:spacing w:before="120" w:after="120" w:line="360" w:lineRule="auto"/>
        <w:jc w:val="center"/>
        <w:outlineLvl w:val="9"/>
        <w:rPr>
          <w:rFonts w:hint="eastAsia" w:ascii="宋体" w:hAnsi="宋体" w:eastAsia="宋体" w:cs="宋体"/>
          <w:color w:val="auto"/>
          <w:kern w:val="0"/>
          <w:szCs w:val="21"/>
          <w:highlight w:val="none"/>
        </w:rPr>
      </w:pPr>
      <w:bookmarkStart w:id="706" w:name="_Toc17449_WPSOffice_Level3"/>
      <w:r>
        <w:rPr>
          <w:rFonts w:hint="eastAsia" w:ascii="宋体" w:hAnsi="宋体" w:eastAsia="宋体" w:cs="宋体"/>
          <w:b/>
          <w:color w:val="auto"/>
          <w:kern w:val="0"/>
          <w:sz w:val="30"/>
          <w:szCs w:val="30"/>
          <w:highlight w:val="none"/>
          <w:lang w:val="zh-CN"/>
        </w:rPr>
        <w:t>用户需求偏离表</w:t>
      </w:r>
      <w:bookmarkEnd w:id="706"/>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39"/>
        <w:gridCol w:w="881"/>
        <w:gridCol w:w="5989"/>
        <w:gridCol w:w="672"/>
        <w:gridCol w:w="811"/>
        <w:gridCol w:w="784"/>
      </w:tblGrid>
      <w:tr w14:paraId="136317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9" w:type="pct"/>
            <w:vMerge w:val="restart"/>
            <w:vAlign w:val="center"/>
          </w:tcPr>
          <w:p w14:paraId="09A8F79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序号</w:t>
            </w:r>
          </w:p>
        </w:tc>
        <w:tc>
          <w:tcPr>
            <w:tcW w:w="3550" w:type="pct"/>
            <w:gridSpan w:val="2"/>
            <w:vAlign w:val="center"/>
          </w:tcPr>
          <w:p w14:paraId="298C3378">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招标文件要求</w:t>
            </w:r>
          </w:p>
        </w:tc>
        <w:tc>
          <w:tcPr>
            <w:tcW w:w="1170" w:type="pct"/>
            <w:gridSpan w:val="3"/>
            <w:vAlign w:val="center"/>
          </w:tcPr>
          <w:p w14:paraId="1BD6DBE4">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投标文件内容</w:t>
            </w:r>
          </w:p>
        </w:tc>
      </w:tr>
      <w:tr w14:paraId="072BD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0" w:hRule="atLeast"/>
          <w:jc w:val="center"/>
        </w:trPr>
        <w:tc>
          <w:tcPr>
            <w:tcW w:w="279" w:type="pct"/>
            <w:vMerge w:val="continue"/>
            <w:vAlign w:val="center"/>
          </w:tcPr>
          <w:p w14:paraId="67CC5A57">
            <w:pPr>
              <w:keepNext/>
              <w:keepLines/>
              <w:spacing w:line="400" w:lineRule="exact"/>
              <w:jc w:val="center"/>
              <w:outlineLvl w:val="9"/>
              <w:rPr>
                <w:rFonts w:hint="eastAsia" w:ascii="宋体" w:hAnsi="宋体" w:eastAsia="宋体" w:cs="宋体"/>
                <w:color w:val="auto"/>
                <w:kern w:val="0"/>
                <w:sz w:val="21"/>
                <w:szCs w:val="21"/>
                <w:highlight w:val="none"/>
              </w:rPr>
            </w:pPr>
          </w:p>
        </w:tc>
        <w:tc>
          <w:tcPr>
            <w:tcW w:w="455" w:type="pct"/>
            <w:vAlign w:val="center"/>
          </w:tcPr>
          <w:p w14:paraId="2671D019">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条款号</w:t>
            </w:r>
          </w:p>
        </w:tc>
        <w:tc>
          <w:tcPr>
            <w:tcW w:w="3094" w:type="pct"/>
            <w:vAlign w:val="center"/>
          </w:tcPr>
          <w:p w14:paraId="25AC3093">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简要内容</w:t>
            </w:r>
          </w:p>
        </w:tc>
        <w:tc>
          <w:tcPr>
            <w:tcW w:w="347" w:type="pct"/>
            <w:vAlign w:val="center"/>
          </w:tcPr>
          <w:p w14:paraId="05C82B06">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偏离情况</w:t>
            </w:r>
          </w:p>
        </w:tc>
        <w:tc>
          <w:tcPr>
            <w:tcW w:w="419" w:type="pct"/>
            <w:vAlign w:val="center"/>
          </w:tcPr>
          <w:p w14:paraId="26EDC347">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实质性响应的具体内容</w:t>
            </w:r>
          </w:p>
        </w:tc>
        <w:tc>
          <w:tcPr>
            <w:tcW w:w="404" w:type="pct"/>
            <w:vAlign w:val="center"/>
          </w:tcPr>
          <w:p w14:paraId="05ADF16B">
            <w:pPr>
              <w:spacing w:line="400" w:lineRule="exact"/>
              <w:jc w:val="center"/>
              <w:outlineLvl w:val="9"/>
              <w:rPr>
                <w:rFonts w:hint="eastAsia" w:ascii="宋体" w:hAnsi="宋体" w:eastAsia="宋体" w:cs="宋体"/>
                <w:color w:val="auto"/>
                <w:kern w:val="0"/>
                <w:sz w:val="21"/>
                <w:szCs w:val="21"/>
                <w:highlight w:val="none"/>
              </w:rPr>
            </w:pPr>
            <w:r>
              <w:rPr>
                <w:rFonts w:hint="eastAsia" w:ascii="宋体" w:hAnsi="宋体" w:eastAsia="宋体" w:cs="宋体"/>
                <w:color w:val="auto"/>
                <w:kern w:val="0"/>
                <w:sz w:val="21"/>
                <w:szCs w:val="21"/>
                <w:highlight w:val="none"/>
              </w:rPr>
              <w:t>对应证明材料页码</w:t>
            </w:r>
          </w:p>
        </w:tc>
      </w:tr>
      <w:tr w14:paraId="03673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2B5F9C64">
            <w:pPr>
              <w:spacing w:line="400" w:lineRule="exact"/>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1</w:t>
            </w:r>
          </w:p>
        </w:tc>
        <w:tc>
          <w:tcPr>
            <w:tcW w:w="455" w:type="pct"/>
            <w:shd w:val="clear" w:color="auto" w:fill="auto"/>
            <w:vAlign w:val="center"/>
          </w:tcPr>
          <w:p w14:paraId="0A427352">
            <w:pPr>
              <w:spacing w:line="40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二</w:t>
            </w:r>
          </w:p>
        </w:tc>
        <w:tc>
          <w:tcPr>
            <w:tcW w:w="3094" w:type="pct"/>
            <w:shd w:val="clear" w:color="auto" w:fill="auto"/>
            <w:vAlign w:val="center"/>
          </w:tcPr>
          <w:p w14:paraId="0D1B4CEC">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采购内容</w:t>
            </w:r>
          </w:p>
        </w:tc>
        <w:tc>
          <w:tcPr>
            <w:tcW w:w="347" w:type="pct"/>
            <w:vAlign w:val="center"/>
          </w:tcPr>
          <w:p w14:paraId="4FF28BA1">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560A5B4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4" w:type="pct"/>
            <w:vAlign w:val="center"/>
          </w:tcPr>
          <w:p w14:paraId="7DBB7455">
            <w:pPr>
              <w:keepNext/>
              <w:keepLines/>
              <w:spacing w:line="400" w:lineRule="exact"/>
              <w:jc w:val="center"/>
              <w:outlineLvl w:val="9"/>
              <w:rPr>
                <w:rFonts w:hint="eastAsia" w:ascii="宋体" w:hAnsi="宋体" w:eastAsia="宋体" w:cs="宋体"/>
                <w:color w:val="auto"/>
                <w:kern w:val="0"/>
                <w:sz w:val="21"/>
                <w:szCs w:val="21"/>
                <w:highlight w:val="none"/>
              </w:rPr>
            </w:pPr>
          </w:p>
        </w:tc>
      </w:tr>
      <w:tr w14:paraId="3FDF6C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042479EC">
            <w:pPr>
              <w:spacing w:line="400" w:lineRule="exact"/>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2</w:t>
            </w:r>
          </w:p>
        </w:tc>
        <w:tc>
          <w:tcPr>
            <w:tcW w:w="455" w:type="pct"/>
            <w:shd w:val="clear" w:color="auto" w:fill="auto"/>
            <w:vAlign w:val="center"/>
          </w:tcPr>
          <w:p w14:paraId="0224C09C">
            <w:pPr>
              <w:spacing w:line="40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四</w:t>
            </w:r>
          </w:p>
        </w:tc>
        <w:tc>
          <w:tcPr>
            <w:tcW w:w="3094" w:type="pct"/>
            <w:shd w:val="clear" w:color="auto" w:fill="auto"/>
            <w:vAlign w:val="center"/>
          </w:tcPr>
          <w:p w14:paraId="3A4CAE44">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投标报价与服务费支付</w:t>
            </w:r>
          </w:p>
        </w:tc>
        <w:tc>
          <w:tcPr>
            <w:tcW w:w="347" w:type="pct"/>
            <w:vAlign w:val="center"/>
          </w:tcPr>
          <w:p w14:paraId="15407B8F">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33680C0E">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4" w:type="pct"/>
            <w:vAlign w:val="center"/>
          </w:tcPr>
          <w:p w14:paraId="4B42B840">
            <w:pPr>
              <w:keepNext/>
              <w:keepLines/>
              <w:spacing w:line="400" w:lineRule="exact"/>
              <w:jc w:val="center"/>
              <w:outlineLvl w:val="9"/>
              <w:rPr>
                <w:rFonts w:hint="eastAsia" w:ascii="宋体" w:hAnsi="宋体" w:eastAsia="宋体" w:cs="宋体"/>
                <w:color w:val="auto"/>
                <w:kern w:val="0"/>
                <w:sz w:val="21"/>
                <w:szCs w:val="21"/>
                <w:highlight w:val="none"/>
              </w:rPr>
            </w:pPr>
          </w:p>
        </w:tc>
      </w:tr>
      <w:tr w14:paraId="48FF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5934874E">
            <w:pPr>
              <w:spacing w:line="400" w:lineRule="exact"/>
              <w:jc w:val="center"/>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color w:val="auto"/>
                <w:kern w:val="0"/>
                <w:sz w:val="21"/>
                <w:szCs w:val="21"/>
                <w:highlight w:val="none"/>
                <w:lang w:val="en-US" w:eastAsia="zh-CN"/>
              </w:rPr>
              <w:t>3</w:t>
            </w:r>
          </w:p>
        </w:tc>
        <w:tc>
          <w:tcPr>
            <w:tcW w:w="455" w:type="pct"/>
            <w:shd w:val="clear" w:color="auto" w:fill="auto"/>
            <w:vAlign w:val="center"/>
          </w:tcPr>
          <w:p w14:paraId="3CCCBA81">
            <w:pPr>
              <w:spacing w:line="400" w:lineRule="exact"/>
              <w:jc w:val="center"/>
              <w:rPr>
                <w:rFonts w:hint="default"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五</w:t>
            </w:r>
          </w:p>
        </w:tc>
        <w:tc>
          <w:tcPr>
            <w:tcW w:w="3094" w:type="pct"/>
            <w:shd w:val="clear" w:color="auto" w:fill="auto"/>
            <w:vAlign w:val="center"/>
          </w:tcPr>
          <w:p w14:paraId="2362AEAE">
            <w:pPr>
              <w:spacing w:line="400" w:lineRule="exact"/>
              <w:jc w:val="left"/>
              <w:rPr>
                <w:rFonts w:hint="eastAsia" w:ascii="宋体" w:hAnsi="宋体" w:eastAsia="宋体" w:cs="宋体"/>
                <w:b w:val="0"/>
                <w:bCs w:val="0"/>
                <w:color w:val="auto"/>
                <w:kern w:val="2"/>
                <w:sz w:val="21"/>
                <w:szCs w:val="21"/>
                <w:highlight w:val="none"/>
                <w:lang w:val="en-US" w:eastAsia="zh-CN" w:bidi="ar-SA"/>
              </w:rPr>
            </w:pPr>
            <w:r>
              <w:rPr>
                <w:rFonts w:hint="eastAsia" w:ascii="宋体" w:hAnsi="宋体" w:eastAsia="宋体" w:cs="宋体"/>
                <w:b w:val="0"/>
                <w:bCs w:val="0"/>
                <w:color w:val="auto"/>
                <w:kern w:val="2"/>
                <w:sz w:val="21"/>
                <w:szCs w:val="21"/>
                <w:highlight w:val="none"/>
                <w:lang w:val="en-US" w:eastAsia="zh-CN" w:bidi="ar-SA"/>
              </w:rPr>
              <w:t>工作要求</w:t>
            </w:r>
          </w:p>
        </w:tc>
        <w:tc>
          <w:tcPr>
            <w:tcW w:w="347" w:type="pct"/>
            <w:vAlign w:val="center"/>
          </w:tcPr>
          <w:p w14:paraId="0EA6881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3448590B">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4" w:type="pct"/>
            <w:vAlign w:val="center"/>
          </w:tcPr>
          <w:p w14:paraId="241A9D7C">
            <w:pPr>
              <w:keepNext/>
              <w:keepLines/>
              <w:spacing w:line="400" w:lineRule="exact"/>
              <w:jc w:val="center"/>
              <w:outlineLvl w:val="9"/>
              <w:rPr>
                <w:rFonts w:hint="eastAsia" w:ascii="宋体" w:hAnsi="宋体" w:eastAsia="宋体" w:cs="宋体"/>
                <w:color w:val="auto"/>
                <w:kern w:val="0"/>
                <w:sz w:val="21"/>
                <w:szCs w:val="21"/>
                <w:highlight w:val="none"/>
              </w:rPr>
            </w:pPr>
          </w:p>
        </w:tc>
      </w:tr>
      <w:tr w14:paraId="1A222C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7115152F">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5" w:type="pct"/>
            <w:shd w:val="clear" w:color="auto" w:fill="auto"/>
            <w:vAlign w:val="center"/>
          </w:tcPr>
          <w:p w14:paraId="658F876F">
            <w:pPr>
              <w:spacing w:line="400" w:lineRule="exact"/>
              <w:jc w:val="center"/>
              <w:rPr>
                <w:rFonts w:hint="eastAsia"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六</w:t>
            </w:r>
          </w:p>
        </w:tc>
        <w:tc>
          <w:tcPr>
            <w:tcW w:w="3094" w:type="pct"/>
            <w:shd w:val="clear" w:color="auto" w:fill="auto"/>
            <w:vAlign w:val="center"/>
          </w:tcPr>
          <w:p w14:paraId="06F86F79">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人员配置要求</w:t>
            </w:r>
          </w:p>
        </w:tc>
        <w:tc>
          <w:tcPr>
            <w:tcW w:w="347" w:type="pct"/>
            <w:vAlign w:val="center"/>
          </w:tcPr>
          <w:p w14:paraId="1CDA6A0D">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5DE6D342">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4" w:type="pct"/>
            <w:vAlign w:val="center"/>
          </w:tcPr>
          <w:p w14:paraId="1755D8A2">
            <w:pPr>
              <w:keepNext/>
              <w:keepLines/>
              <w:spacing w:line="400" w:lineRule="exact"/>
              <w:jc w:val="center"/>
              <w:outlineLvl w:val="9"/>
              <w:rPr>
                <w:rFonts w:hint="eastAsia" w:ascii="宋体" w:hAnsi="宋体" w:eastAsia="宋体" w:cs="宋体"/>
                <w:color w:val="auto"/>
                <w:kern w:val="0"/>
                <w:sz w:val="21"/>
                <w:szCs w:val="21"/>
                <w:highlight w:val="none"/>
              </w:rPr>
            </w:pPr>
          </w:p>
        </w:tc>
      </w:tr>
      <w:tr w14:paraId="5BF21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42C9E40B">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5</w:t>
            </w:r>
          </w:p>
        </w:tc>
        <w:tc>
          <w:tcPr>
            <w:tcW w:w="455" w:type="pct"/>
            <w:shd w:val="clear" w:color="auto" w:fill="auto"/>
            <w:vAlign w:val="center"/>
          </w:tcPr>
          <w:p w14:paraId="5371BA44">
            <w:pPr>
              <w:spacing w:line="400" w:lineRule="exact"/>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七</w:t>
            </w:r>
          </w:p>
        </w:tc>
        <w:tc>
          <w:tcPr>
            <w:tcW w:w="3094" w:type="pct"/>
            <w:shd w:val="clear" w:color="auto" w:fill="auto"/>
            <w:vAlign w:val="center"/>
          </w:tcPr>
          <w:p w14:paraId="6A2D586A">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其他要求</w:t>
            </w:r>
          </w:p>
        </w:tc>
        <w:tc>
          <w:tcPr>
            <w:tcW w:w="347" w:type="pct"/>
            <w:vAlign w:val="center"/>
          </w:tcPr>
          <w:p w14:paraId="1B325CBB">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4244B688">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4" w:type="pct"/>
            <w:vAlign w:val="center"/>
          </w:tcPr>
          <w:p w14:paraId="3C53ED99">
            <w:pPr>
              <w:keepNext/>
              <w:keepLines/>
              <w:spacing w:line="400" w:lineRule="exact"/>
              <w:jc w:val="center"/>
              <w:outlineLvl w:val="9"/>
              <w:rPr>
                <w:rFonts w:hint="eastAsia" w:ascii="宋体" w:hAnsi="宋体" w:eastAsia="宋体" w:cs="宋体"/>
                <w:color w:val="auto"/>
                <w:kern w:val="0"/>
                <w:sz w:val="21"/>
                <w:szCs w:val="21"/>
                <w:highlight w:val="none"/>
              </w:rPr>
            </w:pPr>
          </w:p>
        </w:tc>
      </w:tr>
      <w:tr w14:paraId="0B1C6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69995A49">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6</w:t>
            </w:r>
          </w:p>
        </w:tc>
        <w:tc>
          <w:tcPr>
            <w:tcW w:w="455" w:type="pct"/>
            <w:shd w:val="clear" w:color="auto" w:fill="auto"/>
            <w:vAlign w:val="center"/>
          </w:tcPr>
          <w:p w14:paraId="7B7FD7CC">
            <w:pPr>
              <w:spacing w:line="400" w:lineRule="exact"/>
              <w:jc w:val="center"/>
              <w:rPr>
                <w:rFonts w:hint="default" w:ascii="宋体" w:hAnsi="宋体" w:eastAsia="宋体" w:cs="宋体"/>
                <w:b w:val="0"/>
                <w:bCs w:val="0"/>
                <w:color w:val="auto"/>
                <w:szCs w:val="21"/>
                <w:highlight w:val="none"/>
                <w:lang w:val="en-US" w:eastAsia="zh-CN"/>
              </w:rPr>
            </w:pPr>
            <w:r>
              <w:rPr>
                <w:rFonts w:hint="eastAsia" w:ascii="宋体" w:hAnsi="宋体" w:eastAsia="宋体" w:cs="宋体"/>
                <w:b w:val="0"/>
                <w:bCs w:val="0"/>
                <w:color w:val="auto"/>
                <w:szCs w:val="21"/>
                <w:highlight w:val="none"/>
                <w:lang w:val="en-US" w:eastAsia="zh-CN"/>
              </w:rPr>
              <w:t>附件1</w:t>
            </w:r>
          </w:p>
        </w:tc>
        <w:tc>
          <w:tcPr>
            <w:tcW w:w="3094" w:type="pct"/>
            <w:shd w:val="clear" w:color="auto" w:fill="auto"/>
            <w:vAlign w:val="center"/>
          </w:tcPr>
          <w:p w14:paraId="4740CCA5">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东莞市水务环境投资控股集团供水有限公司2026-2027年度清洁保洁、绿化养护、除“四害”及灭蚁防治服务采购项目采购需求及采购费用表（另附）</w:t>
            </w:r>
          </w:p>
        </w:tc>
        <w:tc>
          <w:tcPr>
            <w:tcW w:w="347" w:type="pct"/>
            <w:vAlign w:val="center"/>
          </w:tcPr>
          <w:p w14:paraId="4908A00B">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134796D1">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4" w:type="pct"/>
            <w:vAlign w:val="center"/>
          </w:tcPr>
          <w:p w14:paraId="39B793AB">
            <w:pPr>
              <w:keepNext/>
              <w:keepLines/>
              <w:spacing w:line="400" w:lineRule="exact"/>
              <w:jc w:val="center"/>
              <w:outlineLvl w:val="9"/>
              <w:rPr>
                <w:rFonts w:hint="eastAsia" w:ascii="宋体" w:hAnsi="宋体" w:eastAsia="宋体" w:cs="宋体"/>
                <w:color w:val="auto"/>
                <w:kern w:val="0"/>
                <w:sz w:val="21"/>
                <w:szCs w:val="21"/>
                <w:highlight w:val="none"/>
              </w:rPr>
            </w:pPr>
          </w:p>
        </w:tc>
      </w:tr>
      <w:tr w14:paraId="7C7DA5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6953384C">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7</w:t>
            </w:r>
          </w:p>
        </w:tc>
        <w:tc>
          <w:tcPr>
            <w:tcW w:w="455" w:type="pct"/>
            <w:shd w:val="clear" w:color="auto" w:fill="auto"/>
            <w:vAlign w:val="center"/>
          </w:tcPr>
          <w:p w14:paraId="28BCC377">
            <w:pPr>
              <w:spacing w:line="400" w:lineRule="exact"/>
              <w:jc w:val="center"/>
              <w:rPr>
                <w:rFonts w:hint="default"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lang w:val="en-US" w:eastAsia="zh-CN"/>
              </w:rPr>
              <w:t>附件2</w:t>
            </w:r>
          </w:p>
        </w:tc>
        <w:tc>
          <w:tcPr>
            <w:tcW w:w="3094" w:type="pct"/>
            <w:shd w:val="clear" w:color="auto" w:fill="auto"/>
            <w:vAlign w:val="center"/>
          </w:tcPr>
          <w:p w14:paraId="7E9423FA">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《东莞市水务环境投资控股集团供水有限公司清洁保洁、绿化养护、除“四害”及灭蚁防治考核评分标准》及相关表格</w:t>
            </w:r>
          </w:p>
        </w:tc>
        <w:tc>
          <w:tcPr>
            <w:tcW w:w="347" w:type="pct"/>
            <w:vAlign w:val="center"/>
          </w:tcPr>
          <w:p w14:paraId="46A3167F">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02BD1F1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4" w:type="pct"/>
            <w:vAlign w:val="center"/>
          </w:tcPr>
          <w:p w14:paraId="785B8AB7">
            <w:pPr>
              <w:keepNext/>
              <w:keepLines/>
              <w:spacing w:line="400" w:lineRule="exact"/>
              <w:jc w:val="center"/>
              <w:outlineLvl w:val="9"/>
              <w:rPr>
                <w:rFonts w:hint="eastAsia" w:ascii="宋体" w:hAnsi="宋体" w:eastAsia="宋体" w:cs="宋体"/>
                <w:color w:val="auto"/>
                <w:kern w:val="0"/>
                <w:sz w:val="21"/>
                <w:szCs w:val="21"/>
                <w:highlight w:val="none"/>
              </w:rPr>
            </w:pPr>
          </w:p>
        </w:tc>
      </w:tr>
      <w:tr w14:paraId="710D2A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42B664AA">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8</w:t>
            </w:r>
          </w:p>
        </w:tc>
        <w:tc>
          <w:tcPr>
            <w:tcW w:w="455" w:type="pct"/>
            <w:shd w:val="clear" w:color="auto" w:fill="auto"/>
            <w:vAlign w:val="center"/>
          </w:tcPr>
          <w:p w14:paraId="2116C5E0">
            <w:pPr>
              <w:spacing w:line="400" w:lineRule="exact"/>
              <w:jc w:val="center"/>
              <w:rPr>
                <w:rFonts w:hint="default" w:ascii="宋体" w:hAnsi="宋体" w:eastAsia="宋体" w:cs="宋体"/>
                <w:b w:val="0"/>
                <w:bCs w:val="0"/>
                <w:color w:val="auto"/>
                <w:szCs w:val="21"/>
                <w:highlight w:val="none"/>
                <w:lang w:val="en-US"/>
              </w:rPr>
            </w:pPr>
            <w:r>
              <w:rPr>
                <w:rFonts w:hint="eastAsia" w:ascii="宋体" w:hAnsi="宋体" w:eastAsia="宋体" w:cs="宋体"/>
                <w:b w:val="0"/>
                <w:bCs w:val="0"/>
                <w:color w:val="auto"/>
                <w:szCs w:val="21"/>
                <w:highlight w:val="none"/>
                <w:lang w:val="en-US" w:eastAsia="zh-CN"/>
              </w:rPr>
              <w:t>附件3</w:t>
            </w:r>
          </w:p>
        </w:tc>
        <w:tc>
          <w:tcPr>
            <w:tcW w:w="3094" w:type="pct"/>
            <w:shd w:val="clear" w:color="auto" w:fill="auto"/>
            <w:vAlign w:val="center"/>
          </w:tcPr>
          <w:p w14:paraId="0BFD07DA">
            <w:pPr>
              <w:spacing w:line="400" w:lineRule="exact"/>
              <w:jc w:val="left"/>
              <w:rPr>
                <w:rFonts w:hint="eastAsia" w:ascii="宋体" w:hAnsi="宋体" w:eastAsia="宋体" w:cs="宋体"/>
                <w:b w:val="0"/>
                <w:bCs w:val="0"/>
                <w:color w:val="auto"/>
                <w:szCs w:val="21"/>
                <w:highlight w:val="none"/>
              </w:rPr>
            </w:pPr>
            <w:r>
              <w:rPr>
                <w:rFonts w:hint="eastAsia" w:ascii="宋体" w:hAnsi="宋体" w:eastAsia="宋体" w:cs="宋体"/>
                <w:b w:val="0"/>
                <w:bCs w:val="0"/>
                <w:color w:val="auto"/>
                <w:szCs w:val="21"/>
                <w:highlight w:val="none"/>
              </w:rPr>
              <w:t>清洁保洁危险作业交底表</w:t>
            </w:r>
          </w:p>
        </w:tc>
        <w:tc>
          <w:tcPr>
            <w:tcW w:w="347" w:type="pct"/>
            <w:vAlign w:val="center"/>
          </w:tcPr>
          <w:p w14:paraId="4069FE27">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7C864AD4">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4" w:type="pct"/>
            <w:vAlign w:val="center"/>
          </w:tcPr>
          <w:p w14:paraId="03B68044">
            <w:pPr>
              <w:keepNext/>
              <w:keepLines/>
              <w:spacing w:line="400" w:lineRule="exact"/>
              <w:jc w:val="center"/>
              <w:outlineLvl w:val="9"/>
              <w:rPr>
                <w:rFonts w:hint="eastAsia" w:ascii="宋体" w:hAnsi="宋体" w:eastAsia="宋体" w:cs="宋体"/>
                <w:color w:val="auto"/>
                <w:kern w:val="0"/>
                <w:sz w:val="21"/>
                <w:szCs w:val="21"/>
                <w:highlight w:val="none"/>
              </w:rPr>
            </w:pPr>
          </w:p>
        </w:tc>
      </w:tr>
      <w:tr w14:paraId="0640C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5000" w:type="pct"/>
            <w:gridSpan w:val="6"/>
            <w:vAlign w:val="center"/>
          </w:tcPr>
          <w:p w14:paraId="3A061DC6">
            <w:pPr>
              <w:keepNext/>
              <w:keepLines/>
              <w:spacing w:line="400" w:lineRule="exact"/>
              <w:jc w:val="both"/>
              <w:outlineLvl w:val="9"/>
              <w:rPr>
                <w:rFonts w:hint="eastAsia" w:ascii="宋体" w:hAnsi="宋体" w:eastAsia="宋体" w:cs="宋体"/>
                <w:color w:val="auto"/>
                <w:kern w:val="0"/>
                <w:sz w:val="21"/>
                <w:szCs w:val="21"/>
                <w:highlight w:val="none"/>
                <w:lang w:eastAsia="zh-CN"/>
              </w:rPr>
            </w:pPr>
            <w:r>
              <w:rPr>
                <w:rFonts w:hint="eastAsia" w:ascii="宋体" w:hAnsi="宋体" w:eastAsia="宋体" w:cs="宋体"/>
                <w:b/>
                <w:bCs/>
                <w:color w:val="auto"/>
                <w:kern w:val="0"/>
                <w:sz w:val="21"/>
                <w:szCs w:val="21"/>
                <w:highlight w:val="none"/>
              </w:rPr>
              <w:t>用户需求书“★”条款汇总</w:t>
            </w:r>
            <w:r>
              <w:rPr>
                <w:rFonts w:hint="eastAsia" w:ascii="宋体" w:hAnsi="宋体" w:eastAsia="宋体" w:cs="宋体"/>
                <w:b/>
                <w:bCs/>
                <w:color w:val="auto"/>
                <w:kern w:val="0"/>
                <w:sz w:val="21"/>
                <w:szCs w:val="21"/>
                <w:highlight w:val="none"/>
                <w:lang w:eastAsia="zh-CN"/>
              </w:rPr>
              <w:t>：</w:t>
            </w:r>
          </w:p>
        </w:tc>
      </w:tr>
      <w:tr w14:paraId="086D7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61A53BDC">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1</w:t>
            </w:r>
          </w:p>
        </w:tc>
        <w:tc>
          <w:tcPr>
            <w:tcW w:w="455" w:type="pct"/>
            <w:vAlign w:val="center"/>
          </w:tcPr>
          <w:p w14:paraId="5546A9BC">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三</w:t>
            </w:r>
          </w:p>
        </w:tc>
        <w:tc>
          <w:tcPr>
            <w:tcW w:w="3094" w:type="pct"/>
            <w:vAlign w:val="center"/>
          </w:tcPr>
          <w:p w14:paraId="4E9F65F5">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（一）清洁保洁服务包括但不限于以下内容：</w:t>
            </w:r>
          </w:p>
          <w:p w14:paraId="29E694BB">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1.室内行政办公区（含办公楼、宿舍、食堂）：</w:t>
            </w:r>
          </w:p>
          <w:p w14:paraId="6824C53B">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（1）所有办公区域（含营业厅）的清洁保洁。如办公区域、会议室、接待室、饭堂、茶水间、洗手间、公共区域、楼梯、电梯、顶层天花板的清洁保洁工作。</w:t>
            </w:r>
          </w:p>
          <w:p w14:paraId="4223F91B">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（2）生活区域的清洁保洁。员工生活楼、宿舍楼、健身活动室及相关公共区域的保洁工作。</w:t>
            </w:r>
          </w:p>
          <w:p w14:paraId="556EAF49">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2.道路（含停车场、运动场、门口广场、喷水池）：</w:t>
            </w:r>
          </w:p>
          <w:p w14:paraId="6D691450">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（1）雨污水井口、明渠的清掏及喷药；果皮箱的清扫。</w:t>
            </w:r>
          </w:p>
          <w:p w14:paraId="3E394855">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（2）大院、道路、运动场、喷水池的清扫冲洗。</w:t>
            </w:r>
          </w:p>
          <w:p w14:paraId="2F842FD3">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（3）停车场及车库的卫生保洁。</w:t>
            </w:r>
          </w:p>
          <w:p w14:paraId="616AD6EC">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3.生产车间：</w:t>
            </w:r>
          </w:p>
          <w:p w14:paraId="3BA908D6">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生产车间地面（包括地面以上4米的墙体蜘蛛网及灰尘、门窗、护栏等保洁），保持地面洁净，无垃圾，地面4米以内无蜘蛛网，门窗、外墙、不锈钢扶手、天花、灭火器、安全用品柜、清水池玻璃罩、检验室的外围玻璃、阀门罩、池体盖板及垃圾网等洁净。</w:t>
            </w:r>
          </w:p>
          <w:p w14:paraId="0E28ED90">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生产车间屋面（包括屋面排水渠、雨水立管疏通），保持屋面清洁，无垃圾。</w:t>
            </w:r>
          </w:p>
          <w:p w14:paraId="3E49F0A9">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生产车间（设施）外露管道，保持管道清洁，无蜘蛛网。</w:t>
            </w:r>
          </w:p>
          <w:p w14:paraId="328DD050">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4.水面清洁：</w:t>
            </w:r>
          </w:p>
          <w:p w14:paraId="5FA1DE00">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水面垃圾的打捞清除，保持水面清洁。（含粗格栅、细格栅、絮凝池、沉淀池/二沉池、滤池、回收池、收集池、综合池、取水口等构筑物）。</w:t>
            </w:r>
          </w:p>
          <w:p w14:paraId="535B3AD5">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5.池壁清洁：</w:t>
            </w:r>
          </w:p>
          <w:p w14:paraId="64262BEB">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构筑物（含粗格栅、细格栅、格栅间、絮凝池、沉淀池/二沉池、集水槽、滤池、综合池、配水井、贮泥池、污泥泵房、消毒接触池、计量槽、脱水机房等）的池壁（含出水明渠、紫外渠池壁）、护栏、楼梯、走道板、气管槽、斜管、出水堰板、标识标牌、除臭罩等的清洁。</w:t>
            </w:r>
          </w:p>
          <w:p w14:paraId="4C039AED">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6.生活垃圾的清除，包括办公场所、值班室、宿舍、厨房等产生的垃圾，生活垃圾必须每天清除出厂，盛装垃圾的清洁垃圾桶、垃圾胶袋均由服务单位提供。</w:t>
            </w:r>
          </w:p>
          <w:p w14:paraId="7B8613BE">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7.生产垃圾的清除，包括生产各车间、粗格栅、细格栅、格栅间、絮凝池、沉淀池/二沉池、滤池、配水井等产生的垃圾，各类格栅的栅渣、沉砂池的泥沙、水面浮泥浮渣均属于生产垃圾的范围，生产垃圾必须每天清除出厂。盛装垃圾的清洁垃圾桶、垃圾胶袋由服务单位提供。</w:t>
            </w:r>
          </w:p>
          <w:p w14:paraId="5D067588">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（二）绿化养护服务包括但不限于以下内容：</w:t>
            </w:r>
          </w:p>
          <w:p w14:paraId="2BB0BFFA">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1.绿化的成活、修剪、施肥、浇水、除虫、清除杂草等日常养护。</w:t>
            </w:r>
          </w:p>
          <w:p w14:paraId="7C404A0D">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2.乔（灌）木修剪、施肥、浇水、除虫及修剪后产生的绿化垃圾清运等，制定修剪、施肥工作计划并落实。</w:t>
            </w:r>
          </w:p>
          <w:p w14:paraId="37355599">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3.绿地保洁、草地铺沙平整（必须用疏草机对草地进行疏草）和植物老化的复壮等，绿化养护期内出现植物枯死情况，要求补种同规格同种类植物（花坛内的时花种养除外）。</w:t>
            </w:r>
          </w:p>
          <w:p w14:paraId="4FFDEDA1">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4.厂建绿化设施的日常维护、清洁。包括：绿地洒水及喷灌系统的清洁、损坏维修；绿地内排水沟、雨水井口保洁及清淤、损坏维修等。</w:t>
            </w:r>
          </w:p>
          <w:p w14:paraId="4BDA715E">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5.足球场维护，每周剪草一次，施肥一次，护期内出现草地枯死情况，需按同种标准补种草皮并养活。</w:t>
            </w:r>
          </w:p>
          <w:p w14:paraId="180B0793">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6.园林绿化垃圾的清除，包括厂区清理的杂草及树木的树叶等，园林绿化垃圾必须及时清除出厂，盛装垃圾的清洁垃圾桶、垃圾胶袋均由服务单位提供。</w:t>
            </w:r>
          </w:p>
          <w:p w14:paraId="78981A97">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（三）除“四害”及灭蚁防治服务包括但不限于以下内容：</w:t>
            </w:r>
          </w:p>
          <w:p w14:paraId="47B10D2C">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1.按照以下安排，对行政区域（含含生产车间、办公楼内部）和生产区域实施喷洒式或烟雾式灭蚊子、苍蝇、蟑螂工作（特殊情况下应服从供水公司要求增加服务次数）：</w:t>
            </w:r>
          </w:p>
          <w:p w14:paraId="58D9A9E3">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（1）越冬蚊杀灭阶段（每年12月至次年3月），每月一次：每月第1周周五开展1次集中消杀行动，逢法定节假日可适当调整；</w:t>
            </w:r>
          </w:p>
          <w:p w14:paraId="3884BA29">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（2）应对准备阶段（4至5月），每周一次：每周五开展 1 次集中消杀行动；</w:t>
            </w:r>
          </w:p>
          <w:p w14:paraId="39AD0EDD">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（3）防控强化阶段（6至11月），每周二次：每周二、周五各开展1次集中消杀行动。</w:t>
            </w:r>
          </w:p>
          <w:p w14:paraId="24D6021F">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2.每周至少实施1次全厂区灭鼠、灭红火蚁工作，施放老鼠药及填补鼠洞，及时清理死鼠。</w:t>
            </w:r>
          </w:p>
          <w:p w14:paraId="0A1AF8C6">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3.每半月至少1次对厂区所有区域（含生产车间、办公楼内部）进行白蚁检查，如有发现应立即进行防治处理。</w:t>
            </w:r>
          </w:p>
          <w:p w14:paraId="2CAF3967">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4.害虫繁殖高峰期要加强防治工作，保证效果。</w:t>
            </w:r>
          </w:p>
          <w:p w14:paraId="75ED627A">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5.特殊情况下（例如“登革热”爆发期），应招标人要求加强除“四害”力度，保证效果。</w:t>
            </w:r>
          </w:p>
          <w:p w14:paraId="087B6D0D">
            <w:pPr>
              <w:autoSpaceDE w:val="0"/>
              <w:autoSpaceDN w:val="0"/>
              <w:adjustRightInd w:val="0"/>
              <w:spacing w:line="400" w:lineRule="exact"/>
              <w:outlineLvl w:val="9"/>
              <w:rPr>
                <w:rFonts w:hint="eastAsia" w:ascii="宋体" w:hAnsi="宋体" w:eastAsia="宋体" w:cs="宋体"/>
                <w:b/>
                <w:bCs/>
                <w:color w:val="auto"/>
                <w:kern w:val="0"/>
                <w:sz w:val="21"/>
                <w:szCs w:val="21"/>
                <w:highlight w:val="none"/>
              </w:rPr>
            </w:pPr>
            <w:r>
              <w:rPr>
                <w:rFonts w:hint="eastAsia" w:ascii="宋体" w:hAnsi="宋体" w:eastAsia="宋体" w:cs="宋体"/>
                <w:b/>
                <w:bCs/>
                <w:color w:val="auto"/>
                <w:kern w:val="0"/>
                <w:sz w:val="21"/>
                <w:szCs w:val="21"/>
                <w:highlight w:val="none"/>
              </w:rPr>
              <w:t>6.服务范围内收集动物尸体工作（含老鼠、蟑螂等收集清理工作），并将尸体无害化处理。</w:t>
            </w:r>
          </w:p>
          <w:p w14:paraId="660F56FB">
            <w:pPr>
              <w:autoSpaceDE w:val="0"/>
              <w:autoSpaceDN w:val="0"/>
              <w:adjustRightInd w:val="0"/>
              <w:spacing w:line="400" w:lineRule="exact"/>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7.每周1次对行政区域和生产区域下水渠实施灭蚊处理。</w:t>
            </w:r>
          </w:p>
        </w:tc>
        <w:tc>
          <w:tcPr>
            <w:tcW w:w="347" w:type="pct"/>
            <w:vAlign w:val="center"/>
          </w:tcPr>
          <w:p w14:paraId="67A5B5A3">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461A9ED4">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4" w:type="pct"/>
            <w:vAlign w:val="center"/>
          </w:tcPr>
          <w:p w14:paraId="69AD68DA">
            <w:pPr>
              <w:keepNext/>
              <w:keepLines/>
              <w:spacing w:line="400" w:lineRule="exact"/>
              <w:jc w:val="center"/>
              <w:outlineLvl w:val="9"/>
              <w:rPr>
                <w:rFonts w:hint="eastAsia" w:ascii="宋体" w:hAnsi="宋体" w:eastAsia="宋体" w:cs="宋体"/>
                <w:color w:val="auto"/>
                <w:kern w:val="0"/>
                <w:sz w:val="21"/>
                <w:szCs w:val="21"/>
                <w:highlight w:val="none"/>
              </w:rPr>
            </w:pPr>
          </w:p>
        </w:tc>
      </w:tr>
      <w:tr w14:paraId="21B04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05574132">
            <w:pPr>
              <w:spacing w:line="400" w:lineRule="exact"/>
              <w:jc w:val="center"/>
              <w:outlineLvl w:val="9"/>
              <w:rPr>
                <w:rFonts w:hint="default"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2</w:t>
            </w:r>
          </w:p>
        </w:tc>
        <w:tc>
          <w:tcPr>
            <w:tcW w:w="455" w:type="pct"/>
            <w:vAlign w:val="center"/>
          </w:tcPr>
          <w:p w14:paraId="663EB6B2">
            <w:pPr>
              <w:spacing w:line="400" w:lineRule="exact"/>
              <w:jc w:val="center"/>
              <w:outlineLvl w:val="9"/>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六</w:t>
            </w:r>
          </w:p>
        </w:tc>
        <w:tc>
          <w:tcPr>
            <w:tcW w:w="3094" w:type="pct"/>
            <w:vAlign w:val="center"/>
          </w:tcPr>
          <w:p w14:paraId="34BE33BF">
            <w:pPr>
              <w:autoSpaceDE w:val="0"/>
              <w:autoSpaceDN w:val="0"/>
              <w:adjustRightInd w:val="0"/>
              <w:spacing w:line="400" w:lineRule="exact"/>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w:t>
            </w:r>
            <w:r>
              <w:rPr>
                <w:rFonts w:hint="eastAsia" w:ascii="宋体" w:hAnsi="宋体" w:eastAsia="宋体" w:cs="宋体"/>
                <w:b/>
                <w:bCs/>
                <w:color w:val="auto"/>
                <w:kern w:val="0"/>
                <w:sz w:val="21"/>
                <w:szCs w:val="21"/>
                <w:highlight w:val="none"/>
                <w:lang w:val="en-US" w:eastAsia="zh-CN"/>
              </w:rPr>
              <w:t>3</w:t>
            </w:r>
            <w:r>
              <w:rPr>
                <w:rFonts w:hint="eastAsia" w:ascii="宋体" w:hAnsi="宋体" w:eastAsia="宋体" w:cs="宋体"/>
                <w:b/>
                <w:bCs/>
                <w:color w:val="auto"/>
                <w:kern w:val="0"/>
                <w:sz w:val="21"/>
                <w:szCs w:val="21"/>
                <w:highlight w:val="none"/>
              </w:rPr>
              <w:t>.考虑到安全因素，要求与池水接触的清洁人员必须会游泳，在开展具有危险性的服务项目【危险作业范围：①水面垃圾的打捞（含取水口、絮凝池、沉淀池、滤池等构筑物）。②吸水井、消毒接触池、清水池等构筑物池内清洗。③清理杂草丛。】要求服务单位必须落实检查作业工具是否完好有效、做好各项安全防护措施【穿戴救生衣、安全带（绳）、水鞋、手套、不得穿拖鞋或凉鞋等，安全防护物资由服务单位自行准备】，严格落实2人或2人以上为一组进行协同作业，不能单独作业，并填报《危险作业交底表》等工作。服务期间由于作业人员未做好安全防护措施（例如不佩戴安全带或不穿救生衣等）而造成意外事故，全部责任由服务单位承担。招标人有权要求服务单位对不称职人员进行更换，更换完成时间不超过5个工作日，如有人员离职，服务单位必须于5个工作日内将新员工补充到岗。</w:t>
            </w:r>
          </w:p>
        </w:tc>
        <w:tc>
          <w:tcPr>
            <w:tcW w:w="347" w:type="pct"/>
            <w:vAlign w:val="center"/>
          </w:tcPr>
          <w:p w14:paraId="13208787">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344B04C7">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4" w:type="pct"/>
            <w:vAlign w:val="center"/>
          </w:tcPr>
          <w:p w14:paraId="3883FEFB">
            <w:pPr>
              <w:keepNext/>
              <w:keepLines/>
              <w:spacing w:line="400" w:lineRule="exact"/>
              <w:jc w:val="center"/>
              <w:outlineLvl w:val="9"/>
              <w:rPr>
                <w:rFonts w:hint="eastAsia" w:ascii="宋体" w:hAnsi="宋体" w:eastAsia="宋体" w:cs="宋体"/>
                <w:color w:val="auto"/>
                <w:kern w:val="0"/>
                <w:sz w:val="21"/>
                <w:szCs w:val="21"/>
                <w:highlight w:val="none"/>
              </w:rPr>
            </w:pPr>
          </w:p>
        </w:tc>
      </w:tr>
      <w:tr w14:paraId="557C5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49A215AB">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3</w:t>
            </w:r>
          </w:p>
        </w:tc>
        <w:tc>
          <w:tcPr>
            <w:tcW w:w="455" w:type="pct"/>
            <w:vAlign w:val="center"/>
          </w:tcPr>
          <w:p w14:paraId="4E4B1271">
            <w:pPr>
              <w:spacing w:line="400" w:lineRule="exact"/>
              <w:jc w:val="center"/>
              <w:outlineLvl w:val="9"/>
              <w:rPr>
                <w:rFonts w:hint="default"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六</w:t>
            </w:r>
          </w:p>
        </w:tc>
        <w:tc>
          <w:tcPr>
            <w:tcW w:w="3094" w:type="pct"/>
            <w:vAlign w:val="center"/>
          </w:tcPr>
          <w:p w14:paraId="11920BB3">
            <w:pPr>
              <w:autoSpaceDE w:val="0"/>
              <w:autoSpaceDN w:val="0"/>
              <w:adjustRightInd w:val="0"/>
              <w:spacing w:line="400" w:lineRule="exact"/>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b/>
                <w:color w:val="auto"/>
                <w:kern w:val="0"/>
                <w:sz w:val="21"/>
                <w:szCs w:val="21"/>
                <w:highlight w:val="none"/>
                <w:lang w:bidi="ar"/>
              </w:rPr>
              <w:t>★</w:t>
            </w:r>
            <w:r>
              <w:rPr>
                <w:rFonts w:hint="eastAsia" w:ascii="宋体" w:hAnsi="宋体" w:eastAsia="宋体" w:cs="宋体"/>
                <w:b/>
                <w:color w:val="auto"/>
                <w:kern w:val="0"/>
                <w:sz w:val="21"/>
                <w:szCs w:val="21"/>
                <w:highlight w:val="none"/>
                <w:lang w:val="en-US" w:eastAsia="zh-CN" w:bidi="ar"/>
              </w:rPr>
              <w:t>4</w:t>
            </w:r>
            <w:r>
              <w:rPr>
                <w:rFonts w:hint="eastAsia" w:ascii="宋体" w:hAnsi="宋体" w:eastAsia="宋体" w:cs="宋体"/>
                <w:b/>
                <w:color w:val="auto"/>
                <w:kern w:val="0"/>
                <w:sz w:val="21"/>
                <w:szCs w:val="21"/>
                <w:highlight w:val="none"/>
                <w:lang w:bidi="ar"/>
              </w:rPr>
              <w:t>.保洁绿化维护用品存放要求，厂区提供场地（场地具体位置由厂区根据实际情况提供）由服务单位进行围闭，围闭空间内只存放日常保洁、绿化维护工具器械（包括但不限于：工作服、化肥、清扫工具、刷池工具、打捞工具、绿化维护使用的打草机、修边机、高压清洗机等），服务单位自行提供防爆柜存放易燃易爆、剧毒类物品（包括但不限于：汽油、柴油、农药、老鼠药等），若服务单位存放工具器械、危险化学品或易爆易燃物品等，并因此在招标人或其权属分公司的区域内发生包括但不限于安全事故、治安事件等任何事故，造成人员、第三人人身或财产损失的，由服务单位承担事故的全部责任和善后事宜。</w:t>
            </w:r>
          </w:p>
        </w:tc>
        <w:tc>
          <w:tcPr>
            <w:tcW w:w="347" w:type="pct"/>
            <w:vAlign w:val="center"/>
          </w:tcPr>
          <w:p w14:paraId="1B642A35">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08E8F530">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4" w:type="pct"/>
            <w:vAlign w:val="center"/>
          </w:tcPr>
          <w:p w14:paraId="171DF119">
            <w:pPr>
              <w:keepNext/>
              <w:keepLines/>
              <w:spacing w:line="400" w:lineRule="exact"/>
              <w:jc w:val="center"/>
              <w:outlineLvl w:val="9"/>
              <w:rPr>
                <w:rFonts w:hint="eastAsia" w:ascii="宋体" w:hAnsi="宋体" w:eastAsia="宋体" w:cs="宋体"/>
                <w:color w:val="auto"/>
                <w:kern w:val="0"/>
                <w:sz w:val="21"/>
                <w:szCs w:val="21"/>
                <w:highlight w:val="none"/>
              </w:rPr>
            </w:pPr>
          </w:p>
        </w:tc>
      </w:tr>
      <w:tr w14:paraId="70B4F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279" w:type="pct"/>
            <w:vAlign w:val="center"/>
          </w:tcPr>
          <w:p w14:paraId="3D86941C">
            <w:pPr>
              <w:spacing w:line="400" w:lineRule="exact"/>
              <w:jc w:val="center"/>
              <w:outlineLvl w:val="9"/>
              <w:rPr>
                <w:rFonts w:hint="eastAsia" w:ascii="宋体" w:hAnsi="宋体" w:eastAsia="宋体" w:cs="宋体"/>
                <w:color w:val="auto"/>
                <w:kern w:val="0"/>
                <w:sz w:val="21"/>
                <w:szCs w:val="21"/>
                <w:highlight w:val="none"/>
                <w:lang w:val="en-US" w:eastAsia="zh-CN"/>
              </w:rPr>
            </w:pPr>
            <w:r>
              <w:rPr>
                <w:rFonts w:hint="eastAsia" w:ascii="宋体" w:hAnsi="宋体" w:eastAsia="宋体" w:cs="宋体"/>
                <w:color w:val="auto"/>
                <w:kern w:val="0"/>
                <w:sz w:val="21"/>
                <w:szCs w:val="21"/>
                <w:highlight w:val="none"/>
                <w:lang w:val="en-US" w:eastAsia="zh-CN"/>
              </w:rPr>
              <w:t>4</w:t>
            </w:r>
          </w:p>
        </w:tc>
        <w:tc>
          <w:tcPr>
            <w:tcW w:w="455" w:type="pct"/>
            <w:vAlign w:val="center"/>
          </w:tcPr>
          <w:p w14:paraId="4925C7E5">
            <w:pPr>
              <w:spacing w:line="400" w:lineRule="exact"/>
              <w:jc w:val="center"/>
              <w:outlineLvl w:val="9"/>
              <w:rPr>
                <w:rFonts w:hint="eastAsia" w:ascii="宋体" w:hAnsi="宋体" w:eastAsia="宋体" w:cs="宋体"/>
                <w:b w:val="0"/>
                <w:bCs/>
                <w:color w:val="auto"/>
                <w:kern w:val="0"/>
                <w:sz w:val="21"/>
                <w:szCs w:val="21"/>
                <w:highlight w:val="none"/>
                <w:lang w:val="en-US" w:eastAsia="zh-CN"/>
              </w:rPr>
            </w:pPr>
            <w:r>
              <w:rPr>
                <w:rFonts w:hint="eastAsia" w:ascii="宋体" w:hAnsi="宋体" w:eastAsia="宋体" w:cs="宋体"/>
                <w:b w:val="0"/>
                <w:bCs/>
                <w:color w:val="auto"/>
                <w:kern w:val="0"/>
                <w:sz w:val="21"/>
                <w:szCs w:val="21"/>
                <w:highlight w:val="none"/>
                <w:lang w:val="en-US" w:eastAsia="zh-CN"/>
              </w:rPr>
              <w:t>七</w:t>
            </w:r>
          </w:p>
        </w:tc>
        <w:tc>
          <w:tcPr>
            <w:tcW w:w="3094" w:type="pct"/>
            <w:vAlign w:val="center"/>
          </w:tcPr>
          <w:p w14:paraId="4A1EBEA5">
            <w:pPr>
              <w:autoSpaceDE w:val="0"/>
              <w:autoSpaceDN w:val="0"/>
              <w:adjustRightInd w:val="0"/>
              <w:spacing w:line="400" w:lineRule="exact"/>
              <w:outlineLvl w:val="9"/>
              <w:rPr>
                <w:rFonts w:hint="eastAsia" w:ascii="宋体" w:hAnsi="宋体" w:eastAsia="宋体" w:cs="宋体"/>
                <w:color w:val="auto"/>
                <w:kern w:val="0"/>
                <w:sz w:val="21"/>
                <w:szCs w:val="21"/>
                <w:highlight w:val="none"/>
              </w:rPr>
            </w:pPr>
            <w:r>
              <w:rPr>
                <w:rFonts w:hint="eastAsia" w:ascii="宋体" w:hAnsi="宋体" w:eastAsia="宋体" w:cs="宋体"/>
                <w:b/>
                <w:bCs/>
                <w:color w:val="auto"/>
                <w:kern w:val="0"/>
                <w:sz w:val="21"/>
                <w:szCs w:val="21"/>
                <w:highlight w:val="none"/>
              </w:rPr>
              <w:t>★1.服务单位必须保证投入本项目的机械设备数量能满足招标人服务要求（含花、草、树木修剪设备（如剪草机、高空作业车、剪灌机等）、洗地设备（如高压清洗机、清洗车等）、密封式垃圾清运车等），招标人有权要求服务单位根据合同要求增加机械设备数量。</w:t>
            </w:r>
          </w:p>
        </w:tc>
        <w:tc>
          <w:tcPr>
            <w:tcW w:w="347" w:type="pct"/>
            <w:vAlign w:val="center"/>
          </w:tcPr>
          <w:p w14:paraId="0B052542">
            <w:pPr>
              <w:keepNext/>
              <w:keepLines/>
              <w:spacing w:line="400" w:lineRule="exact"/>
              <w:jc w:val="center"/>
              <w:outlineLvl w:val="9"/>
              <w:rPr>
                <w:rFonts w:hint="eastAsia" w:ascii="宋体" w:hAnsi="宋体" w:eastAsia="宋体" w:cs="宋体"/>
                <w:color w:val="auto"/>
                <w:kern w:val="0"/>
                <w:sz w:val="21"/>
                <w:szCs w:val="21"/>
                <w:highlight w:val="none"/>
              </w:rPr>
            </w:pPr>
          </w:p>
        </w:tc>
        <w:tc>
          <w:tcPr>
            <w:tcW w:w="419" w:type="pct"/>
            <w:vAlign w:val="center"/>
          </w:tcPr>
          <w:p w14:paraId="3C60E397">
            <w:pPr>
              <w:keepNext/>
              <w:keepLines/>
              <w:spacing w:line="400" w:lineRule="exact"/>
              <w:jc w:val="center"/>
              <w:outlineLvl w:val="9"/>
              <w:rPr>
                <w:rFonts w:hint="eastAsia" w:ascii="宋体" w:hAnsi="宋体" w:eastAsia="宋体" w:cs="宋体"/>
                <w:color w:val="auto"/>
                <w:kern w:val="0"/>
                <w:sz w:val="21"/>
                <w:szCs w:val="21"/>
                <w:highlight w:val="none"/>
              </w:rPr>
            </w:pPr>
          </w:p>
        </w:tc>
        <w:tc>
          <w:tcPr>
            <w:tcW w:w="404" w:type="pct"/>
            <w:vAlign w:val="center"/>
          </w:tcPr>
          <w:p w14:paraId="11351EA0">
            <w:pPr>
              <w:keepNext/>
              <w:keepLines/>
              <w:spacing w:line="400" w:lineRule="exact"/>
              <w:jc w:val="center"/>
              <w:outlineLvl w:val="9"/>
              <w:rPr>
                <w:rFonts w:hint="eastAsia" w:ascii="宋体" w:hAnsi="宋体" w:eastAsia="宋体" w:cs="宋体"/>
                <w:color w:val="auto"/>
                <w:kern w:val="0"/>
                <w:sz w:val="21"/>
                <w:szCs w:val="21"/>
                <w:highlight w:val="none"/>
              </w:rPr>
            </w:pPr>
          </w:p>
        </w:tc>
      </w:tr>
    </w:tbl>
    <w:p w14:paraId="63F19D80">
      <w:pPr>
        <w:spacing w:line="360" w:lineRule="auto"/>
        <w:outlineLvl w:val="9"/>
        <w:rPr>
          <w:rFonts w:hint="eastAsia" w:ascii="宋体" w:hAnsi="宋体" w:eastAsia="宋体" w:cs="宋体"/>
          <w:color w:val="auto"/>
          <w:szCs w:val="21"/>
          <w:highlight w:val="none"/>
        </w:rPr>
      </w:pPr>
    </w:p>
    <w:p w14:paraId="099FC661">
      <w:pPr>
        <w:spacing w:line="360" w:lineRule="auto"/>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备注：</w:t>
      </w:r>
    </w:p>
    <w:p w14:paraId="374A7E6C">
      <w:pPr>
        <w:spacing w:line="360" w:lineRule="auto"/>
        <w:ind w:left="605" w:leftChars="18" w:hanging="567" w:hangingChars="270"/>
        <w:outlineLvl w:val="9"/>
        <w:rPr>
          <w:rFonts w:hint="eastAsia" w:ascii="宋体" w:hAnsi="宋体" w:eastAsia="宋体" w:cs="宋体"/>
          <w:b/>
          <w:bCs w:val="0"/>
          <w:color w:val="auto"/>
          <w:szCs w:val="21"/>
          <w:highlight w:val="none"/>
          <w:u w:val="single"/>
        </w:rPr>
      </w:pPr>
      <w:r>
        <w:rPr>
          <w:rFonts w:hint="eastAsia" w:ascii="宋体" w:hAnsi="宋体" w:eastAsia="宋体" w:cs="宋体"/>
          <w:color w:val="auto"/>
          <w:szCs w:val="21"/>
          <w:highlight w:val="none"/>
        </w:rPr>
        <w:t>（1）</w:t>
      </w:r>
      <w:r>
        <w:rPr>
          <w:rFonts w:hint="eastAsia" w:ascii="宋体" w:hAnsi="宋体" w:eastAsia="宋体" w:cs="宋体"/>
          <w:b/>
          <w:color w:val="auto"/>
          <w:szCs w:val="21"/>
          <w:highlight w:val="none"/>
          <w:u w:val="single"/>
        </w:rPr>
        <w:t>投标人应对照招标文件用户需求书的响应</w:t>
      </w:r>
      <w:r>
        <w:rPr>
          <w:rFonts w:hint="eastAsia" w:ascii="宋体" w:hAnsi="宋体" w:eastAsia="宋体" w:cs="宋体"/>
          <w:b/>
          <w:color w:val="auto"/>
          <w:szCs w:val="21"/>
          <w:highlight w:val="none"/>
          <w:u w:val="single"/>
          <w:lang w:eastAsia="zh-CN"/>
        </w:rPr>
        <w:t>（其中“</w:t>
      </w:r>
      <w:r>
        <w:rPr>
          <w:rFonts w:hint="eastAsia" w:ascii="宋体" w:hAnsi="宋体" w:eastAsia="宋体" w:cs="宋体"/>
          <w:b/>
          <w:bCs/>
          <w:color w:val="auto"/>
          <w:kern w:val="0"/>
          <w:sz w:val="21"/>
          <w:szCs w:val="21"/>
          <w:highlight w:val="none"/>
          <w:u w:val="single"/>
        </w:rPr>
        <w:t>一、</w:t>
      </w:r>
      <w:r>
        <w:rPr>
          <w:rFonts w:hint="eastAsia" w:ascii="宋体" w:hAnsi="宋体" w:eastAsia="宋体" w:cs="宋体"/>
          <w:b/>
          <w:bCs/>
          <w:color w:val="auto"/>
          <w:kern w:val="0"/>
          <w:sz w:val="21"/>
          <w:szCs w:val="21"/>
          <w:highlight w:val="none"/>
          <w:u w:val="single"/>
          <w:lang w:val="en-US" w:eastAsia="zh-CN"/>
        </w:rPr>
        <w:t>项目概况</w:t>
      </w:r>
      <w:r>
        <w:rPr>
          <w:rFonts w:hint="eastAsia" w:ascii="宋体" w:hAnsi="宋体" w:eastAsia="宋体" w:cs="宋体"/>
          <w:b/>
          <w:color w:val="auto"/>
          <w:szCs w:val="21"/>
          <w:highlight w:val="none"/>
          <w:u w:val="single"/>
          <w:lang w:eastAsia="zh-CN"/>
        </w:rPr>
        <w:t>”除外）</w:t>
      </w:r>
      <w:r>
        <w:rPr>
          <w:rFonts w:hint="eastAsia" w:ascii="宋体" w:hAnsi="宋体" w:eastAsia="宋体" w:cs="宋体"/>
          <w:b/>
          <w:color w:val="auto"/>
          <w:szCs w:val="21"/>
          <w:highlight w:val="none"/>
          <w:u w:val="single"/>
        </w:rPr>
        <w:t>，逐条逐项、如实地填写“偏离情况”，</w:t>
      </w:r>
      <w:r>
        <w:rPr>
          <w:rFonts w:hint="eastAsia" w:ascii="宋体" w:hAnsi="宋体" w:eastAsia="宋体" w:cs="宋体"/>
          <w:b/>
          <w:color w:val="auto"/>
          <w:kern w:val="0"/>
          <w:szCs w:val="21"/>
          <w:highlight w:val="none"/>
          <w:u w:val="single"/>
        </w:rPr>
        <w:t>若发现未填写本表，或虚假填写本表，或伪造、变造证明材料的，按无效投标文件处理</w:t>
      </w:r>
      <w:r>
        <w:rPr>
          <w:rFonts w:hint="eastAsia" w:ascii="宋体" w:hAnsi="宋体" w:eastAsia="宋体" w:cs="宋体"/>
          <w:b/>
          <w:color w:val="auto"/>
          <w:szCs w:val="21"/>
          <w:highlight w:val="none"/>
          <w:u w:val="single"/>
        </w:rPr>
        <w:t>。若招标文件用户需求书中有“★”条款须逐条逐项、如实地填写“偏离情况”，未填写“★”条款以外的条款的，视为完全满足招标文件要求。</w:t>
      </w:r>
    </w:p>
    <w:p w14:paraId="2ED6EE33">
      <w:pPr>
        <w:spacing w:line="360" w:lineRule="auto"/>
        <w:ind w:left="605" w:leftChars="18" w:hanging="567" w:hangingChars="270"/>
        <w:outlineLvl w:val="9"/>
        <w:rPr>
          <w:rFonts w:hint="eastAsia" w:ascii="宋体" w:hAnsi="宋体" w:eastAsia="宋体" w:cs="宋体"/>
          <w:color w:val="auto"/>
          <w:szCs w:val="21"/>
          <w:highlight w:val="none"/>
        </w:rPr>
      </w:pPr>
      <w:r>
        <w:rPr>
          <w:rFonts w:hint="eastAsia" w:ascii="宋体" w:hAnsi="宋体" w:eastAsia="宋体" w:cs="宋体"/>
          <w:color w:val="auto"/>
          <w:szCs w:val="21"/>
          <w:highlight w:val="none"/>
        </w:rPr>
        <w:t xml:space="preserve">（2）偏离情况（投标文件对招标文件用户需求的响应程度）分为：正偏离、负偏离、无偏离。正偏离是指投标人对用户需求响应优于招标文件的要求；负偏离是指投标人对用户需求响应不满足或不完全满足招标文件的要求；无偏离是指投标人对用户需求响应完全满足招标文件的要求。 </w:t>
      </w:r>
    </w:p>
    <w:p w14:paraId="510D5687">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（3）</w:t>
      </w:r>
      <w:r>
        <w:rPr>
          <w:rFonts w:hint="eastAsia" w:ascii="宋体" w:hAnsi="宋体" w:eastAsia="宋体" w:cs="宋体"/>
          <w:b/>
          <w:color w:val="auto"/>
          <w:kern w:val="0"/>
          <w:szCs w:val="21"/>
          <w:highlight w:val="none"/>
          <w:u w:val="single"/>
        </w:rPr>
        <w:t>应逐条</w:t>
      </w:r>
      <w:r>
        <w:rPr>
          <w:rFonts w:hint="eastAsia" w:ascii="宋体" w:hAnsi="宋体" w:eastAsia="宋体" w:cs="宋体"/>
          <w:b/>
          <w:color w:val="auto"/>
          <w:szCs w:val="21"/>
          <w:highlight w:val="none"/>
          <w:u w:val="single"/>
        </w:rPr>
        <w:t>逐项</w:t>
      </w:r>
      <w:r>
        <w:rPr>
          <w:rFonts w:hint="eastAsia" w:ascii="宋体" w:hAnsi="宋体" w:eastAsia="宋体" w:cs="宋体"/>
          <w:b/>
          <w:color w:val="auto"/>
          <w:kern w:val="0"/>
          <w:szCs w:val="21"/>
          <w:highlight w:val="none"/>
          <w:u w:val="single"/>
        </w:rPr>
        <w:t>、如实地填写“偏离情况”。“偏离情况”项为正偏离（或负偏离）的，必须在“实质性响应的具体内容”项内详细说明与招标文件的偏离内容，“偏离情况”项为无偏离的，在“实质性响应的具体内容”项内填“完全响应招标文件要求”即可，也可进一步说明投标响应的具体内容。投标人可将反映</w:t>
      </w:r>
      <w:r>
        <w:rPr>
          <w:rFonts w:hint="eastAsia" w:ascii="宋体" w:hAnsi="宋体" w:eastAsia="宋体" w:cs="宋体"/>
          <w:b/>
          <w:color w:val="auto"/>
          <w:kern w:val="0"/>
          <w:szCs w:val="21"/>
          <w:highlight w:val="none"/>
          <w:u w:val="single"/>
          <w:lang w:val="en-US" w:eastAsia="zh-CN"/>
        </w:rPr>
        <w:t>服务能力</w:t>
      </w:r>
      <w:r>
        <w:rPr>
          <w:rFonts w:hint="eastAsia" w:ascii="宋体" w:hAnsi="宋体" w:eastAsia="宋体" w:cs="宋体"/>
          <w:b/>
          <w:color w:val="auto"/>
          <w:kern w:val="0"/>
          <w:szCs w:val="21"/>
          <w:highlight w:val="none"/>
          <w:u w:val="single"/>
        </w:rPr>
        <w:t>的技术支持资料作为本表的附件，并在本偏离表“对应证明材料页码”项内注明其在投标文件中的具体页码。</w:t>
      </w:r>
    </w:p>
    <w:p w14:paraId="1A98ED73">
      <w:pPr>
        <w:spacing w:line="360" w:lineRule="auto"/>
        <w:ind w:left="607" w:leftChars="18" w:hanging="569" w:hangingChars="270"/>
        <w:outlineLvl w:val="9"/>
        <w:rPr>
          <w:rFonts w:hint="eastAsia" w:ascii="宋体" w:hAnsi="宋体" w:eastAsia="宋体" w:cs="宋体"/>
          <w:b/>
          <w:color w:val="auto"/>
          <w:kern w:val="0"/>
          <w:szCs w:val="21"/>
          <w:highlight w:val="none"/>
          <w:u w:val="single"/>
        </w:rPr>
      </w:pPr>
      <w:r>
        <w:rPr>
          <w:rFonts w:hint="eastAsia" w:ascii="宋体" w:hAnsi="宋体" w:eastAsia="宋体" w:cs="宋体"/>
          <w:b/>
          <w:color w:val="auto"/>
          <w:szCs w:val="21"/>
          <w:highlight w:val="none"/>
        </w:rPr>
        <w:t>（4）</w:t>
      </w:r>
      <w:r>
        <w:rPr>
          <w:rFonts w:hint="eastAsia" w:ascii="宋体" w:hAnsi="宋体" w:eastAsia="宋体" w:cs="宋体"/>
          <w:b/>
          <w:color w:val="auto"/>
          <w:kern w:val="0"/>
          <w:szCs w:val="21"/>
          <w:highlight w:val="none"/>
          <w:u w:val="single"/>
        </w:rPr>
        <w:t>凡标有“★”的地方均被视为重要的技术指标要求或性能要求。投标人要特别加以注意，必须对此回答并完全满足这些要求，否则若有一项带“★”的指标未响应或不满足，将按无效投标处</w:t>
      </w:r>
      <w:r>
        <w:rPr>
          <w:rFonts w:hint="eastAsia" w:ascii="宋体" w:hAnsi="宋体" w:eastAsia="宋体" w:cs="宋体"/>
          <w:b/>
          <w:bCs w:val="0"/>
          <w:color w:val="auto"/>
          <w:kern w:val="0"/>
          <w:szCs w:val="21"/>
          <w:highlight w:val="none"/>
          <w:u w:val="single"/>
        </w:rPr>
        <w:t>理</w:t>
      </w:r>
      <w:r>
        <w:rPr>
          <w:rFonts w:hint="eastAsia" w:ascii="宋体" w:hAnsi="宋体" w:eastAsia="宋体" w:cs="宋体"/>
          <w:b/>
          <w:bCs w:val="0"/>
          <w:color w:val="auto"/>
          <w:kern w:val="0"/>
          <w:sz w:val="24"/>
          <w:szCs w:val="21"/>
          <w:highlight w:val="none"/>
          <w:u w:val="single"/>
          <w:lang w:val="zh-CN"/>
        </w:rPr>
        <w:t>。</w:t>
      </w:r>
    </w:p>
    <w:p w14:paraId="10CE63EF">
      <w:pPr>
        <w:spacing w:line="360" w:lineRule="auto"/>
        <w:outlineLvl w:val="9"/>
        <w:rPr>
          <w:rFonts w:hint="eastAsia" w:ascii="宋体" w:hAnsi="宋体" w:eastAsia="宋体" w:cs="宋体"/>
          <w:color w:val="auto"/>
          <w:szCs w:val="21"/>
          <w:highlight w:val="none"/>
        </w:rPr>
      </w:pPr>
    </w:p>
    <w:p w14:paraId="1E203147">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3A5B3C6">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C0EF7B9">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E5CFCF0">
      <w:pPr>
        <w:widowControl/>
        <w:autoSpaceDE w:val="0"/>
        <w:autoSpaceDN w:val="0"/>
        <w:adjustRightInd w:val="0"/>
        <w:spacing w:line="360" w:lineRule="auto"/>
        <w:jc w:val="center"/>
        <w:rPr>
          <w:rFonts w:hint="eastAsia" w:ascii="宋体" w:hAnsi="宋体" w:eastAsia="宋体" w:cs="宋体"/>
          <w:color w:val="auto"/>
          <w:szCs w:val="21"/>
          <w:highlight w:val="none"/>
        </w:rPr>
      </w:pPr>
      <w:r>
        <w:rPr>
          <w:rFonts w:hint="eastAsia" w:ascii="宋体" w:hAnsi="宋体" w:eastAsia="宋体" w:cs="宋体"/>
          <w:b/>
          <w:bCs/>
          <w:color w:val="auto"/>
          <w:szCs w:val="24"/>
          <w:highlight w:val="none"/>
          <w:lang w:val="zh-CN"/>
        </w:rPr>
        <w:t>说明：由投标人使用投标人的企业数字证书电子签名。</w:t>
      </w:r>
    </w:p>
    <w:p w14:paraId="4822D292">
      <w:pPr>
        <w:tabs>
          <w:tab w:val="left" w:pos="567"/>
        </w:tabs>
        <w:autoSpaceDE w:val="0"/>
        <w:autoSpaceDN w:val="0"/>
        <w:adjustRightInd w:val="0"/>
        <w:spacing w:line="360" w:lineRule="auto"/>
        <w:jc w:val="left"/>
        <w:outlineLvl w:val="9"/>
        <w:rPr>
          <w:rFonts w:hint="eastAsia" w:ascii="宋体" w:hAnsi="宋体" w:eastAsia="宋体" w:cs="宋体"/>
          <w:b/>
          <w:color w:val="auto"/>
          <w:kern w:val="0"/>
          <w:sz w:val="30"/>
          <w:szCs w:val="30"/>
          <w:highlight w:val="none"/>
          <w:lang w:eastAsia="zh-CN"/>
        </w:rPr>
      </w:pPr>
      <w:r>
        <w:rPr>
          <w:rFonts w:hint="eastAsia" w:ascii="宋体" w:hAnsi="宋体" w:eastAsia="宋体" w:cs="宋体"/>
          <w:b/>
          <w:color w:val="auto"/>
          <w:kern w:val="0"/>
          <w:sz w:val="30"/>
          <w:szCs w:val="30"/>
          <w:highlight w:val="none"/>
        </w:rPr>
        <w:br w:type="page"/>
      </w:r>
    </w:p>
    <w:p w14:paraId="3C330FDA">
      <w:pPr>
        <w:autoSpaceDE/>
        <w:autoSpaceDN/>
        <w:adjustRightInd/>
        <w:spacing w:line="240" w:lineRule="auto"/>
        <w:jc w:val="left"/>
        <w:outlineLvl w:val="1"/>
        <w:rPr>
          <w:rFonts w:hint="eastAsia" w:ascii="宋体" w:hAnsi="宋体" w:eastAsia="宋体" w:cs="宋体"/>
          <w:b/>
          <w:color w:val="auto"/>
          <w:kern w:val="0"/>
          <w:sz w:val="30"/>
          <w:szCs w:val="30"/>
          <w:highlight w:val="none"/>
          <w:lang w:eastAsia="zh-CN"/>
        </w:rPr>
      </w:pPr>
      <w:r>
        <w:rPr>
          <w:rFonts w:hint="eastAsia" w:ascii="宋体" w:hAnsi="宋体" w:eastAsia="宋体" w:cs="宋体"/>
          <w:b/>
          <w:bCs w:val="0"/>
          <w:color w:val="auto"/>
          <w:kern w:val="0"/>
          <w:sz w:val="30"/>
          <w:szCs w:val="30"/>
          <w:highlight w:val="none"/>
          <w:lang w:val="en-US" w:eastAsia="zh-CN"/>
        </w:rPr>
        <w:t>2、拟投入的设备情况</w:t>
      </w:r>
    </w:p>
    <w:p w14:paraId="1BF0BB01">
      <w:pPr>
        <w:pStyle w:val="45"/>
        <w:rPr>
          <w:rFonts w:hint="eastAsia"/>
          <w:color w:val="auto"/>
          <w:highlight w:val="none"/>
        </w:rPr>
      </w:pPr>
    </w:p>
    <w:p w14:paraId="3ADD30D1">
      <w:pPr>
        <w:spacing w:before="120" w:after="120" w:line="360" w:lineRule="auto"/>
        <w:jc w:val="center"/>
        <w:outlineLvl w:val="9"/>
        <w:rPr>
          <w:highlight w:val="none"/>
        </w:rPr>
      </w:pPr>
      <w:r>
        <w:rPr>
          <w:rFonts w:hint="eastAsia" w:ascii="宋体" w:hAnsi="宋体" w:eastAsia="宋体" w:cs="宋体"/>
          <w:b/>
          <w:color w:val="auto"/>
          <w:kern w:val="0"/>
          <w:sz w:val="30"/>
          <w:szCs w:val="30"/>
          <w:highlight w:val="none"/>
          <w:lang w:val="zh-CN"/>
        </w:rPr>
        <w:t>设备清单</w:t>
      </w:r>
    </w:p>
    <w:tbl>
      <w:tblPr>
        <w:tblStyle w:val="37"/>
        <w:tblW w:w="495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3"/>
        <w:gridCol w:w="1801"/>
        <w:gridCol w:w="2060"/>
        <w:gridCol w:w="1595"/>
        <w:gridCol w:w="2233"/>
        <w:gridCol w:w="931"/>
      </w:tblGrid>
      <w:tr w14:paraId="57AA5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18CC6A83">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sz w:val="21"/>
                <w:szCs w:val="21"/>
                <w:highlight w:val="none"/>
              </w:rPr>
              <w:t>序号</w:t>
            </w:r>
          </w:p>
        </w:tc>
        <w:tc>
          <w:tcPr>
            <w:tcW w:w="938" w:type="pct"/>
            <w:tcBorders>
              <w:top w:val="single" w:color="auto" w:sz="4" w:space="0"/>
              <w:left w:val="single" w:color="auto" w:sz="4" w:space="0"/>
              <w:bottom w:val="single" w:color="auto" w:sz="4" w:space="0"/>
              <w:right w:val="single" w:color="auto" w:sz="4" w:space="0"/>
            </w:tcBorders>
            <w:shd w:val="clear" w:color="auto" w:fill="auto"/>
            <w:vAlign w:val="center"/>
          </w:tcPr>
          <w:p w14:paraId="65C8CAD9">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sz w:val="21"/>
                <w:szCs w:val="21"/>
                <w:highlight w:val="none"/>
              </w:rPr>
              <w:t>设备类别</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67E9C261">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sz w:val="21"/>
                <w:szCs w:val="21"/>
                <w:highlight w:val="none"/>
              </w:rPr>
              <w:t>设备名称</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29C54BF0">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sz w:val="21"/>
                <w:szCs w:val="21"/>
                <w:highlight w:val="none"/>
              </w:rPr>
              <w:t>数量</w:t>
            </w:r>
          </w:p>
        </w:tc>
        <w:tc>
          <w:tcPr>
            <w:tcW w:w="1163" w:type="pct"/>
            <w:tcBorders>
              <w:top w:val="single" w:color="auto" w:sz="4" w:space="0"/>
              <w:left w:val="single" w:color="auto" w:sz="4" w:space="0"/>
              <w:bottom w:val="single" w:color="auto" w:sz="4" w:space="0"/>
              <w:right w:val="single" w:color="auto" w:sz="6" w:space="0"/>
            </w:tcBorders>
            <w:shd w:val="clear" w:color="auto" w:fill="auto"/>
            <w:vAlign w:val="center"/>
          </w:tcPr>
          <w:p w14:paraId="784AA77E">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sz w:val="21"/>
                <w:szCs w:val="21"/>
                <w:highlight w:val="none"/>
                <w:lang w:val="en-US" w:eastAsia="zh-CN"/>
              </w:rPr>
              <w:t>总质量（如有）</w:t>
            </w:r>
          </w:p>
        </w:tc>
        <w:tc>
          <w:tcPr>
            <w:tcW w:w="485" w:type="pct"/>
            <w:tcBorders>
              <w:top w:val="single" w:color="auto" w:sz="4" w:space="0"/>
              <w:left w:val="single" w:color="auto" w:sz="4" w:space="0"/>
              <w:bottom w:val="single" w:color="auto" w:sz="4" w:space="0"/>
              <w:right w:val="single" w:color="auto" w:sz="6" w:space="0"/>
            </w:tcBorders>
            <w:shd w:val="clear" w:color="auto" w:fill="auto"/>
            <w:vAlign w:val="center"/>
          </w:tcPr>
          <w:p w14:paraId="62787221">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hint="eastAsia" w:eastAsia="宋体" w:cs="宋体"/>
                <w:sz w:val="21"/>
                <w:szCs w:val="21"/>
                <w:highlight w:val="none"/>
              </w:rPr>
            </w:pPr>
            <w:r>
              <w:rPr>
                <w:rFonts w:hint="eastAsia" w:eastAsia="宋体" w:cs="宋体"/>
                <w:sz w:val="21"/>
                <w:szCs w:val="21"/>
                <w:highlight w:val="none"/>
              </w:rPr>
              <w:t>备注</w:t>
            </w:r>
          </w:p>
        </w:tc>
      </w:tr>
      <w:tr w14:paraId="45C82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5728AF4F">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sz w:val="21"/>
                <w:szCs w:val="21"/>
                <w:highlight w:val="none"/>
              </w:rPr>
              <w:t>1</w:t>
            </w:r>
          </w:p>
        </w:tc>
        <w:tc>
          <w:tcPr>
            <w:tcW w:w="938" w:type="pct"/>
            <w:vMerge w:val="restart"/>
            <w:tcBorders>
              <w:top w:val="single" w:color="auto" w:sz="4" w:space="0"/>
              <w:left w:val="single" w:color="auto" w:sz="4" w:space="0"/>
              <w:right w:val="single" w:color="auto" w:sz="4" w:space="0"/>
            </w:tcBorders>
            <w:shd w:val="clear" w:color="auto" w:fill="auto"/>
            <w:vAlign w:val="center"/>
          </w:tcPr>
          <w:p w14:paraId="3215AD09">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bCs/>
                <w:sz w:val="21"/>
                <w:szCs w:val="21"/>
                <w:highlight w:val="none"/>
                <w:lang w:bidi="ar"/>
              </w:rPr>
              <w:t>机械、养护设备</w:t>
            </w: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13ACF2E4">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sz w:val="21"/>
                <w:szCs w:val="21"/>
                <w:highlight w:val="none"/>
              </w:rPr>
              <w:t>......</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74C4E78D">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c>
          <w:tcPr>
            <w:tcW w:w="1163" w:type="pct"/>
            <w:tcBorders>
              <w:top w:val="single" w:color="auto" w:sz="4" w:space="0"/>
              <w:left w:val="single" w:color="auto" w:sz="4" w:space="0"/>
              <w:bottom w:val="single" w:color="auto" w:sz="4" w:space="0"/>
              <w:right w:val="single" w:color="auto" w:sz="6" w:space="0"/>
            </w:tcBorders>
            <w:shd w:val="clear" w:color="auto" w:fill="auto"/>
            <w:vAlign w:val="center"/>
          </w:tcPr>
          <w:p w14:paraId="0C46584A">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c>
          <w:tcPr>
            <w:tcW w:w="485" w:type="pct"/>
            <w:tcBorders>
              <w:top w:val="single" w:color="auto" w:sz="4" w:space="0"/>
              <w:left w:val="single" w:color="auto" w:sz="4" w:space="0"/>
              <w:bottom w:val="single" w:color="auto" w:sz="4" w:space="0"/>
              <w:right w:val="single" w:color="auto" w:sz="6" w:space="0"/>
            </w:tcBorders>
            <w:shd w:val="clear" w:color="auto" w:fill="auto"/>
            <w:vAlign w:val="center"/>
          </w:tcPr>
          <w:p w14:paraId="2FF276C4">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r>
      <w:tr w14:paraId="6226D8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32AC8653">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sz w:val="21"/>
                <w:szCs w:val="21"/>
                <w:highlight w:val="none"/>
              </w:rPr>
              <w:t>2</w:t>
            </w:r>
          </w:p>
        </w:tc>
        <w:tc>
          <w:tcPr>
            <w:tcW w:w="938" w:type="pct"/>
            <w:vMerge w:val="continue"/>
            <w:tcBorders>
              <w:left w:val="single" w:color="auto" w:sz="4" w:space="0"/>
              <w:right w:val="single" w:color="auto" w:sz="4" w:space="0"/>
            </w:tcBorders>
            <w:shd w:val="clear" w:color="auto" w:fill="auto"/>
            <w:vAlign w:val="center"/>
          </w:tcPr>
          <w:p w14:paraId="153A9D51">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7CD3B5FA">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sz w:val="21"/>
                <w:szCs w:val="21"/>
                <w:highlight w:val="none"/>
              </w:rPr>
              <w:t>......</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635C7CA5">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c>
          <w:tcPr>
            <w:tcW w:w="1163" w:type="pct"/>
            <w:tcBorders>
              <w:top w:val="single" w:color="auto" w:sz="4" w:space="0"/>
              <w:left w:val="single" w:color="auto" w:sz="4" w:space="0"/>
              <w:bottom w:val="single" w:color="auto" w:sz="4" w:space="0"/>
              <w:right w:val="single" w:color="auto" w:sz="6" w:space="0"/>
            </w:tcBorders>
            <w:shd w:val="clear" w:color="auto" w:fill="auto"/>
            <w:vAlign w:val="center"/>
          </w:tcPr>
          <w:p w14:paraId="75C05E36">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c>
          <w:tcPr>
            <w:tcW w:w="485" w:type="pct"/>
            <w:tcBorders>
              <w:top w:val="single" w:color="auto" w:sz="4" w:space="0"/>
              <w:left w:val="single" w:color="auto" w:sz="4" w:space="0"/>
              <w:bottom w:val="single" w:color="auto" w:sz="4" w:space="0"/>
              <w:right w:val="single" w:color="auto" w:sz="6" w:space="0"/>
            </w:tcBorders>
            <w:shd w:val="clear" w:color="auto" w:fill="auto"/>
            <w:vAlign w:val="center"/>
          </w:tcPr>
          <w:p w14:paraId="61DCE03B">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r>
      <w:tr w14:paraId="6F46CB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5EE500C1">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sz w:val="21"/>
                <w:szCs w:val="21"/>
                <w:highlight w:val="none"/>
              </w:rPr>
              <w:t>3</w:t>
            </w:r>
          </w:p>
        </w:tc>
        <w:tc>
          <w:tcPr>
            <w:tcW w:w="938" w:type="pct"/>
            <w:vMerge w:val="continue"/>
            <w:tcBorders>
              <w:left w:val="single" w:color="auto" w:sz="4" w:space="0"/>
              <w:right w:val="single" w:color="auto" w:sz="4" w:space="0"/>
            </w:tcBorders>
            <w:shd w:val="clear" w:color="auto" w:fill="auto"/>
            <w:vAlign w:val="center"/>
          </w:tcPr>
          <w:p w14:paraId="1409B41C">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2BD8013B">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sz w:val="21"/>
                <w:szCs w:val="21"/>
                <w:highlight w:val="none"/>
              </w:rPr>
              <w:t>......</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26DBF922">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c>
          <w:tcPr>
            <w:tcW w:w="1163" w:type="pct"/>
            <w:tcBorders>
              <w:top w:val="single" w:color="auto" w:sz="4" w:space="0"/>
              <w:left w:val="single" w:color="auto" w:sz="4" w:space="0"/>
              <w:bottom w:val="single" w:color="auto" w:sz="4" w:space="0"/>
              <w:right w:val="single" w:color="auto" w:sz="6" w:space="0"/>
            </w:tcBorders>
            <w:shd w:val="clear" w:color="auto" w:fill="auto"/>
            <w:vAlign w:val="center"/>
          </w:tcPr>
          <w:p w14:paraId="50B7B280">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c>
          <w:tcPr>
            <w:tcW w:w="485" w:type="pct"/>
            <w:tcBorders>
              <w:top w:val="single" w:color="auto" w:sz="4" w:space="0"/>
              <w:left w:val="single" w:color="auto" w:sz="4" w:space="0"/>
              <w:bottom w:val="single" w:color="auto" w:sz="4" w:space="0"/>
              <w:right w:val="single" w:color="auto" w:sz="6" w:space="0"/>
            </w:tcBorders>
            <w:shd w:val="clear" w:color="auto" w:fill="auto"/>
            <w:vAlign w:val="center"/>
          </w:tcPr>
          <w:p w14:paraId="35B4CA89">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r>
      <w:tr w14:paraId="7297FB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exact"/>
          <w:jc w:val="center"/>
        </w:trPr>
        <w:tc>
          <w:tcPr>
            <w:tcW w:w="507" w:type="pct"/>
            <w:tcBorders>
              <w:top w:val="single" w:color="auto" w:sz="4" w:space="0"/>
              <w:left w:val="single" w:color="auto" w:sz="4" w:space="0"/>
              <w:bottom w:val="single" w:color="auto" w:sz="4" w:space="0"/>
              <w:right w:val="single" w:color="auto" w:sz="4" w:space="0"/>
            </w:tcBorders>
            <w:shd w:val="clear" w:color="auto" w:fill="auto"/>
            <w:vAlign w:val="center"/>
          </w:tcPr>
          <w:p w14:paraId="55B32CE4">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sz w:val="21"/>
                <w:szCs w:val="21"/>
                <w:highlight w:val="none"/>
              </w:rPr>
              <w:t>......</w:t>
            </w:r>
          </w:p>
        </w:tc>
        <w:tc>
          <w:tcPr>
            <w:tcW w:w="938" w:type="pct"/>
            <w:vMerge w:val="continue"/>
            <w:tcBorders>
              <w:left w:val="single" w:color="auto" w:sz="4" w:space="0"/>
              <w:bottom w:val="single" w:color="auto" w:sz="4" w:space="0"/>
              <w:right w:val="single" w:color="auto" w:sz="4" w:space="0"/>
            </w:tcBorders>
            <w:shd w:val="clear" w:color="auto" w:fill="auto"/>
            <w:vAlign w:val="center"/>
          </w:tcPr>
          <w:p w14:paraId="418A1DEB">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c>
          <w:tcPr>
            <w:tcW w:w="1073" w:type="pct"/>
            <w:tcBorders>
              <w:top w:val="single" w:color="auto" w:sz="4" w:space="0"/>
              <w:left w:val="single" w:color="auto" w:sz="4" w:space="0"/>
              <w:bottom w:val="single" w:color="auto" w:sz="4" w:space="0"/>
              <w:right w:val="single" w:color="auto" w:sz="4" w:space="0"/>
            </w:tcBorders>
            <w:shd w:val="clear" w:color="auto" w:fill="auto"/>
            <w:vAlign w:val="center"/>
          </w:tcPr>
          <w:p w14:paraId="091B5FA4">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r>
              <w:rPr>
                <w:rFonts w:hint="eastAsia" w:eastAsia="宋体" w:cs="宋体"/>
                <w:sz w:val="21"/>
                <w:szCs w:val="21"/>
                <w:highlight w:val="none"/>
              </w:rPr>
              <w:t>......</w:t>
            </w:r>
          </w:p>
        </w:tc>
        <w:tc>
          <w:tcPr>
            <w:tcW w:w="831" w:type="pct"/>
            <w:tcBorders>
              <w:top w:val="single" w:color="auto" w:sz="4" w:space="0"/>
              <w:left w:val="single" w:color="auto" w:sz="4" w:space="0"/>
              <w:bottom w:val="single" w:color="auto" w:sz="4" w:space="0"/>
              <w:right w:val="single" w:color="auto" w:sz="4" w:space="0"/>
            </w:tcBorders>
            <w:shd w:val="clear" w:color="auto" w:fill="auto"/>
            <w:vAlign w:val="center"/>
          </w:tcPr>
          <w:p w14:paraId="6E1EF369">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c>
          <w:tcPr>
            <w:tcW w:w="1163" w:type="pct"/>
            <w:tcBorders>
              <w:top w:val="single" w:color="auto" w:sz="4" w:space="0"/>
              <w:left w:val="single" w:color="auto" w:sz="4" w:space="0"/>
              <w:bottom w:val="single" w:color="auto" w:sz="4" w:space="0"/>
              <w:right w:val="single" w:color="auto" w:sz="6" w:space="0"/>
            </w:tcBorders>
            <w:shd w:val="clear" w:color="auto" w:fill="auto"/>
            <w:vAlign w:val="center"/>
          </w:tcPr>
          <w:p w14:paraId="5174DF3A">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c>
          <w:tcPr>
            <w:tcW w:w="485" w:type="pct"/>
            <w:tcBorders>
              <w:top w:val="single" w:color="auto" w:sz="4" w:space="0"/>
              <w:left w:val="single" w:color="auto" w:sz="4" w:space="0"/>
              <w:bottom w:val="single" w:color="auto" w:sz="4" w:space="0"/>
              <w:right w:val="single" w:color="auto" w:sz="6" w:space="0"/>
            </w:tcBorders>
            <w:shd w:val="clear" w:color="auto" w:fill="auto"/>
            <w:vAlign w:val="center"/>
          </w:tcPr>
          <w:p w14:paraId="447E99B5">
            <w:pPr>
              <w:pStyle w:val="33"/>
              <w:keepNext w:val="0"/>
              <w:keepLines w:val="0"/>
              <w:pageBreakBefore w:val="0"/>
              <w:widowControl/>
              <w:kinsoku/>
              <w:wordWrap/>
              <w:overflowPunct/>
              <w:topLinePunct w:val="0"/>
              <w:autoSpaceDE/>
              <w:autoSpaceDN/>
              <w:bidi w:val="0"/>
              <w:adjustRightInd/>
              <w:snapToGrid/>
              <w:spacing w:before="0" w:beforeAutospacing="0" w:after="0" w:line="240" w:lineRule="auto"/>
              <w:jc w:val="center"/>
              <w:textAlignment w:val="auto"/>
              <w:rPr>
                <w:rFonts w:eastAsia="宋体" w:cs="宋体"/>
                <w:sz w:val="21"/>
                <w:szCs w:val="21"/>
                <w:highlight w:val="none"/>
              </w:rPr>
            </w:pPr>
          </w:p>
        </w:tc>
      </w:tr>
    </w:tbl>
    <w:p w14:paraId="2634677B">
      <w:pPr>
        <w:spacing w:line="360" w:lineRule="auto"/>
        <w:rPr>
          <w:rFonts w:ascii="宋体" w:hAnsi="宋体" w:eastAsia="宋体" w:cs="宋体"/>
          <w:b/>
          <w:szCs w:val="21"/>
          <w:highlight w:val="none"/>
          <w:lang w:bidi="ar"/>
        </w:rPr>
      </w:pPr>
    </w:p>
    <w:p w14:paraId="41139103">
      <w:pPr>
        <w:spacing w:line="360" w:lineRule="auto"/>
        <w:rPr>
          <w:highlight w:val="none"/>
        </w:rPr>
      </w:pPr>
    </w:p>
    <w:p w14:paraId="1CEE3E9C">
      <w:pPr>
        <w:spacing w:line="360" w:lineRule="auto"/>
        <w:rPr>
          <w:rFonts w:ascii="宋体" w:hAnsi="宋体" w:eastAsia="宋体" w:cs="宋体"/>
          <w:b/>
          <w:szCs w:val="21"/>
          <w:highlight w:val="none"/>
          <w:lang w:bidi="ar"/>
        </w:rPr>
      </w:pPr>
      <w:r>
        <w:rPr>
          <w:rFonts w:hint="eastAsia" w:ascii="宋体" w:hAnsi="宋体" w:eastAsia="宋体" w:cs="宋体"/>
          <w:b/>
          <w:szCs w:val="21"/>
          <w:highlight w:val="none"/>
          <w:lang w:bidi="ar"/>
        </w:rPr>
        <w:t>备注：</w:t>
      </w:r>
    </w:p>
    <w:p w14:paraId="6AF3D33D">
      <w:pPr>
        <w:spacing w:line="360" w:lineRule="auto"/>
        <w:rPr>
          <w:rFonts w:ascii="宋体" w:hAnsi="宋体" w:eastAsia="宋体" w:cs="宋体"/>
          <w:b/>
          <w:szCs w:val="21"/>
          <w:highlight w:val="none"/>
          <w:lang w:bidi="ar"/>
        </w:rPr>
      </w:pPr>
      <w:r>
        <w:rPr>
          <w:rFonts w:hint="eastAsia" w:ascii="宋体" w:hAnsi="宋体" w:eastAsia="宋体" w:cs="宋体"/>
          <w:b/>
          <w:szCs w:val="21"/>
          <w:highlight w:val="none"/>
          <w:lang w:bidi="ar"/>
        </w:rPr>
        <w:t>（1）投标人应根据自身实际情况按上述格式填写设备清单</w:t>
      </w:r>
      <w:r>
        <w:rPr>
          <w:rFonts w:hint="eastAsia" w:ascii="宋体" w:hAnsi="宋体" w:eastAsia="宋体" w:cs="宋体"/>
          <w:b/>
          <w:szCs w:val="21"/>
          <w:highlight w:val="none"/>
          <w:lang w:eastAsia="zh-CN" w:bidi="ar"/>
        </w:rPr>
        <w:t>；</w:t>
      </w:r>
      <w:r>
        <w:rPr>
          <w:rFonts w:hint="eastAsia" w:ascii="宋体" w:hAnsi="宋体" w:eastAsia="宋体" w:cs="宋体"/>
          <w:b/>
          <w:szCs w:val="21"/>
          <w:highlight w:val="none"/>
          <w:lang w:val="en-US" w:eastAsia="zh-CN" w:bidi="ar"/>
        </w:rPr>
        <w:t>填写密封式垃圾清运车时，须按总质量由小到大的顺序进行填写</w:t>
      </w:r>
      <w:r>
        <w:rPr>
          <w:rFonts w:hint="eastAsia" w:ascii="宋体" w:hAnsi="宋体" w:eastAsia="宋体" w:cs="宋体"/>
          <w:b/>
          <w:szCs w:val="21"/>
          <w:highlight w:val="none"/>
          <w:lang w:bidi="ar"/>
        </w:rPr>
        <w:t>。</w:t>
      </w:r>
    </w:p>
    <w:p w14:paraId="166B743A">
      <w:pPr>
        <w:spacing w:line="360" w:lineRule="auto"/>
        <w:rPr>
          <w:rFonts w:ascii="宋体" w:hAnsi="宋体" w:eastAsia="宋体" w:cs="宋体"/>
          <w:b/>
          <w:szCs w:val="21"/>
          <w:highlight w:val="none"/>
          <w:lang w:bidi="ar"/>
        </w:rPr>
      </w:pPr>
      <w:r>
        <w:rPr>
          <w:rFonts w:hint="eastAsia" w:ascii="宋体" w:hAnsi="宋体" w:eastAsia="宋体" w:cs="宋体"/>
          <w:b/>
          <w:szCs w:val="21"/>
          <w:highlight w:val="none"/>
          <w:lang w:bidi="ar"/>
        </w:rPr>
        <w:t>（2）自有设备的须提供：①购买发票</w:t>
      </w:r>
      <w:r>
        <w:rPr>
          <w:rFonts w:hint="eastAsia" w:ascii="宋体" w:hAnsi="宋体" w:eastAsia="宋体" w:cs="宋体"/>
          <w:b/>
          <w:szCs w:val="21"/>
          <w:highlight w:val="none"/>
          <w:lang w:val="en-US" w:eastAsia="zh-CN" w:bidi="ar"/>
        </w:rPr>
        <w:t>扫描件</w:t>
      </w:r>
      <w:r>
        <w:rPr>
          <w:rFonts w:hint="eastAsia" w:ascii="宋体" w:hAnsi="宋体" w:eastAsia="宋体" w:cs="宋体"/>
          <w:b/>
          <w:szCs w:val="21"/>
          <w:highlight w:val="none"/>
          <w:lang w:bidi="ar"/>
        </w:rPr>
        <w:t>；②设备照片/图片</w:t>
      </w:r>
      <w:r>
        <w:rPr>
          <w:rFonts w:hint="eastAsia" w:ascii="宋体" w:hAnsi="宋体" w:eastAsia="宋体" w:cs="宋体"/>
          <w:b/>
          <w:szCs w:val="21"/>
          <w:highlight w:val="none"/>
          <w:lang w:val="en-US" w:eastAsia="zh-CN" w:bidi="ar"/>
        </w:rPr>
        <w:t>扫描件</w:t>
      </w:r>
      <w:r>
        <w:rPr>
          <w:rFonts w:hint="eastAsia" w:ascii="宋体" w:hAnsi="宋体" w:eastAsia="宋体" w:cs="宋体"/>
          <w:b/>
          <w:szCs w:val="21"/>
          <w:highlight w:val="none"/>
          <w:lang w:bidi="ar"/>
        </w:rPr>
        <w:t>（照片/图片须清晰显示拍摄时间为2025年1</w:t>
      </w:r>
      <w:r>
        <w:rPr>
          <w:rFonts w:hint="eastAsia" w:ascii="宋体" w:hAnsi="宋体" w:eastAsia="宋体" w:cs="宋体"/>
          <w:b/>
          <w:szCs w:val="21"/>
          <w:highlight w:val="none"/>
          <w:lang w:val="en-US" w:eastAsia="zh-CN" w:bidi="ar"/>
        </w:rPr>
        <w:t>2</w:t>
      </w:r>
      <w:r>
        <w:rPr>
          <w:rFonts w:hint="eastAsia" w:ascii="宋体" w:hAnsi="宋体" w:eastAsia="宋体" w:cs="宋体"/>
          <w:b/>
          <w:szCs w:val="21"/>
          <w:highlight w:val="none"/>
          <w:lang w:bidi="ar"/>
        </w:rPr>
        <w:t>月1日或以后）</w:t>
      </w:r>
      <w:r>
        <w:rPr>
          <w:rFonts w:hint="eastAsia" w:ascii="宋体" w:hAnsi="宋体" w:eastAsia="宋体" w:cs="宋体"/>
          <w:b/>
          <w:szCs w:val="21"/>
          <w:highlight w:val="none"/>
          <w:lang w:eastAsia="zh-CN" w:bidi="ar"/>
        </w:rPr>
        <w:t>；③密封式垃圾清运车还须提供机动车行驶证扫描件（证件上显示的所有人应为投标人，并以证件上的总质量数据作为评审依据）</w:t>
      </w:r>
      <w:r>
        <w:rPr>
          <w:rFonts w:hint="eastAsia" w:ascii="宋体" w:hAnsi="宋体" w:eastAsia="宋体" w:cs="宋体"/>
          <w:b/>
          <w:szCs w:val="21"/>
          <w:highlight w:val="none"/>
          <w:lang w:bidi="ar"/>
        </w:rPr>
        <w:t>。</w:t>
      </w:r>
    </w:p>
    <w:p w14:paraId="6B5F9405">
      <w:pPr>
        <w:spacing w:line="360" w:lineRule="auto"/>
        <w:rPr>
          <w:rFonts w:hint="eastAsia" w:ascii="宋体" w:hAnsi="宋体" w:eastAsia="宋体" w:cs="宋体"/>
          <w:b/>
          <w:szCs w:val="21"/>
          <w:highlight w:val="none"/>
          <w:lang w:eastAsia="zh-CN" w:bidi="ar"/>
        </w:rPr>
      </w:pPr>
      <w:r>
        <w:rPr>
          <w:rFonts w:hint="eastAsia" w:ascii="宋体" w:hAnsi="宋体" w:eastAsia="宋体" w:cs="宋体"/>
          <w:b/>
          <w:szCs w:val="21"/>
          <w:highlight w:val="none"/>
          <w:lang w:bidi="ar"/>
        </w:rPr>
        <w:t>（3）租赁设备的须提供：①租赁合同</w:t>
      </w:r>
      <w:r>
        <w:rPr>
          <w:rFonts w:hint="eastAsia" w:ascii="宋体" w:hAnsi="宋体" w:eastAsia="宋体" w:cs="宋体"/>
          <w:b/>
          <w:szCs w:val="21"/>
          <w:highlight w:val="none"/>
          <w:lang w:val="en-US" w:eastAsia="zh-CN" w:bidi="ar"/>
        </w:rPr>
        <w:t>扫描件(合同有效期须至2027年6月30日或以后)</w:t>
      </w:r>
      <w:r>
        <w:rPr>
          <w:rFonts w:hint="eastAsia" w:ascii="宋体" w:hAnsi="宋体" w:eastAsia="宋体" w:cs="宋体"/>
          <w:b/>
          <w:szCs w:val="21"/>
          <w:highlight w:val="none"/>
          <w:lang w:bidi="ar"/>
        </w:rPr>
        <w:t>；②设备照片/图片</w:t>
      </w:r>
      <w:r>
        <w:rPr>
          <w:rFonts w:hint="eastAsia" w:ascii="宋体" w:hAnsi="宋体" w:eastAsia="宋体" w:cs="宋体"/>
          <w:b/>
          <w:szCs w:val="21"/>
          <w:highlight w:val="none"/>
          <w:lang w:val="en-US" w:eastAsia="zh-CN" w:bidi="ar"/>
        </w:rPr>
        <w:t>扫描件</w:t>
      </w:r>
      <w:r>
        <w:rPr>
          <w:rFonts w:hint="eastAsia" w:ascii="宋体" w:hAnsi="宋体" w:eastAsia="宋体" w:cs="宋体"/>
          <w:b/>
          <w:szCs w:val="21"/>
          <w:highlight w:val="none"/>
          <w:lang w:bidi="ar"/>
        </w:rPr>
        <w:t>（照片/图片须清晰显示拍摄时间为2025年1</w:t>
      </w:r>
      <w:r>
        <w:rPr>
          <w:rFonts w:hint="eastAsia" w:ascii="宋体" w:hAnsi="宋体" w:eastAsia="宋体" w:cs="宋体"/>
          <w:b/>
          <w:szCs w:val="21"/>
          <w:highlight w:val="none"/>
          <w:lang w:val="en-US" w:eastAsia="zh-CN" w:bidi="ar"/>
        </w:rPr>
        <w:t>2</w:t>
      </w:r>
      <w:r>
        <w:rPr>
          <w:rFonts w:hint="eastAsia" w:ascii="宋体" w:hAnsi="宋体" w:eastAsia="宋体" w:cs="宋体"/>
          <w:b/>
          <w:szCs w:val="21"/>
          <w:highlight w:val="none"/>
          <w:lang w:bidi="ar"/>
        </w:rPr>
        <w:t>月1日或以后）</w:t>
      </w:r>
      <w:r>
        <w:rPr>
          <w:rFonts w:hint="eastAsia" w:ascii="宋体" w:hAnsi="宋体" w:eastAsia="宋体" w:cs="宋体"/>
          <w:b/>
          <w:szCs w:val="21"/>
          <w:highlight w:val="none"/>
          <w:lang w:eastAsia="zh-CN" w:bidi="ar"/>
        </w:rPr>
        <w:t>；</w:t>
      </w:r>
      <w:r>
        <w:rPr>
          <w:rFonts w:hint="eastAsia" w:ascii="宋体" w:hAnsi="宋体" w:eastAsia="宋体" w:cs="宋体"/>
          <w:b/>
          <w:szCs w:val="21"/>
          <w:highlight w:val="none"/>
          <w:lang w:val="en-US" w:eastAsia="zh-CN" w:bidi="ar"/>
        </w:rPr>
        <w:t>③密封式垃圾清运车还须提供机动车行驶证扫描件（证件上显示的所有人应为租赁合同中的出租方，并以证件上的总质量数据作为评审依据）</w:t>
      </w:r>
      <w:r>
        <w:rPr>
          <w:rFonts w:hint="eastAsia" w:ascii="宋体" w:hAnsi="宋体" w:eastAsia="宋体" w:cs="宋体"/>
          <w:b/>
          <w:szCs w:val="21"/>
          <w:highlight w:val="none"/>
          <w:lang w:eastAsia="zh-CN" w:bidi="ar"/>
        </w:rPr>
        <w:t>。</w:t>
      </w:r>
    </w:p>
    <w:p w14:paraId="31F09209">
      <w:pPr>
        <w:widowControl/>
        <w:jc w:val="left"/>
        <w:rPr>
          <w:rFonts w:hint="eastAsia" w:ascii="宋体" w:hAnsi="宋体" w:eastAsia="宋体" w:cs="宋体"/>
          <w:kern w:val="0"/>
          <w:szCs w:val="21"/>
          <w:highlight w:val="none"/>
        </w:rPr>
      </w:pPr>
      <w:r>
        <w:rPr>
          <w:rFonts w:hint="eastAsia" w:ascii="宋体" w:hAnsi="宋体" w:eastAsia="宋体" w:cs="宋体"/>
          <w:b/>
          <w:szCs w:val="21"/>
          <w:highlight w:val="none"/>
          <w:lang w:bidi="ar"/>
        </w:rPr>
        <w:t>（</w:t>
      </w:r>
      <w:r>
        <w:rPr>
          <w:rFonts w:hint="default" w:ascii="宋体" w:hAnsi="宋体" w:eastAsia="宋体" w:cs="宋体"/>
          <w:b/>
          <w:szCs w:val="21"/>
          <w:highlight w:val="none"/>
          <w:lang w:bidi="ar"/>
        </w:rPr>
        <w:t>4</w:t>
      </w:r>
      <w:r>
        <w:rPr>
          <w:rFonts w:hint="eastAsia" w:ascii="宋体" w:hAnsi="宋体" w:eastAsia="宋体" w:cs="宋体"/>
          <w:b/>
          <w:szCs w:val="21"/>
          <w:highlight w:val="none"/>
          <w:lang w:bidi="ar"/>
        </w:rPr>
        <w:t>）未按上述要求提供证明材料的不得分。</w:t>
      </w:r>
    </w:p>
    <w:p w14:paraId="619767C0">
      <w:pPr>
        <w:widowControl/>
        <w:autoSpaceDE/>
        <w:autoSpaceDN/>
        <w:adjustRightInd/>
        <w:spacing w:line="360" w:lineRule="auto"/>
        <w:jc w:val="left"/>
        <w:rPr>
          <w:rFonts w:hint="eastAsia" w:ascii="宋体" w:hAnsi="宋体" w:eastAsia="宋体" w:cs="宋体"/>
          <w:b/>
          <w:color w:val="auto"/>
          <w:szCs w:val="21"/>
          <w:highlight w:val="none"/>
          <w:lang w:bidi="ar"/>
        </w:rPr>
      </w:pPr>
    </w:p>
    <w:p w14:paraId="17AD5695">
      <w:pPr>
        <w:widowControl/>
        <w:jc w:val="left"/>
        <w:outlineLvl w:val="9"/>
        <w:rPr>
          <w:rFonts w:hint="eastAsia" w:ascii="宋体" w:hAnsi="宋体" w:eastAsia="宋体" w:cs="宋体"/>
          <w:color w:val="auto"/>
          <w:kern w:val="0"/>
          <w:szCs w:val="21"/>
          <w:highlight w:val="none"/>
        </w:rPr>
      </w:pPr>
      <w:bookmarkStart w:id="707" w:name="_Toc94107225"/>
      <w:r>
        <w:rPr>
          <w:rFonts w:hint="eastAsia" w:ascii="宋体" w:hAnsi="宋体" w:eastAsia="宋体" w:cs="宋体"/>
          <w:color w:val="auto"/>
          <w:kern w:val="0"/>
          <w:szCs w:val="21"/>
          <w:highlight w:val="none"/>
        </w:rPr>
        <w:br w:type="page"/>
      </w:r>
    </w:p>
    <w:bookmarkEnd w:id="707"/>
    <w:p w14:paraId="343FC32C">
      <w:pPr>
        <w:pStyle w:val="33"/>
        <w:pageBreakBefore w:val="0"/>
        <w:spacing w:before="0" w:after="0" w:line="360" w:lineRule="auto"/>
        <w:outlineLvl w:val="1"/>
        <w:rPr>
          <w:rFonts w:eastAsia="宋体" w:cs="宋体"/>
          <w:b/>
          <w:kern w:val="0"/>
          <w:sz w:val="30"/>
          <w:szCs w:val="30"/>
          <w:highlight w:val="none"/>
        </w:rPr>
      </w:pPr>
      <w:bookmarkStart w:id="708" w:name="_Toc140596949"/>
      <w:bookmarkStart w:id="709" w:name="_Toc102860094"/>
      <w:bookmarkStart w:id="710" w:name="_Toc102860438"/>
      <w:bookmarkStart w:id="711" w:name="_Toc142508389"/>
      <w:bookmarkStart w:id="712" w:name="_Toc104991896"/>
      <w:bookmarkStart w:id="713" w:name="_Toc533708139"/>
      <w:r>
        <w:rPr>
          <w:rFonts w:hint="eastAsia" w:eastAsia="宋体" w:cs="宋体"/>
          <w:b/>
          <w:color w:val="auto"/>
          <w:kern w:val="0"/>
          <w:sz w:val="30"/>
          <w:szCs w:val="30"/>
          <w:highlight w:val="none"/>
          <w:lang w:val="en-US" w:eastAsia="zh-CN"/>
        </w:rPr>
        <w:t>3</w:t>
      </w:r>
      <w:r>
        <w:rPr>
          <w:rFonts w:hint="eastAsia" w:ascii="宋体" w:hAnsi="宋体" w:eastAsia="宋体" w:cs="宋体"/>
          <w:b/>
          <w:color w:val="auto"/>
          <w:kern w:val="0"/>
          <w:sz w:val="30"/>
          <w:szCs w:val="30"/>
          <w:highlight w:val="none"/>
          <w:lang w:val="en-US" w:eastAsia="zh-CN"/>
        </w:rPr>
        <w:t>、</w:t>
      </w:r>
      <w:r>
        <w:rPr>
          <w:rFonts w:hint="eastAsia" w:eastAsia="宋体" w:cs="宋体"/>
          <w:b/>
          <w:kern w:val="0"/>
          <w:sz w:val="30"/>
          <w:szCs w:val="30"/>
          <w:highlight w:val="none"/>
        </w:rPr>
        <w:t>投标人服务团队实力</w:t>
      </w:r>
    </w:p>
    <w:p w14:paraId="091AEAA7">
      <w:pPr>
        <w:pStyle w:val="33"/>
        <w:spacing w:before="0" w:after="0" w:line="360" w:lineRule="auto"/>
        <w:jc w:val="center"/>
        <w:rPr>
          <w:rFonts w:eastAsia="宋体" w:cs="宋体"/>
          <w:sz w:val="21"/>
          <w:szCs w:val="21"/>
          <w:highlight w:val="none"/>
        </w:rPr>
      </w:pPr>
      <w:r>
        <w:rPr>
          <w:rFonts w:hint="eastAsia" w:eastAsia="宋体" w:cs="宋体"/>
          <w:b/>
          <w:sz w:val="30"/>
          <w:szCs w:val="30"/>
          <w:highlight w:val="none"/>
        </w:rPr>
        <w:t>投标人服务团队人员情况表</w:t>
      </w:r>
    </w:p>
    <w:tbl>
      <w:tblPr>
        <w:tblStyle w:val="37"/>
        <w:tblW w:w="5000"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4"/>
        <w:gridCol w:w="1172"/>
        <w:gridCol w:w="1693"/>
        <w:gridCol w:w="668"/>
        <w:gridCol w:w="639"/>
        <w:gridCol w:w="1118"/>
        <w:gridCol w:w="1038"/>
        <w:gridCol w:w="1174"/>
        <w:gridCol w:w="1200"/>
      </w:tblGrid>
      <w:tr w14:paraId="5E681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57" w:hRule="exact"/>
          <w:jc w:val="center"/>
        </w:trPr>
        <w:tc>
          <w:tcPr>
            <w:tcW w:w="503" w:type="pct"/>
            <w:tcBorders>
              <w:top w:val="single" w:color="auto" w:sz="4" w:space="0"/>
              <w:left w:val="single" w:color="auto" w:sz="4" w:space="0"/>
              <w:bottom w:val="single" w:color="auto" w:sz="4" w:space="0"/>
              <w:right w:val="single" w:color="auto" w:sz="4" w:space="0"/>
            </w:tcBorders>
            <w:shd w:val="clear" w:color="auto" w:fill="auto"/>
            <w:vAlign w:val="center"/>
          </w:tcPr>
          <w:p w14:paraId="7F08F30C">
            <w:pPr>
              <w:pStyle w:val="33"/>
              <w:spacing w:before="0" w:after="0" w:line="240" w:lineRule="auto"/>
              <w:jc w:val="center"/>
              <w:rPr>
                <w:rFonts w:eastAsia="宋体" w:cs="宋体"/>
                <w:sz w:val="21"/>
                <w:szCs w:val="21"/>
                <w:highlight w:val="none"/>
              </w:rPr>
            </w:pPr>
            <w:r>
              <w:rPr>
                <w:rFonts w:hint="eastAsia" w:eastAsia="宋体" w:cs="宋体"/>
                <w:sz w:val="21"/>
                <w:szCs w:val="21"/>
                <w:highlight w:val="none"/>
              </w:rPr>
              <w:t>序号</w:t>
            </w:r>
          </w:p>
        </w:tc>
        <w:tc>
          <w:tcPr>
            <w:tcW w:w="605" w:type="pct"/>
            <w:tcBorders>
              <w:top w:val="single" w:color="auto" w:sz="4" w:space="0"/>
              <w:left w:val="single" w:color="auto" w:sz="4" w:space="0"/>
              <w:bottom w:val="single" w:color="auto" w:sz="4" w:space="0"/>
              <w:right w:val="single" w:color="auto" w:sz="4" w:space="0"/>
            </w:tcBorders>
            <w:shd w:val="clear" w:color="auto" w:fill="auto"/>
            <w:vAlign w:val="center"/>
          </w:tcPr>
          <w:p w14:paraId="0AD7A217">
            <w:pPr>
              <w:pStyle w:val="33"/>
              <w:spacing w:before="0" w:after="0" w:line="240" w:lineRule="auto"/>
              <w:jc w:val="center"/>
              <w:rPr>
                <w:rFonts w:eastAsia="宋体" w:cs="宋体"/>
                <w:sz w:val="21"/>
                <w:szCs w:val="21"/>
                <w:highlight w:val="none"/>
              </w:rPr>
            </w:pPr>
            <w:r>
              <w:rPr>
                <w:rFonts w:hint="eastAsia" w:eastAsia="宋体" w:cs="宋体"/>
                <w:sz w:val="21"/>
                <w:szCs w:val="21"/>
                <w:highlight w:val="none"/>
              </w:rPr>
              <w:t>姓名</w:t>
            </w:r>
          </w:p>
        </w:tc>
        <w:tc>
          <w:tcPr>
            <w:tcW w:w="874" w:type="pct"/>
            <w:tcBorders>
              <w:top w:val="single" w:color="auto" w:sz="4" w:space="0"/>
              <w:left w:val="single" w:color="auto" w:sz="4" w:space="0"/>
              <w:bottom w:val="single" w:color="auto" w:sz="4" w:space="0"/>
              <w:right w:val="single" w:color="auto" w:sz="4" w:space="0"/>
            </w:tcBorders>
            <w:shd w:val="clear" w:color="auto" w:fill="auto"/>
            <w:vAlign w:val="center"/>
          </w:tcPr>
          <w:p w14:paraId="604221E9">
            <w:pPr>
              <w:pStyle w:val="33"/>
              <w:spacing w:before="0" w:after="0" w:line="240" w:lineRule="auto"/>
              <w:jc w:val="center"/>
              <w:rPr>
                <w:rFonts w:eastAsia="宋体" w:cs="宋体"/>
                <w:sz w:val="21"/>
                <w:szCs w:val="21"/>
                <w:highlight w:val="none"/>
              </w:rPr>
            </w:pPr>
            <w:r>
              <w:rPr>
                <w:rFonts w:hint="eastAsia" w:eastAsia="宋体" w:cs="宋体"/>
                <w:sz w:val="21"/>
                <w:szCs w:val="21"/>
                <w:highlight w:val="none"/>
              </w:rPr>
              <w:t>本项目拟任岗位</w:t>
            </w:r>
          </w:p>
        </w:tc>
        <w:tc>
          <w:tcPr>
            <w:tcW w:w="345" w:type="pct"/>
            <w:tcBorders>
              <w:top w:val="single" w:color="auto" w:sz="4" w:space="0"/>
              <w:left w:val="single" w:color="auto" w:sz="4" w:space="0"/>
              <w:bottom w:val="single" w:color="auto" w:sz="4" w:space="0"/>
              <w:right w:val="single" w:color="auto" w:sz="4" w:space="0"/>
            </w:tcBorders>
            <w:shd w:val="clear" w:color="auto" w:fill="auto"/>
            <w:vAlign w:val="center"/>
          </w:tcPr>
          <w:p w14:paraId="4A58C793">
            <w:pPr>
              <w:pStyle w:val="33"/>
              <w:spacing w:before="0" w:after="0" w:line="240" w:lineRule="auto"/>
              <w:jc w:val="center"/>
              <w:rPr>
                <w:rFonts w:eastAsia="宋体" w:cs="宋体"/>
                <w:sz w:val="21"/>
                <w:szCs w:val="21"/>
                <w:highlight w:val="none"/>
              </w:rPr>
            </w:pPr>
            <w:r>
              <w:rPr>
                <w:rFonts w:hint="eastAsia" w:eastAsia="宋体" w:cs="宋体"/>
                <w:sz w:val="21"/>
                <w:szCs w:val="21"/>
                <w:highlight w:val="none"/>
              </w:rPr>
              <w:t>性别</w:t>
            </w:r>
          </w:p>
        </w:tc>
        <w:tc>
          <w:tcPr>
            <w:tcW w:w="330" w:type="pct"/>
            <w:tcBorders>
              <w:top w:val="single" w:color="auto" w:sz="4" w:space="0"/>
              <w:left w:val="single" w:color="auto" w:sz="4" w:space="0"/>
              <w:bottom w:val="single" w:color="auto" w:sz="4" w:space="0"/>
              <w:right w:val="single" w:color="auto" w:sz="4" w:space="0"/>
            </w:tcBorders>
            <w:shd w:val="clear" w:color="auto" w:fill="auto"/>
            <w:vAlign w:val="center"/>
          </w:tcPr>
          <w:p w14:paraId="7C867E4D">
            <w:pPr>
              <w:pStyle w:val="33"/>
              <w:spacing w:before="0" w:after="0" w:line="240" w:lineRule="auto"/>
              <w:jc w:val="center"/>
              <w:rPr>
                <w:rFonts w:eastAsia="宋体" w:cs="宋体"/>
                <w:sz w:val="21"/>
                <w:szCs w:val="21"/>
                <w:highlight w:val="none"/>
              </w:rPr>
            </w:pPr>
            <w:r>
              <w:rPr>
                <w:rFonts w:hint="eastAsia" w:eastAsia="宋体" w:cs="宋体"/>
                <w:sz w:val="21"/>
                <w:szCs w:val="21"/>
                <w:highlight w:val="none"/>
              </w:rPr>
              <w:t>年龄</w:t>
            </w:r>
          </w:p>
        </w:tc>
        <w:tc>
          <w:tcPr>
            <w:tcW w:w="577" w:type="pct"/>
            <w:tcBorders>
              <w:top w:val="single" w:color="auto" w:sz="4" w:space="0"/>
              <w:left w:val="single" w:color="auto" w:sz="4" w:space="0"/>
              <w:bottom w:val="single" w:color="auto" w:sz="4" w:space="0"/>
              <w:right w:val="single" w:color="auto" w:sz="4" w:space="0"/>
            </w:tcBorders>
            <w:shd w:val="clear" w:color="auto" w:fill="auto"/>
            <w:vAlign w:val="center"/>
          </w:tcPr>
          <w:p w14:paraId="3E18ACF0">
            <w:pPr>
              <w:pStyle w:val="33"/>
              <w:spacing w:before="0" w:after="0" w:line="240" w:lineRule="auto"/>
              <w:jc w:val="center"/>
              <w:rPr>
                <w:rFonts w:eastAsia="宋体" w:cs="宋体"/>
                <w:sz w:val="21"/>
                <w:szCs w:val="21"/>
                <w:highlight w:val="none"/>
              </w:rPr>
            </w:pPr>
            <w:r>
              <w:rPr>
                <w:rFonts w:hint="eastAsia" w:eastAsia="宋体" w:cs="宋体"/>
                <w:sz w:val="21"/>
                <w:szCs w:val="21"/>
                <w:highlight w:val="none"/>
              </w:rPr>
              <w:t>技术职称</w:t>
            </w:r>
          </w:p>
        </w:tc>
        <w:tc>
          <w:tcPr>
            <w:tcW w:w="536" w:type="pct"/>
            <w:tcBorders>
              <w:top w:val="single" w:color="auto" w:sz="4" w:space="0"/>
              <w:left w:val="single" w:color="auto" w:sz="4" w:space="0"/>
              <w:bottom w:val="single" w:color="auto" w:sz="4" w:space="0"/>
              <w:right w:val="single" w:color="auto" w:sz="4" w:space="0"/>
            </w:tcBorders>
            <w:shd w:val="clear" w:color="auto" w:fill="auto"/>
            <w:vAlign w:val="center"/>
          </w:tcPr>
          <w:p w14:paraId="6BD1A78F">
            <w:pPr>
              <w:pStyle w:val="33"/>
              <w:spacing w:before="0" w:after="0" w:line="240" w:lineRule="auto"/>
              <w:jc w:val="center"/>
              <w:rPr>
                <w:rFonts w:eastAsia="宋体" w:cs="宋体"/>
                <w:sz w:val="21"/>
                <w:szCs w:val="21"/>
                <w:highlight w:val="none"/>
              </w:rPr>
            </w:pPr>
            <w:r>
              <w:rPr>
                <w:rFonts w:hint="eastAsia" w:eastAsia="宋体" w:cs="宋体"/>
                <w:sz w:val="21"/>
                <w:szCs w:val="21"/>
                <w:highlight w:val="none"/>
              </w:rPr>
              <w:t>专 业</w:t>
            </w:r>
          </w:p>
        </w:tc>
        <w:tc>
          <w:tcPr>
            <w:tcW w:w="606" w:type="pct"/>
            <w:tcBorders>
              <w:top w:val="single" w:color="auto" w:sz="4" w:space="0"/>
              <w:left w:val="single" w:color="auto" w:sz="4" w:space="0"/>
              <w:bottom w:val="single" w:color="auto" w:sz="4" w:space="0"/>
              <w:right w:val="single" w:color="auto" w:sz="4" w:space="0"/>
            </w:tcBorders>
            <w:shd w:val="clear" w:color="auto" w:fill="auto"/>
            <w:vAlign w:val="center"/>
          </w:tcPr>
          <w:p w14:paraId="03D162B2">
            <w:pPr>
              <w:pStyle w:val="33"/>
              <w:spacing w:before="0" w:after="0" w:line="240" w:lineRule="auto"/>
              <w:jc w:val="center"/>
              <w:rPr>
                <w:rFonts w:eastAsia="宋体" w:cs="宋体"/>
                <w:sz w:val="21"/>
                <w:szCs w:val="21"/>
                <w:highlight w:val="none"/>
              </w:rPr>
            </w:pPr>
            <w:r>
              <w:rPr>
                <w:rFonts w:hint="eastAsia" w:eastAsia="宋体" w:cs="宋体"/>
                <w:sz w:val="21"/>
                <w:szCs w:val="21"/>
                <w:highlight w:val="none"/>
              </w:rPr>
              <w:t>资格证书</w:t>
            </w:r>
          </w:p>
        </w:tc>
        <w:tc>
          <w:tcPr>
            <w:tcW w:w="619" w:type="pct"/>
            <w:tcBorders>
              <w:top w:val="single" w:color="auto" w:sz="4" w:space="0"/>
              <w:left w:val="single" w:color="auto" w:sz="4" w:space="0"/>
              <w:bottom w:val="single" w:color="auto" w:sz="4" w:space="0"/>
              <w:right w:val="single" w:color="auto" w:sz="6" w:space="0"/>
            </w:tcBorders>
            <w:shd w:val="clear" w:color="auto" w:fill="auto"/>
            <w:vAlign w:val="center"/>
          </w:tcPr>
          <w:p w14:paraId="54F4ED4C">
            <w:pPr>
              <w:pStyle w:val="33"/>
              <w:spacing w:before="0" w:after="0" w:line="240" w:lineRule="auto"/>
              <w:jc w:val="center"/>
              <w:rPr>
                <w:rFonts w:eastAsia="宋体" w:cs="宋体"/>
                <w:sz w:val="21"/>
                <w:szCs w:val="21"/>
                <w:highlight w:val="none"/>
              </w:rPr>
            </w:pPr>
            <w:r>
              <w:rPr>
                <w:rFonts w:hint="eastAsia" w:eastAsia="宋体" w:cs="宋体"/>
                <w:sz w:val="21"/>
                <w:szCs w:val="21"/>
                <w:highlight w:val="none"/>
              </w:rPr>
              <w:t>备注</w:t>
            </w:r>
          </w:p>
        </w:tc>
      </w:tr>
      <w:tr w14:paraId="33472F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94" w:hRule="atLeast"/>
          <w:jc w:val="center"/>
        </w:trPr>
        <w:tc>
          <w:tcPr>
            <w:tcW w:w="503" w:type="pct"/>
            <w:tcBorders>
              <w:top w:val="single" w:color="auto" w:sz="4" w:space="0"/>
              <w:left w:val="single" w:color="auto" w:sz="4" w:space="0"/>
              <w:bottom w:val="single" w:color="auto" w:sz="4" w:space="0"/>
              <w:right w:val="single" w:color="auto" w:sz="4" w:space="0"/>
            </w:tcBorders>
            <w:shd w:val="clear" w:color="auto" w:fill="auto"/>
          </w:tcPr>
          <w:p w14:paraId="19666FF1">
            <w:pPr>
              <w:pStyle w:val="33"/>
              <w:spacing w:before="0" w:after="0" w:line="360" w:lineRule="auto"/>
              <w:rPr>
                <w:rFonts w:eastAsia="宋体" w:cs="宋体"/>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shd w:val="clear" w:color="auto" w:fill="auto"/>
          </w:tcPr>
          <w:p w14:paraId="3F091250">
            <w:pPr>
              <w:pStyle w:val="33"/>
              <w:spacing w:before="0" w:after="0" w:line="360" w:lineRule="auto"/>
              <w:rPr>
                <w:rFonts w:eastAsia="宋体" w:cs="宋体"/>
                <w:sz w:val="21"/>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tcPr>
          <w:p w14:paraId="6EC71E0F">
            <w:pPr>
              <w:pStyle w:val="33"/>
              <w:spacing w:before="0" w:after="0" w:line="360" w:lineRule="auto"/>
              <w:rPr>
                <w:rFonts w:eastAsia="宋体" w:cs="宋体"/>
                <w:sz w:val="21"/>
                <w:szCs w:val="21"/>
                <w:highlight w:val="none"/>
              </w:rPr>
            </w:pPr>
          </w:p>
        </w:tc>
        <w:tc>
          <w:tcPr>
            <w:tcW w:w="345" w:type="pct"/>
            <w:tcBorders>
              <w:top w:val="single" w:color="auto" w:sz="4" w:space="0"/>
              <w:left w:val="single" w:color="auto" w:sz="4" w:space="0"/>
              <w:bottom w:val="single" w:color="auto" w:sz="4" w:space="0"/>
              <w:right w:val="single" w:color="auto" w:sz="4" w:space="0"/>
            </w:tcBorders>
            <w:shd w:val="clear" w:color="auto" w:fill="auto"/>
          </w:tcPr>
          <w:p w14:paraId="3C24B5B2">
            <w:pPr>
              <w:pStyle w:val="33"/>
              <w:spacing w:before="0" w:after="0" w:line="360" w:lineRule="auto"/>
              <w:rPr>
                <w:rFonts w:eastAsia="宋体" w:cs="宋体"/>
                <w:sz w:val="21"/>
                <w:szCs w:val="21"/>
                <w:highlight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tcPr>
          <w:p w14:paraId="23A3D1E7">
            <w:pPr>
              <w:pStyle w:val="33"/>
              <w:spacing w:before="0" w:after="0" w:line="360" w:lineRule="auto"/>
              <w:rPr>
                <w:rFonts w:eastAsia="宋体" w:cs="宋体"/>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shd w:val="clear" w:color="auto" w:fill="auto"/>
          </w:tcPr>
          <w:p w14:paraId="67CCDDA0">
            <w:pPr>
              <w:pStyle w:val="33"/>
              <w:spacing w:before="0" w:after="0" w:line="360" w:lineRule="auto"/>
              <w:rPr>
                <w:rFonts w:eastAsia="宋体" w:cs="宋体"/>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14:paraId="39500992">
            <w:pPr>
              <w:pStyle w:val="33"/>
              <w:spacing w:before="0" w:after="0" w:line="360" w:lineRule="auto"/>
              <w:rPr>
                <w:rFonts w:eastAsia="宋体" w:cs="宋体"/>
                <w:sz w:val="21"/>
                <w:szCs w:val="21"/>
                <w:highlight w:val="none"/>
              </w:rPr>
            </w:pPr>
          </w:p>
        </w:tc>
        <w:tc>
          <w:tcPr>
            <w:tcW w:w="606" w:type="pct"/>
            <w:tcBorders>
              <w:top w:val="single" w:color="auto" w:sz="4" w:space="0"/>
              <w:left w:val="single" w:color="auto" w:sz="4" w:space="0"/>
              <w:bottom w:val="single" w:color="auto" w:sz="4" w:space="0"/>
              <w:right w:val="single" w:color="auto" w:sz="4" w:space="0"/>
            </w:tcBorders>
            <w:shd w:val="clear" w:color="auto" w:fill="auto"/>
          </w:tcPr>
          <w:p w14:paraId="383ED9CC">
            <w:pPr>
              <w:pStyle w:val="33"/>
              <w:spacing w:before="0" w:after="0" w:line="360" w:lineRule="auto"/>
              <w:rPr>
                <w:rFonts w:eastAsia="宋体" w:cs="宋体"/>
                <w:sz w:val="21"/>
                <w:szCs w:val="21"/>
                <w:highlight w:val="none"/>
              </w:rPr>
            </w:pPr>
          </w:p>
        </w:tc>
        <w:tc>
          <w:tcPr>
            <w:tcW w:w="619" w:type="pct"/>
            <w:tcBorders>
              <w:top w:val="single" w:color="auto" w:sz="4" w:space="0"/>
              <w:left w:val="single" w:color="auto" w:sz="4" w:space="0"/>
              <w:bottom w:val="single" w:color="auto" w:sz="4" w:space="0"/>
              <w:right w:val="single" w:color="auto" w:sz="6" w:space="0"/>
            </w:tcBorders>
            <w:shd w:val="clear" w:color="auto" w:fill="auto"/>
          </w:tcPr>
          <w:p w14:paraId="2509E376">
            <w:pPr>
              <w:pStyle w:val="33"/>
              <w:spacing w:before="0" w:after="0" w:line="360" w:lineRule="auto"/>
              <w:rPr>
                <w:rFonts w:eastAsia="宋体" w:cs="宋体"/>
                <w:sz w:val="21"/>
                <w:szCs w:val="21"/>
                <w:highlight w:val="none"/>
              </w:rPr>
            </w:pPr>
          </w:p>
        </w:tc>
      </w:tr>
      <w:tr w14:paraId="1CF1F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Borders>
              <w:top w:val="single" w:color="auto" w:sz="4" w:space="0"/>
              <w:left w:val="single" w:color="auto" w:sz="4" w:space="0"/>
              <w:bottom w:val="single" w:color="auto" w:sz="4" w:space="0"/>
              <w:right w:val="single" w:color="auto" w:sz="4" w:space="0"/>
            </w:tcBorders>
            <w:shd w:val="clear" w:color="auto" w:fill="auto"/>
          </w:tcPr>
          <w:p w14:paraId="5E8DDF2F">
            <w:pPr>
              <w:pStyle w:val="33"/>
              <w:spacing w:before="0" w:after="0" w:line="360" w:lineRule="auto"/>
              <w:rPr>
                <w:rFonts w:eastAsia="宋体" w:cs="宋体"/>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shd w:val="clear" w:color="auto" w:fill="auto"/>
          </w:tcPr>
          <w:p w14:paraId="0C3C6C8B">
            <w:pPr>
              <w:pStyle w:val="33"/>
              <w:spacing w:before="0" w:after="0" w:line="360" w:lineRule="auto"/>
              <w:rPr>
                <w:rFonts w:eastAsia="宋体" w:cs="宋体"/>
                <w:sz w:val="21"/>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tcPr>
          <w:p w14:paraId="1A21E270">
            <w:pPr>
              <w:pStyle w:val="33"/>
              <w:spacing w:before="0" w:after="0" w:line="360" w:lineRule="auto"/>
              <w:rPr>
                <w:rFonts w:eastAsia="宋体" w:cs="宋体"/>
                <w:sz w:val="21"/>
                <w:szCs w:val="21"/>
                <w:highlight w:val="none"/>
              </w:rPr>
            </w:pPr>
          </w:p>
        </w:tc>
        <w:tc>
          <w:tcPr>
            <w:tcW w:w="345" w:type="pct"/>
            <w:tcBorders>
              <w:top w:val="single" w:color="auto" w:sz="4" w:space="0"/>
              <w:left w:val="single" w:color="auto" w:sz="4" w:space="0"/>
              <w:bottom w:val="single" w:color="auto" w:sz="4" w:space="0"/>
              <w:right w:val="single" w:color="auto" w:sz="4" w:space="0"/>
            </w:tcBorders>
            <w:shd w:val="clear" w:color="auto" w:fill="auto"/>
          </w:tcPr>
          <w:p w14:paraId="75D72048">
            <w:pPr>
              <w:pStyle w:val="33"/>
              <w:spacing w:before="0" w:after="0" w:line="360" w:lineRule="auto"/>
              <w:rPr>
                <w:rFonts w:eastAsia="宋体" w:cs="宋体"/>
                <w:sz w:val="21"/>
                <w:szCs w:val="21"/>
                <w:highlight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tcPr>
          <w:p w14:paraId="3C0F80D3">
            <w:pPr>
              <w:pStyle w:val="33"/>
              <w:spacing w:before="0" w:after="0" w:line="360" w:lineRule="auto"/>
              <w:rPr>
                <w:rFonts w:eastAsia="宋体" w:cs="宋体"/>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shd w:val="clear" w:color="auto" w:fill="auto"/>
          </w:tcPr>
          <w:p w14:paraId="63A81F5A">
            <w:pPr>
              <w:pStyle w:val="33"/>
              <w:spacing w:before="0" w:after="0" w:line="360" w:lineRule="auto"/>
              <w:rPr>
                <w:rFonts w:eastAsia="宋体" w:cs="宋体"/>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14:paraId="5203B111">
            <w:pPr>
              <w:pStyle w:val="33"/>
              <w:spacing w:before="0" w:after="0" w:line="360" w:lineRule="auto"/>
              <w:rPr>
                <w:rFonts w:eastAsia="宋体" w:cs="宋体"/>
                <w:sz w:val="21"/>
                <w:szCs w:val="21"/>
                <w:highlight w:val="none"/>
              </w:rPr>
            </w:pPr>
          </w:p>
        </w:tc>
        <w:tc>
          <w:tcPr>
            <w:tcW w:w="606" w:type="pct"/>
            <w:tcBorders>
              <w:top w:val="single" w:color="auto" w:sz="4" w:space="0"/>
              <w:left w:val="single" w:color="auto" w:sz="4" w:space="0"/>
              <w:bottom w:val="single" w:color="auto" w:sz="4" w:space="0"/>
              <w:right w:val="single" w:color="auto" w:sz="4" w:space="0"/>
            </w:tcBorders>
            <w:shd w:val="clear" w:color="auto" w:fill="auto"/>
          </w:tcPr>
          <w:p w14:paraId="323A5094">
            <w:pPr>
              <w:pStyle w:val="33"/>
              <w:spacing w:before="0" w:after="0" w:line="360" w:lineRule="auto"/>
              <w:rPr>
                <w:rFonts w:eastAsia="宋体" w:cs="宋体"/>
                <w:sz w:val="21"/>
                <w:szCs w:val="21"/>
                <w:highlight w:val="none"/>
              </w:rPr>
            </w:pPr>
          </w:p>
        </w:tc>
        <w:tc>
          <w:tcPr>
            <w:tcW w:w="619" w:type="pct"/>
            <w:tcBorders>
              <w:top w:val="single" w:color="auto" w:sz="4" w:space="0"/>
              <w:left w:val="single" w:color="auto" w:sz="4" w:space="0"/>
              <w:bottom w:val="single" w:color="auto" w:sz="4" w:space="0"/>
              <w:right w:val="single" w:color="auto" w:sz="6" w:space="0"/>
            </w:tcBorders>
            <w:shd w:val="clear" w:color="auto" w:fill="auto"/>
          </w:tcPr>
          <w:p w14:paraId="67F782C6">
            <w:pPr>
              <w:pStyle w:val="33"/>
              <w:spacing w:before="0" w:after="0" w:line="360" w:lineRule="auto"/>
              <w:rPr>
                <w:rFonts w:eastAsia="宋体" w:cs="宋体"/>
                <w:sz w:val="21"/>
                <w:szCs w:val="21"/>
                <w:highlight w:val="none"/>
              </w:rPr>
            </w:pPr>
          </w:p>
        </w:tc>
      </w:tr>
      <w:tr w14:paraId="63715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Borders>
              <w:top w:val="single" w:color="auto" w:sz="4" w:space="0"/>
              <w:left w:val="single" w:color="auto" w:sz="4" w:space="0"/>
              <w:bottom w:val="single" w:color="auto" w:sz="4" w:space="0"/>
              <w:right w:val="single" w:color="auto" w:sz="4" w:space="0"/>
            </w:tcBorders>
            <w:shd w:val="clear" w:color="auto" w:fill="auto"/>
          </w:tcPr>
          <w:p w14:paraId="52B77297">
            <w:pPr>
              <w:pStyle w:val="33"/>
              <w:spacing w:before="0" w:after="0" w:line="360" w:lineRule="auto"/>
              <w:rPr>
                <w:rFonts w:eastAsia="宋体" w:cs="宋体"/>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shd w:val="clear" w:color="auto" w:fill="auto"/>
          </w:tcPr>
          <w:p w14:paraId="4CD325E4">
            <w:pPr>
              <w:pStyle w:val="33"/>
              <w:spacing w:before="0" w:after="0" w:line="360" w:lineRule="auto"/>
              <w:rPr>
                <w:rFonts w:eastAsia="宋体" w:cs="宋体"/>
                <w:sz w:val="21"/>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tcPr>
          <w:p w14:paraId="74147641">
            <w:pPr>
              <w:pStyle w:val="33"/>
              <w:spacing w:before="0" w:after="0" w:line="360" w:lineRule="auto"/>
              <w:rPr>
                <w:rFonts w:eastAsia="宋体" w:cs="宋体"/>
                <w:sz w:val="21"/>
                <w:szCs w:val="21"/>
                <w:highlight w:val="none"/>
              </w:rPr>
            </w:pPr>
          </w:p>
        </w:tc>
        <w:tc>
          <w:tcPr>
            <w:tcW w:w="345" w:type="pct"/>
            <w:tcBorders>
              <w:top w:val="single" w:color="auto" w:sz="4" w:space="0"/>
              <w:left w:val="single" w:color="auto" w:sz="4" w:space="0"/>
              <w:bottom w:val="single" w:color="auto" w:sz="4" w:space="0"/>
              <w:right w:val="single" w:color="auto" w:sz="4" w:space="0"/>
            </w:tcBorders>
            <w:shd w:val="clear" w:color="auto" w:fill="auto"/>
          </w:tcPr>
          <w:p w14:paraId="71F1427A">
            <w:pPr>
              <w:pStyle w:val="33"/>
              <w:spacing w:before="0" w:after="0" w:line="360" w:lineRule="auto"/>
              <w:rPr>
                <w:rFonts w:eastAsia="宋体" w:cs="宋体"/>
                <w:sz w:val="21"/>
                <w:szCs w:val="21"/>
                <w:highlight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tcPr>
          <w:p w14:paraId="01FF557F">
            <w:pPr>
              <w:pStyle w:val="33"/>
              <w:spacing w:before="0" w:after="0" w:line="360" w:lineRule="auto"/>
              <w:rPr>
                <w:rFonts w:eastAsia="宋体" w:cs="宋体"/>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shd w:val="clear" w:color="auto" w:fill="auto"/>
          </w:tcPr>
          <w:p w14:paraId="2A545CB2">
            <w:pPr>
              <w:pStyle w:val="33"/>
              <w:spacing w:before="0" w:after="0" w:line="360" w:lineRule="auto"/>
              <w:rPr>
                <w:rFonts w:eastAsia="宋体" w:cs="宋体"/>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14:paraId="2D9AA8AA">
            <w:pPr>
              <w:pStyle w:val="33"/>
              <w:spacing w:before="0" w:after="0" w:line="360" w:lineRule="auto"/>
              <w:rPr>
                <w:rFonts w:eastAsia="宋体" w:cs="宋体"/>
                <w:sz w:val="21"/>
                <w:szCs w:val="21"/>
                <w:highlight w:val="none"/>
              </w:rPr>
            </w:pPr>
          </w:p>
        </w:tc>
        <w:tc>
          <w:tcPr>
            <w:tcW w:w="606" w:type="pct"/>
            <w:tcBorders>
              <w:top w:val="single" w:color="auto" w:sz="4" w:space="0"/>
              <w:left w:val="single" w:color="auto" w:sz="4" w:space="0"/>
              <w:bottom w:val="single" w:color="auto" w:sz="4" w:space="0"/>
              <w:right w:val="single" w:color="auto" w:sz="4" w:space="0"/>
            </w:tcBorders>
            <w:shd w:val="clear" w:color="auto" w:fill="auto"/>
          </w:tcPr>
          <w:p w14:paraId="404E0C8F">
            <w:pPr>
              <w:pStyle w:val="33"/>
              <w:spacing w:before="0" w:after="0" w:line="360" w:lineRule="auto"/>
              <w:rPr>
                <w:rFonts w:eastAsia="宋体" w:cs="宋体"/>
                <w:sz w:val="21"/>
                <w:szCs w:val="21"/>
                <w:highlight w:val="none"/>
              </w:rPr>
            </w:pPr>
          </w:p>
        </w:tc>
        <w:tc>
          <w:tcPr>
            <w:tcW w:w="619" w:type="pct"/>
            <w:tcBorders>
              <w:top w:val="single" w:color="auto" w:sz="4" w:space="0"/>
              <w:left w:val="single" w:color="auto" w:sz="4" w:space="0"/>
              <w:bottom w:val="single" w:color="auto" w:sz="4" w:space="0"/>
              <w:right w:val="single" w:color="auto" w:sz="6" w:space="0"/>
            </w:tcBorders>
            <w:shd w:val="clear" w:color="auto" w:fill="auto"/>
          </w:tcPr>
          <w:p w14:paraId="47A67E26">
            <w:pPr>
              <w:pStyle w:val="33"/>
              <w:spacing w:before="0" w:after="0" w:line="360" w:lineRule="auto"/>
              <w:rPr>
                <w:rFonts w:eastAsia="宋体" w:cs="宋体"/>
                <w:sz w:val="21"/>
                <w:szCs w:val="21"/>
                <w:highlight w:val="none"/>
              </w:rPr>
            </w:pPr>
          </w:p>
        </w:tc>
      </w:tr>
      <w:tr w14:paraId="0B59F4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Borders>
              <w:top w:val="single" w:color="auto" w:sz="4" w:space="0"/>
              <w:left w:val="single" w:color="auto" w:sz="4" w:space="0"/>
              <w:bottom w:val="single" w:color="auto" w:sz="4" w:space="0"/>
              <w:right w:val="single" w:color="auto" w:sz="4" w:space="0"/>
            </w:tcBorders>
            <w:shd w:val="clear" w:color="auto" w:fill="auto"/>
          </w:tcPr>
          <w:p w14:paraId="6CBB1046">
            <w:pPr>
              <w:pStyle w:val="33"/>
              <w:spacing w:before="0" w:after="0" w:line="360" w:lineRule="auto"/>
              <w:rPr>
                <w:rFonts w:eastAsia="宋体" w:cs="宋体"/>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shd w:val="clear" w:color="auto" w:fill="auto"/>
          </w:tcPr>
          <w:p w14:paraId="38636375">
            <w:pPr>
              <w:pStyle w:val="33"/>
              <w:spacing w:before="0" w:after="0" w:line="360" w:lineRule="auto"/>
              <w:rPr>
                <w:rFonts w:eastAsia="宋体" w:cs="宋体"/>
                <w:sz w:val="21"/>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tcPr>
          <w:p w14:paraId="45E10870">
            <w:pPr>
              <w:pStyle w:val="33"/>
              <w:spacing w:before="0" w:after="0" w:line="360" w:lineRule="auto"/>
              <w:rPr>
                <w:rFonts w:eastAsia="宋体" w:cs="宋体"/>
                <w:sz w:val="21"/>
                <w:szCs w:val="21"/>
                <w:highlight w:val="none"/>
              </w:rPr>
            </w:pPr>
          </w:p>
        </w:tc>
        <w:tc>
          <w:tcPr>
            <w:tcW w:w="345" w:type="pct"/>
            <w:tcBorders>
              <w:top w:val="single" w:color="auto" w:sz="4" w:space="0"/>
              <w:left w:val="single" w:color="auto" w:sz="4" w:space="0"/>
              <w:bottom w:val="single" w:color="auto" w:sz="4" w:space="0"/>
              <w:right w:val="single" w:color="auto" w:sz="4" w:space="0"/>
            </w:tcBorders>
            <w:shd w:val="clear" w:color="auto" w:fill="auto"/>
          </w:tcPr>
          <w:p w14:paraId="75065373">
            <w:pPr>
              <w:pStyle w:val="33"/>
              <w:spacing w:before="0" w:after="0" w:line="360" w:lineRule="auto"/>
              <w:rPr>
                <w:rFonts w:eastAsia="宋体" w:cs="宋体"/>
                <w:sz w:val="21"/>
                <w:szCs w:val="21"/>
                <w:highlight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tcPr>
          <w:p w14:paraId="65FE4FE6">
            <w:pPr>
              <w:pStyle w:val="33"/>
              <w:spacing w:before="0" w:after="0" w:line="360" w:lineRule="auto"/>
              <w:rPr>
                <w:rFonts w:eastAsia="宋体" w:cs="宋体"/>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shd w:val="clear" w:color="auto" w:fill="auto"/>
          </w:tcPr>
          <w:p w14:paraId="20049DFD">
            <w:pPr>
              <w:pStyle w:val="33"/>
              <w:spacing w:before="0" w:after="0" w:line="360" w:lineRule="auto"/>
              <w:rPr>
                <w:rFonts w:eastAsia="宋体" w:cs="宋体"/>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14:paraId="4883A7E6">
            <w:pPr>
              <w:pStyle w:val="33"/>
              <w:spacing w:before="0" w:after="0" w:line="360" w:lineRule="auto"/>
              <w:rPr>
                <w:rFonts w:eastAsia="宋体" w:cs="宋体"/>
                <w:sz w:val="21"/>
                <w:szCs w:val="21"/>
                <w:highlight w:val="none"/>
              </w:rPr>
            </w:pPr>
          </w:p>
        </w:tc>
        <w:tc>
          <w:tcPr>
            <w:tcW w:w="606" w:type="pct"/>
            <w:tcBorders>
              <w:top w:val="single" w:color="auto" w:sz="4" w:space="0"/>
              <w:left w:val="single" w:color="auto" w:sz="4" w:space="0"/>
              <w:bottom w:val="single" w:color="auto" w:sz="4" w:space="0"/>
              <w:right w:val="single" w:color="auto" w:sz="4" w:space="0"/>
            </w:tcBorders>
            <w:shd w:val="clear" w:color="auto" w:fill="auto"/>
          </w:tcPr>
          <w:p w14:paraId="1CB6B56A">
            <w:pPr>
              <w:pStyle w:val="33"/>
              <w:spacing w:before="0" w:after="0" w:line="360" w:lineRule="auto"/>
              <w:rPr>
                <w:rFonts w:eastAsia="宋体" w:cs="宋体"/>
                <w:sz w:val="21"/>
                <w:szCs w:val="21"/>
                <w:highlight w:val="none"/>
              </w:rPr>
            </w:pPr>
          </w:p>
        </w:tc>
        <w:tc>
          <w:tcPr>
            <w:tcW w:w="619" w:type="pct"/>
            <w:tcBorders>
              <w:top w:val="single" w:color="auto" w:sz="4" w:space="0"/>
              <w:left w:val="single" w:color="auto" w:sz="4" w:space="0"/>
              <w:bottom w:val="single" w:color="auto" w:sz="4" w:space="0"/>
              <w:right w:val="single" w:color="auto" w:sz="6" w:space="0"/>
            </w:tcBorders>
            <w:shd w:val="clear" w:color="auto" w:fill="auto"/>
          </w:tcPr>
          <w:p w14:paraId="10F9ECD2">
            <w:pPr>
              <w:pStyle w:val="33"/>
              <w:spacing w:before="0" w:after="0" w:line="360" w:lineRule="auto"/>
              <w:rPr>
                <w:rFonts w:eastAsia="宋体" w:cs="宋体"/>
                <w:sz w:val="21"/>
                <w:szCs w:val="21"/>
                <w:highlight w:val="none"/>
              </w:rPr>
            </w:pPr>
          </w:p>
        </w:tc>
      </w:tr>
      <w:tr w14:paraId="4864E8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Borders>
              <w:top w:val="single" w:color="auto" w:sz="4" w:space="0"/>
              <w:left w:val="single" w:color="auto" w:sz="4" w:space="0"/>
              <w:bottom w:val="single" w:color="auto" w:sz="4" w:space="0"/>
              <w:right w:val="single" w:color="auto" w:sz="4" w:space="0"/>
            </w:tcBorders>
            <w:shd w:val="clear" w:color="auto" w:fill="auto"/>
          </w:tcPr>
          <w:p w14:paraId="69F0B007">
            <w:pPr>
              <w:pStyle w:val="33"/>
              <w:spacing w:before="0" w:after="0" w:line="360" w:lineRule="auto"/>
              <w:rPr>
                <w:rFonts w:eastAsia="宋体" w:cs="宋体"/>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shd w:val="clear" w:color="auto" w:fill="auto"/>
          </w:tcPr>
          <w:p w14:paraId="61F821EB">
            <w:pPr>
              <w:pStyle w:val="33"/>
              <w:spacing w:before="0" w:after="0" w:line="360" w:lineRule="auto"/>
              <w:rPr>
                <w:rFonts w:eastAsia="宋体" w:cs="宋体"/>
                <w:sz w:val="21"/>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tcPr>
          <w:p w14:paraId="43890B53">
            <w:pPr>
              <w:pStyle w:val="33"/>
              <w:spacing w:before="0" w:after="0" w:line="360" w:lineRule="auto"/>
              <w:rPr>
                <w:rFonts w:eastAsia="宋体" w:cs="宋体"/>
                <w:sz w:val="21"/>
                <w:szCs w:val="21"/>
                <w:highlight w:val="none"/>
              </w:rPr>
            </w:pPr>
          </w:p>
        </w:tc>
        <w:tc>
          <w:tcPr>
            <w:tcW w:w="345" w:type="pct"/>
            <w:tcBorders>
              <w:top w:val="single" w:color="auto" w:sz="4" w:space="0"/>
              <w:left w:val="single" w:color="auto" w:sz="4" w:space="0"/>
              <w:bottom w:val="single" w:color="auto" w:sz="4" w:space="0"/>
              <w:right w:val="single" w:color="auto" w:sz="4" w:space="0"/>
            </w:tcBorders>
            <w:shd w:val="clear" w:color="auto" w:fill="auto"/>
          </w:tcPr>
          <w:p w14:paraId="39F6CCD3">
            <w:pPr>
              <w:pStyle w:val="33"/>
              <w:spacing w:before="0" w:after="0" w:line="360" w:lineRule="auto"/>
              <w:rPr>
                <w:rFonts w:eastAsia="宋体" w:cs="宋体"/>
                <w:sz w:val="21"/>
                <w:szCs w:val="21"/>
                <w:highlight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tcPr>
          <w:p w14:paraId="0665177A">
            <w:pPr>
              <w:pStyle w:val="33"/>
              <w:spacing w:before="0" w:after="0" w:line="360" w:lineRule="auto"/>
              <w:rPr>
                <w:rFonts w:eastAsia="宋体" w:cs="宋体"/>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shd w:val="clear" w:color="auto" w:fill="auto"/>
          </w:tcPr>
          <w:p w14:paraId="585257A8">
            <w:pPr>
              <w:pStyle w:val="33"/>
              <w:spacing w:before="0" w:after="0" w:line="360" w:lineRule="auto"/>
              <w:rPr>
                <w:rFonts w:eastAsia="宋体" w:cs="宋体"/>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14:paraId="09D70DD2">
            <w:pPr>
              <w:pStyle w:val="33"/>
              <w:spacing w:before="0" w:after="0" w:line="360" w:lineRule="auto"/>
              <w:rPr>
                <w:rFonts w:eastAsia="宋体" w:cs="宋体"/>
                <w:sz w:val="21"/>
                <w:szCs w:val="21"/>
                <w:highlight w:val="none"/>
              </w:rPr>
            </w:pPr>
          </w:p>
        </w:tc>
        <w:tc>
          <w:tcPr>
            <w:tcW w:w="606" w:type="pct"/>
            <w:tcBorders>
              <w:top w:val="single" w:color="auto" w:sz="4" w:space="0"/>
              <w:left w:val="single" w:color="auto" w:sz="4" w:space="0"/>
              <w:bottom w:val="single" w:color="auto" w:sz="4" w:space="0"/>
              <w:right w:val="single" w:color="auto" w:sz="4" w:space="0"/>
            </w:tcBorders>
            <w:shd w:val="clear" w:color="auto" w:fill="auto"/>
          </w:tcPr>
          <w:p w14:paraId="40EE0C71">
            <w:pPr>
              <w:pStyle w:val="33"/>
              <w:spacing w:before="0" w:after="0" w:line="360" w:lineRule="auto"/>
              <w:rPr>
                <w:rFonts w:eastAsia="宋体" w:cs="宋体"/>
                <w:sz w:val="21"/>
                <w:szCs w:val="21"/>
                <w:highlight w:val="none"/>
              </w:rPr>
            </w:pPr>
          </w:p>
        </w:tc>
        <w:tc>
          <w:tcPr>
            <w:tcW w:w="619" w:type="pct"/>
            <w:tcBorders>
              <w:top w:val="single" w:color="auto" w:sz="4" w:space="0"/>
              <w:left w:val="single" w:color="auto" w:sz="4" w:space="0"/>
              <w:bottom w:val="single" w:color="auto" w:sz="4" w:space="0"/>
              <w:right w:val="single" w:color="auto" w:sz="6" w:space="0"/>
            </w:tcBorders>
            <w:shd w:val="clear" w:color="auto" w:fill="auto"/>
          </w:tcPr>
          <w:p w14:paraId="0F35E64B">
            <w:pPr>
              <w:pStyle w:val="33"/>
              <w:spacing w:before="0" w:after="0" w:line="360" w:lineRule="auto"/>
              <w:rPr>
                <w:rFonts w:eastAsia="宋体" w:cs="宋体"/>
                <w:sz w:val="21"/>
                <w:szCs w:val="21"/>
                <w:highlight w:val="none"/>
              </w:rPr>
            </w:pPr>
          </w:p>
        </w:tc>
      </w:tr>
      <w:tr w14:paraId="6FD3E6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Borders>
              <w:top w:val="single" w:color="auto" w:sz="4" w:space="0"/>
              <w:left w:val="single" w:color="auto" w:sz="4" w:space="0"/>
              <w:bottom w:val="single" w:color="auto" w:sz="4" w:space="0"/>
              <w:right w:val="single" w:color="auto" w:sz="4" w:space="0"/>
            </w:tcBorders>
            <w:shd w:val="clear" w:color="auto" w:fill="auto"/>
          </w:tcPr>
          <w:p w14:paraId="14AA423A">
            <w:pPr>
              <w:pStyle w:val="33"/>
              <w:spacing w:before="0" w:after="0" w:line="360" w:lineRule="auto"/>
              <w:rPr>
                <w:rFonts w:eastAsia="宋体" w:cs="宋体"/>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shd w:val="clear" w:color="auto" w:fill="auto"/>
          </w:tcPr>
          <w:p w14:paraId="586D4C18">
            <w:pPr>
              <w:pStyle w:val="33"/>
              <w:spacing w:before="0" w:after="0" w:line="360" w:lineRule="auto"/>
              <w:rPr>
                <w:rFonts w:eastAsia="宋体" w:cs="宋体"/>
                <w:sz w:val="21"/>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tcPr>
          <w:p w14:paraId="5EB4E160">
            <w:pPr>
              <w:pStyle w:val="33"/>
              <w:spacing w:before="0" w:after="0" w:line="360" w:lineRule="auto"/>
              <w:rPr>
                <w:rFonts w:eastAsia="宋体" w:cs="宋体"/>
                <w:sz w:val="21"/>
                <w:szCs w:val="21"/>
                <w:highlight w:val="none"/>
              </w:rPr>
            </w:pPr>
          </w:p>
        </w:tc>
        <w:tc>
          <w:tcPr>
            <w:tcW w:w="345" w:type="pct"/>
            <w:tcBorders>
              <w:top w:val="single" w:color="auto" w:sz="4" w:space="0"/>
              <w:left w:val="single" w:color="auto" w:sz="4" w:space="0"/>
              <w:bottom w:val="single" w:color="auto" w:sz="4" w:space="0"/>
              <w:right w:val="single" w:color="auto" w:sz="4" w:space="0"/>
            </w:tcBorders>
            <w:shd w:val="clear" w:color="auto" w:fill="auto"/>
          </w:tcPr>
          <w:p w14:paraId="767525B0">
            <w:pPr>
              <w:pStyle w:val="33"/>
              <w:spacing w:before="0" w:after="0" w:line="360" w:lineRule="auto"/>
              <w:rPr>
                <w:rFonts w:eastAsia="宋体" w:cs="宋体"/>
                <w:sz w:val="21"/>
                <w:szCs w:val="21"/>
                <w:highlight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tcPr>
          <w:p w14:paraId="56E42FFB">
            <w:pPr>
              <w:pStyle w:val="33"/>
              <w:spacing w:before="0" w:after="0" w:line="360" w:lineRule="auto"/>
              <w:rPr>
                <w:rFonts w:eastAsia="宋体" w:cs="宋体"/>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shd w:val="clear" w:color="auto" w:fill="auto"/>
          </w:tcPr>
          <w:p w14:paraId="20E98575">
            <w:pPr>
              <w:pStyle w:val="33"/>
              <w:spacing w:before="0" w:after="0" w:line="360" w:lineRule="auto"/>
              <w:rPr>
                <w:rFonts w:eastAsia="宋体" w:cs="宋体"/>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14:paraId="156A8ABC">
            <w:pPr>
              <w:pStyle w:val="33"/>
              <w:spacing w:before="0" w:after="0" w:line="360" w:lineRule="auto"/>
              <w:rPr>
                <w:rFonts w:eastAsia="宋体" w:cs="宋体"/>
                <w:sz w:val="21"/>
                <w:szCs w:val="21"/>
                <w:highlight w:val="none"/>
              </w:rPr>
            </w:pPr>
          </w:p>
        </w:tc>
        <w:tc>
          <w:tcPr>
            <w:tcW w:w="606" w:type="pct"/>
            <w:tcBorders>
              <w:top w:val="single" w:color="auto" w:sz="4" w:space="0"/>
              <w:left w:val="single" w:color="auto" w:sz="4" w:space="0"/>
              <w:bottom w:val="single" w:color="auto" w:sz="4" w:space="0"/>
              <w:right w:val="single" w:color="auto" w:sz="4" w:space="0"/>
            </w:tcBorders>
            <w:shd w:val="clear" w:color="auto" w:fill="auto"/>
          </w:tcPr>
          <w:p w14:paraId="0D7590EC">
            <w:pPr>
              <w:pStyle w:val="33"/>
              <w:spacing w:before="0" w:after="0" w:line="360" w:lineRule="auto"/>
              <w:rPr>
                <w:rFonts w:eastAsia="宋体" w:cs="宋体"/>
                <w:sz w:val="21"/>
                <w:szCs w:val="21"/>
                <w:highlight w:val="none"/>
              </w:rPr>
            </w:pPr>
          </w:p>
        </w:tc>
        <w:tc>
          <w:tcPr>
            <w:tcW w:w="619" w:type="pct"/>
            <w:tcBorders>
              <w:top w:val="single" w:color="auto" w:sz="4" w:space="0"/>
              <w:left w:val="single" w:color="auto" w:sz="4" w:space="0"/>
              <w:bottom w:val="single" w:color="auto" w:sz="4" w:space="0"/>
              <w:right w:val="single" w:color="auto" w:sz="6" w:space="0"/>
            </w:tcBorders>
            <w:shd w:val="clear" w:color="auto" w:fill="auto"/>
          </w:tcPr>
          <w:p w14:paraId="74752013">
            <w:pPr>
              <w:pStyle w:val="33"/>
              <w:spacing w:before="0" w:after="0" w:line="360" w:lineRule="auto"/>
              <w:rPr>
                <w:rFonts w:eastAsia="宋体" w:cs="宋体"/>
                <w:sz w:val="21"/>
                <w:szCs w:val="21"/>
                <w:highlight w:val="none"/>
              </w:rPr>
            </w:pPr>
          </w:p>
        </w:tc>
      </w:tr>
      <w:tr w14:paraId="5E11E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Borders>
              <w:top w:val="single" w:color="auto" w:sz="4" w:space="0"/>
              <w:left w:val="single" w:color="auto" w:sz="4" w:space="0"/>
              <w:bottom w:val="single" w:color="auto" w:sz="4" w:space="0"/>
              <w:right w:val="single" w:color="auto" w:sz="4" w:space="0"/>
            </w:tcBorders>
            <w:shd w:val="clear" w:color="auto" w:fill="auto"/>
          </w:tcPr>
          <w:p w14:paraId="69E6FB7A">
            <w:pPr>
              <w:pStyle w:val="33"/>
              <w:spacing w:before="0" w:after="0" w:line="360" w:lineRule="auto"/>
              <w:rPr>
                <w:rFonts w:eastAsia="宋体" w:cs="宋体"/>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shd w:val="clear" w:color="auto" w:fill="auto"/>
          </w:tcPr>
          <w:p w14:paraId="41D65F7A">
            <w:pPr>
              <w:pStyle w:val="33"/>
              <w:spacing w:before="0" w:after="0" w:line="360" w:lineRule="auto"/>
              <w:rPr>
                <w:rFonts w:eastAsia="宋体" w:cs="宋体"/>
                <w:sz w:val="21"/>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tcPr>
          <w:p w14:paraId="60ACD770">
            <w:pPr>
              <w:pStyle w:val="33"/>
              <w:spacing w:before="0" w:after="0" w:line="360" w:lineRule="auto"/>
              <w:rPr>
                <w:rFonts w:eastAsia="宋体" w:cs="宋体"/>
                <w:sz w:val="21"/>
                <w:szCs w:val="21"/>
                <w:highlight w:val="none"/>
              </w:rPr>
            </w:pPr>
          </w:p>
        </w:tc>
        <w:tc>
          <w:tcPr>
            <w:tcW w:w="345" w:type="pct"/>
            <w:tcBorders>
              <w:top w:val="single" w:color="auto" w:sz="4" w:space="0"/>
              <w:left w:val="single" w:color="auto" w:sz="4" w:space="0"/>
              <w:bottom w:val="single" w:color="auto" w:sz="4" w:space="0"/>
              <w:right w:val="single" w:color="auto" w:sz="4" w:space="0"/>
            </w:tcBorders>
            <w:shd w:val="clear" w:color="auto" w:fill="auto"/>
          </w:tcPr>
          <w:p w14:paraId="1680810F">
            <w:pPr>
              <w:pStyle w:val="33"/>
              <w:spacing w:before="0" w:after="0" w:line="360" w:lineRule="auto"/>
              <w:rPr>
                <w:rFonts w:eastAsia="宋体" w:cs="宋体"/>
                <w:sz w:val="21"/>
                <w:szCs w:val="21"/>
                <w:highlight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tcPr>
          <w:p w14:paraId="6C4BA97C">
            <w:pPr>
              <w:pStyle w:val="33"/>
              <w:spacing w:before="0" w:after="0" w:line="360" w:lineRule="auto"/>
              <w:rPr>
                <w:rFonts w:eastAsia="宋体" w:cs="宋体"/>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shd w:val="clear" w:color="auto" w:fill="auto"/>
          </w:tcPr>
          <w:p w14:paraId="7951A4C7">
            <w:pPr>
              <w:pStyle w:val="33"/>
              <w:spacing w:before="0" w:after="0" w:line="360" w:lineRule="auto"/>
              <w:rPr>
                <w:rFonts w:eastAsia="宋体" w:cs="宋体"/>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14:paraId="36F84B55">
            <w:pPr>
              <w:pStyle w:val="33"/>
              <w:spacing w:before="0" w:after="0" w:line="360" w:lineRule="auto"/>
              <w:rPr>
                <w:rFonts w:eastAsia="宋体" w:cs="宋体"/>
                <w:sz w:val="21"/>
                <w:szCs w:val="21"/>
                <w:highlight w:val="none"/>
              </w:rPr>
            </w:pPr>
          </w:p>
        </w:tc>
        <w:tc>
          <w:tcPr>
            <w:tcW w:w="606" w:type="pct"/>
            <w:tcBorders>
              <w:top w:val="single" w:color="auto" w:sz="4" w:space="0"/>
              <w:left w:val="single" w:color="auto" w:sz="4" w:space="0"/>
              <w:bottom w:val="single" w:color="auto" w:sz="4" w:space="0"/>
              <w:right w:val="single" w:color="auto" w:sz="4" w:space="0"/>
            </w:tcBorders>
            <w:shd w:val="clear" w:color="auto" w:fill="auto"/>
          </w:tcPr>
          <w:p w14:paraId="4375FF47">
            <w:pPr>
              <w:pStyle w:val="33"/>
              <w:spacing w:before="0" w:after="0" w:line="360" w:lineRule="auto"/>
              <w:rPr>
                <w:rFonts w:eastAsia="宋体" w:cs="宋体"/>
                <w:sz w:val="21"/>
                <w:szCs w:val="21"/>
                <w:highlight w:val="none"/>
              </w:rPr>
            </w:pPr>
          </w:p>
        </w:tc>
        <w:tc>
          <w:tcPr>
            <w:tcW w:w="619" w:type="pct"/>
            <w:tcBorders>
              <w:top w:val="single" w:color="auto" w:sz="4" w:space="0"/>
              <w:left w:val="single" w:color="auto" w:sz="4" w:space="0"/>
              <w:bottom w:val="single" w:color="auto" w:sz="4" w:space="0"/>
              <w:right w:val="single" w:color="auto" w:sz="6" w:space="0"/>
            </w:tcBorders>
            <w:shd w:val="clear" w:color="auto" w:fill="auto"/>
          </w:tcPr>
          <w:p w14:paraId="4C3EB4FB">
            <w:pPr>
              <w:pStyle w:val="33"/>
              <w:spacing w:before="0" w:after="0" w:line="360" w:lineRule="auto"/>
              <w:rPr>
                <w:rFonts w:eastAsia="宋体" w:cs="宋体"/>
                <w:sz w:val="21"/>
                <w:szCs w:val="21"/>
                <w:highlight w:val="none"/>
              </w:rPr>
            </w:pPr>
          </w:p>
        </w:tc>
      </w:tr>
      <w:tr w14:paraId="7CC82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Borders>
              <w:top w:val="single" w:color="auto" w:sz="4" w:space="0"/>
              <w:left w:val="single" w:color="auto" w:sz="4" w:space="0"/>
              <w:bottom w:val="single" w:color="auto" w:sz="4" w:space="0"/>
              <w:right w:val="single" w:color="auto" w:sz="4" w:space="0"/>
            </w:tcBorders>
            <w:shd w:val="clear" w:color="auto" w:fill="auto"/>
          </w:tcPr>
          <w:p w14:paraId="3ABBCB93">
            <w:pPr>
              <w:pStyle w:val="33"/>
              <w:spacing w:before="0" w:after="0" w:line="360" w:lineRule="auto"/>
              <w:rPr>
                <w:rFonts w:eastAsia="宋体" w:cs="宋体"/>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shd w:val="clear" w:color="auto" w:fill="auto"/>
          </w:tcPr>
          <w:p w14:paraId="35D9FF6D">
            <w:pPr>
              <w:pStyle w:val="33"/>
              <w:spacing w:before="0" w:after="0" w:line="360" w:lineRule="auto"/>
              <w:rPr>
                <w:rFonts w:eastAsia="宋体" w:cs="宋体"/>
                <w:sz w:val="21"/>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tcPr>
          <w:p w14:paraId="757B288B">
            <w:pPr>
              <w:pStyle w:val="33"/>
              <w:spacing w:before="0" w:after="0" w:line="360" w:lineRule="auto"/>
              <w:rPr>
                <w:rFonts w:eastAsia="宋体" w:cs="宋体"/>
                <w:sz w:val="21"/>
                <w:szCs w:val="21"/>
                <w:highlight w:val="none"/>
              </w:rPr>
            </w:pPr>
          </w:p>
        </w:tc>
        <w:tc>
          <w:tcPr>
            <w:tcW w:w="345" w:type="pct"/>
            <w:tcBorders>
              <w:top w:val="single" w:color="auto" w:sz="4" w:space="0"/>
              <w:left w:val="single" w:color="auto" w:sz="4" w:space="0"/>
              <w:bottom w:val="single" w:color="auto" w:sz="4" w:space="0"/>
              <w:right w:val="single" w:color="auto" w:sz="4" w:space="0"/>
            </w:tcBorders>
            <w:shd w:val="clear" w:color="auto" w:fill="auto"/>
          </w:tcPr>
          <w:p w14:paraId="08E87A50">
            <w:pPr>
              <w:pStyle w:val="33"/>
              <w:spacing w:before="0" w:after="0" w:line="360" w:lineRule="auto"/>
              <w:rPr>
                <w:rFonts w:eastAsia="宋体" w:cs="宋体"/>
                <w:sz w:val="21"/>
                <w:szCs w:val="21"/>
                <w:highlight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tcPr>
          <w:p w14:paraId="61673BAE">
            <w:pPr>
              <w:pStyle w:val="33"/>
              <w:spacing w:before="0" w:after="0" w:line="360" w:lineRule="auto"/>
              <w:rPr>
                <w:rFonts w:eastAsia="宋体" w:cs="宋体"/>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shd w:val="clear" w:color="auto" w:fill="auto"/>
          </w:tcPr>
          <w:p w14:paraId="1CF055E6">
            <w:pPr>
              <w:pStyle w:val="33"/>
              <w:spacing w:before="0" w:after="0" w:line="360" w:lineRule="auto"/>
              <w:rPr>
                <w:rFonts w:eastAsia="宋体" w:cs="宋体"/>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14:paraId="0A52A562">
            <w:pPr>
              <w:pStyle w:val="33"/>
              <w:spacing w:before="0" w:after="0" w:line="360" w:lineRule="auto"/>
              <w:rPr>
                <w:rFonts w:eastAsia="宋体" w:cs="宋体"/>
                <w:sz w:val="21"/>
                <w:szCs w:val="21"/>
                <w:highlight w:val="none"/>
              </w:rPr>
            </w:pPr>
          </w:p>
        </w:tc>
        <w:tc>
          <w:tcPr>
            <w:tcW w:w="606" w:type="pct"/>
            <w:tcBorders>
              <w:top w:val="single" w:color="auto" w:sz="4" w:space="0"/>
              <w:left w:val="single" w:color="auto" w:sz="4" w:space="0"/>
              <w:bottom w:val="single" w:color="auto" w:sz="4" w:space="0"/>
              <w:right w:val="single" w:color="auto" w:sz="4" w:space="0"/>
            </w:tcBorders>
            <w:shd w:val="clear" w:color="auto" w:fill="auto"/>
          </w:tcPr>
          <w:p w14:paraId="6149B3CA">
            <w:pPr>
              <w:pStyle w:val="33"/>
              <w:spacing w:before="0" w:after="0" w:line="360" w:lineRule="auto"/>
              <w:rPr>
                <w:rFonts w:eastAsia="宋体" w:cs="宋体"/>
                <w:sz w:val="21"/>
                <w:szCs w:val="21"/>
                <w:highlight w:val="none"/>
              </w:rPr>
            </w:pPr>
          </w:p>
        </w:tc>
        <w:tc>
          <w:tcPr>
            <w:tcW w:w="619" w:type="pct"/>
            <w:tcBorders>
              <w:top w:val="single" w:color="auto" w:sz="4" w:space="0"/>
              <w:left w:val="single" w:color="auto" w:sz="4" w:space="0"/>
              <w:bottom w:val="single" w:color="auto" w:sz="4" w:space="0"/>
              <w:right w:val="single" w:color="auto" w:sz="6" w:space="0"/>
            </w:tcBorders>
            <w:shd w:val="clear" w:color="auto" w:fill="auto"/>
          </w:tcPr>
          <w:p w14:paraId="2BAD6DE3">
            <w:pPr>
              <w:pStyle w:val="33"/>
              <w:spacing w:before="0" w:after="0" w:line="360" w:lineRule="auto"/>
              <w:rPr>
                <w:rFonts w:eastAsia="宋体" w:cs="宋体"/>
                <w:sz w:val="21"/>
                <w:szCs w:val="21"/>
                <w:highlight w:val="none"/>
              </w:rPr>
            </w:pPr>
          </w:p>
        </w:tc>
      </w:tr>
      <w:tr w14:paraId="63DB25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Borders>
              <w:top w:val="single" w:color="auto" w:sz="4" w:space="0"/>
              <w:left w:val="single" w:color="auto" w:sz="4" w:space="0"/>
              <w:bottom w:val="single" w:color="auto" w:sz="4" w:space="0"/>
              <w:right w:val="single" w:color="auto" w:sz="4" w:space="0"/>
            </w:tcBorders>
            <w:shd w:val="clear" w:color="auto" w:fill="auto"/>
          </w:tcPr>
          <w:p w14:paraId="3B8C8897">
            <w:pPr>
              <w:pStyle w:val="33"/>
              <w:spacing w:before="0" w:after="0" w:line="360" w:lineRule="auto"/>
              <w:rPr>
                <w:rFonts w:eastAsia="宋体" w:cs="宋体"/>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shd w:val="clear" w:color="auto" w:fill="auto"/>
          </w:tcPr>
          <w:p w14:paraId="2C5D3F0F">
            <w:pPr>
              <w:pStyle w:val="33"/>
              <w:spacing w:before="0" w:after="0" w:line="360" w:lineRule="auto"/>
              <w:rPr>
                <w:rFonts w:eastAsia="宋体" w:cs="宋体"/>
                <w:sz w:val="21"/>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tcPr>
          <w:p w14:paraId="1422A909">
            <w:pPr>
              <w:pStyle w:val="33"/>
              <w:spacing w:before="0" w:after="0" w:line="360" w:lineRule="auto"/>
              <w:rPr>
                <w:rFonts w:eastAsia="宋体" w:cs="宋体"/>
                <w:sz w:val="21"/>
                <w:szCs w:val="21"/>
                <w:highlight w:val="none"/>
              </w:rPr>
            </w:pPr>
          </w:p>
        </w:tc>
        <w:tc>
          <w:tcPr>
            <w:tcW w:w="345" w:type="pct"/>
            <w:tcBorders>
              <w:top w:val="single" w:color="auto" w:sz="4" w:space="0"/>
              <w:left w:val="single" w:color="auto" w:sz="4" w:space="0"/>
              <w:bottom w:val="single" w:color="auto" w:sz="4" w:space="0"/>
              <w:right w:val="single" w:color="auto" w:sz="4" w:space="0"/>
            </w:tcBorders>
            <w:shd w:val="clear" w:color="auto" w:fill="auto"/>
          </w:tcPr>
          <w:p w14:paraId="23EC5513">
            <w:pPr>
              <w:pStyle w:val="33"/>
              <w:spacing w:before="0" w:after="0" w:line="360" w:lineRule="auto"/>
              <w:rPr>
                <w:rFonts w:eastAsia="宋体" w:cs="宋体"/>
                <w:sz w:val="21"/>
                <w:szCs w:val="21"/>
                <w:highlight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tcPr>
          <w:p w14:paraId="3C749C8C">
            <w:pPr>
              <w:pStyle w:val="33"/>
              <w:spacing w:before="0" w:after="0" w:line="360" w:lineRule="auto"/>
              <w:rPr>
                <w:rFonts w:eastAsia="宋体" w:cs="宋体"/>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shd w:val="clear" w:color="auto" w:fill="auto"/>
          </w:tcPr>
          <w:p w14:paraId="1DBD54F9">
            <w:pPr>
              <w:pStyle w:val="33"/>
              <w:spacing w:before="0" w:after="0" w:line="360" w:lineRule="auto"/>
              <w:rPr>
                <w:rFonts w:eastAsia="宋体" w:cs="宋体"/>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14:paraId="2C1494A2">
            <w:pPr>
              <w:pStyle w:val="33"/>
              <w:spacing w:before="0" w:after="0" w:line="360" w:lineRule="auto"/>
              <w:rPr>
                <w:rFonts w:eastAsia="宋体" w:cs="宋体"/>
                <w:sz w:val="21"/>
                <w:szCs w:val="21"/>
                <w:highlight w:val="none"/>
              </w:rPr>
            </w:pPr>
          </w:p>
        </w:tc>
        <w:tc>
          <w:tcPr>
            <w:tcW w:w="606" w:type="pct"/>
            <w:tcBorders>
              <w:top w:val="single" w:color="auto" w:sz="4" w:space="0"/>
              <w:left w:val="single" w:color="auto" w:sz="4" w:space="0"/>
              <w:bottom w:val="single" w:color="auto" w:sz="4" w:space="0"/>
              <w:right w:val="single" w:color="auto" w:sz="4" w:space="0"/>
            </w:tcBorders>
            <w:shd w:val="clear" w:color="auto" w:fill="auto"/>
          </w:tcPr>
          <w:p w14:paraId="4D9AF78E">
            <w:pPr>
              <w:pStyle w:val="33"/>
              <w:spacing w:before="0" w:after="0" w:line="360" w:lineRule="auto"/>
              <w:rPr>
                <w:rFonts w:eastAsia="宋体" w:cs="宋体"/>
                <w:sz w:val="21"/>
                <w:szCs w:val="21"/>
                <w:highlight w:val="none"/>
              </w:rPr>
            </w:pPr>
          </w:p>
        </w:tc>
        <w:tc>
          <w:tcPr>
            <w:tcW w:w="619" w:type="pct"/>
            <w:tcBorders>
              <w:top w:val="single" w:color="auto" w:sz="4" w:space="0"/>
              <w:left w:val="single" w:color="auto" w:sz="4" w:space="0"/>
              <w:bottom w:val="single" w:color="auto" w:sz="4" w:space="0"/>
              <w:right w:val="single" w:color="auto" w:sz="6" w:space="0"/>
            </w:tcBorders>
            <w:shd w:val="clear" w:color="auto" w:fill="auto"/>
          </w:tcPr>
          <w:p w14:paraId="1380D42F">
            <w:pPr>
              <w:pStyle w:val="33"/>
              <w:spacing w:before="0" w:after="0" w:line="360" w:lineRule="auto"/>
              <w:rPr>
                <w:rFonts w:eastAsia="宋体" w:cs="宋体"/>
                <w:sz w:val="21"/>
                <w:szCs w:val="21"/>
                <w:highlight w:val="none"/>
              </w:rPr>
            </w:pPr>
          </w:p>
        </w:tc>
      </w:tr>
      <w:tr w14:paraId="68415F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jc w:val="center"/>
        </w:trPr>
        <w:tc>
          <w:tcPr>
            <w:tcW w:w="503" w:type="pct"/>
            <w:tcBorders>
              <w:top w:val="single" w:color="auto" w:sz="4" w:space="0"/>
              <w:left w:val="single" w:color="auto" w:sz="4" w:space="0"/>
              <w:bottom w:val="single" w:color="auto" w:sz="4" w:space="0"/>
              <w:right w:val="single" w:color="auto" w:sz="4" w:space="0"/>
            </w:tcBorders>
            <w:shd w:val="clear" w:color="auto" w:fill="auto"/>
          </w:tcPr>
          <w:p w14:paraId="30A1A96C">
            <w:pPr>
              <w:pStyle w:val="33"/>
              <w:spacing w:before="0" w:after="0" w:line="360" w:lineRule="auto"/>
              <w:rPr>
                <w:rFonts w:eastAsia="宋体" w:cs="宋体"/>
                <w:sz w:val="21"/>
                <w:szCs w:val="21"/>
                <w:highlight w:val="none"/>
              </w:rPr>
            </w:pPr>
          </w:p>
        </w:tc>
        <w:tc>
          <w:tcPr>
            <w:tcW w:w="605" w:type="pct"/>
            <w:tcBorders>
              <w:top w:val="single" w:color="auto" w:sz="4" w:space="0"/>
              <w:left w:val="single" w:color="auto" w:sz="4" w:space="0"/>
              <w:bottom w:val="single" w:color="auto" w:sz="4" w:space="0"/>
              <w:right w:val="single" w:color="auto" w:sz="4" w:space="0"/>
            </w:tcBorders>
            <w:shd w:val="clear" w:color="auto" w:fill="auto"/>
          </w:tcPr>
          <w:p w14:paraId="54BA6772">
            <w:pPr>
              <w:pStyle w:val="33"/>
              <w:spacing w:before="0" w:after="0" w:line="360" w:lineRule="auto"/>
              <w:rPr>
                <w:rFonts w:eastAsia="宋体" w:cs="宋体"/>
                <w:sz w:val="21"/>
                <w:szCs w:val="21"/>
                <w:highlight w:val="none"/>
              </w:rPr>
            </w:pPr>
          </w:p>
        </w:tc>
        <w:tc>
          <w:tcPr>
            <w:tcW w:w="874" w:type="pct"/>
            <w:tcBorders>
              <w:top w:val="single" w:color="auto" w:sz="4" w:space="0"/>
              <w:left w:val="single" w:color="auto" w:sz="4" w:space="0"/>
              <w:bottom w:val="single" w:color="auto" w:sz="4" w:space="0"/>
              <w:right w:val="single" w:color="auto" w:sz="4" w:space="0"/>
            </w:tcBorders>
            <w:shd w:val="clear" w:color="auto" w:fill="auto"/>
          </w:tcPr>
          <w:p w14:paraId="031B31F1">
            <w:pPr>
              <w:pStyle w:val="33"/>
              <w:spacing w:before="0" w:after="0" w:line="360" w:lineRule="auto"/>
              <w:rPr>
                <w:rFonts w:eastAsia="宋体" w:cs="宋体"/>
                <w:sz w:val="21"/>
                <w:szCs w:val="21"/>
                <w:highlight w:val="none"/>
              </w:rPr>
            </w:pPr>
          </w:p>
        </w:tc>
        <w:tc>
          <w:tcPr>
            <w:tcW w:w="345" w:type="pct"/>
            <w:tcBorders>
              <w:top w:val="single" w:color="auto" w:sz="4" w:space="0"/>
              <w:left w:val="single" w:color="auto" w:sz="4" w:space="0"/>
              <w:bottom w:val="single" w:color="auto" w:sz="4" w:space="0"/>
              <w:right w:val="single" w:color="auto" w:sz="4" w:space="0"/>
            </w:tcBorders>
            <w:shd w:val="clear" w:color="auto" w:fill="auto"/>
          </w:tcPr>
          <w:p w14:paraId="56C768DB">
            <w:pPr>
              <w:pStyle w:val="33"/>
              <w:spacing w:before="0" w:after="0" w:line="360" w:lineRule="auto"/>
              <w:rPr>
                <w:rFonts w:eastAsia="宋体" w:cs="宋体"/>
                <w:sz w:val="21"/>
                <w:szCs w:val="21"/>
                <w:highlight w:val="none"/>
              </w:rPr>
            </w:pPr>
          </w:p>
        </w:tc>
        <w:tc>
          <w:tcPr>
            <w:tcW w:w="330" w:type="pct"/>
            <w:tcBorders>
              <w:top w:val="single" w:color="auto" w:sz="4" w:space="0"/>
              <w:left w:val="single" w:color="auto" w:sz="4" w:space="0"/>
              <w:bottom w:val="single" w:color="auto" w:sz="4" w:space="0"/>
              <w:right w:val="single" w:color="auto" w:sz="4" w:space="0"/>
            </w:tcBorders>
            <w:shd w:val="clear" w:color="auto" w:fill="auto"/>
          </w:tcPr>
          <w:p w14:paraId="6FEAC6F8">
            <w:pPr>
              <w:pStyle w:val="33"/>
              <w:spacing w:before="0" w:after="0" w:line="360" w:lineRule="auto"/>
              <w:rPr>
                <w:rFonts w:eastAsia="宋体" w:cs="宋体"/>
                <w:sz w:val="21"/>
                <w:szCs w:val="21"/>
                <w:highlight w:val="none"/>
              </w:rPr>
            </w:pPr>
          </w:p>
        </w:tc>
        <w:tc>
          <w:tcPr>
            <w:tcW w:w="577" w:type="pct"/>
            <w:tcBorders>
              <w:top w:val="single" w:color="auto" w:sz="4" w:space="0"/>
              <w:left w:val="single" w:color="auto" w:sz="4" w:space="0"/>
              <w:bottom w:val="single" w:color="auto" w:sz="4" w:space="0"/>
              <w:right w:val="single" w:color="auto" w:sz="4" w:space="0"/>
            </w:tcBorders>
            <w:shd w:val="clear" w:color="auto" w:fill="auto"/>
          </w:tcPr>
          <w:p w14:paraId="6D363C75">
            <w:pPr>
              <w:pStyle w:val="33"/>
              <w:spacing w:before="0" w:after="0" w:line="360" w:lineRule="auto"/>
              <w:rPr>
                <w:rFonts w:eastAsia="宋体" w:cs="宋体"/>
                <w:sz w:val="21"/>
                <w:szCs w:val="21"/>
                <w:highlight w:val="none"/>
              </w:rPr>
            </w:pPr>
          </w:p>
        </w:tc>
        <w:tc>
          <w:tcPr>
            <w:tcW w:w="536" w:type="pct"/>
            <w:tcBorders>
              <w:top w:val="single" w:color="auto" w:sz="4" w:space="0"/>
              <w:left w:val="single" w:color="auto" w:sz="4" w:space="0"/>
              <w:bottom w:val="single" w:color="auto" w:sz="4" w:space="0"/>
              <w:right w:val="single" w:color="auto" w:sz="4" w:space="0"/>
            </w:tcBorders>
            <w:shd w:val="clear" w:color="auto" w:fill="auto"/>
          </w:tcPr>
          <w:p w14:paraId="120C9B34">
            <w:pPr>
              <w:pStyle w:val="33"/>
              <w:spacing w:before="0" w:after="0" w:line="360" w:lineRule="auto"/>
              <w:rPr>
                <w:rFonts w:eastAsia="宋体" w:cs="宋体"/>
                <w:sz w:val="21"/>
                <w:szCs w:val="21"/>
                <w:highlight w:val="none"/>
              </w:rPr>
            </w:pPr>
          </w:p>
        </w:tc>
        <w:tc>
          <w:tcPr>
            <w:tcW w:w="606" w:type="pct"/>
            <w:tcBorders>
              <w:top w:val="single" w:color="auto" w:sz="4" w:space="0"/>
              <w:left w:val="single" w:color="auto" w:sz="4" w:space="0"/>
              <w:bottom w:val="single" w:color="auto" w:sz="4" w:space="0"/>
              <w:right w:val="single" w:color="auto" w:sz="4" w:space="0"/>
            </w:tcBorders>
            <w:shd w:val="clear" w:color="auto" w:fill="auto"/>
          </w:tcPr>
          <w:p w14:paraId="09FD9FF2">
            <w:pPr>
              <w:pStyle w:val="33"/>
              <w:spacing w:before="0" w:after="0" w:line="360" w:lineRule="auto"/>
              <w:rPr>
                <w:rFonts w:eastAsia="宋体" w:cs="宋体"/>
                <w:sz w:val="21"/>
                <w:szCs w:val="21"/>
                <w:highlight w:val="none"/>
              </w:rPr>
            </w:pPr>
          </w:p>
        </w:tc>
        <w:tc>
          <w:tcPr>
            <w:tcW w:w="619" w:type="pct"/>
            <w:tcBorders>
              <w:top w:val="single" w:color="auto" w:sz="4" w:space="0"/>
              <w:left w:val="single" w:color="auto" w:sz="4" w:space="0"/>
              <w:bottom w:val="single" w:color="auto" w:sz="4" w:space="0"/>
              <w:right w:val="single" w:color="auto" w:sz="6" w:space="0"/>
            </w:tcBorders>
            <w:shd w:val="clear" w:color="auto" w:fill="auto"/>
          </w:tcPr>
          <w:p w14:paraId="59EB6FE6">
            <w:pPr>
              <w:pStyle w:val="33"/>
              <w:spacing w:before="0" w:after="0" w:line="360" w:lineRule="auto"/>
              <w:rPr>
                <w:rFonts w:eastAsia="宋体" w:cs="宋体"/>
                <w:sz w:val="21"/>
                <w:szCs w:val="21"/>
                <w:highlight w:val="none"/>
              </w:rPr>
            </w:pPr>
          </w:p>
        </w:tc>
      </w:tr>
    </w:tbl>
    <w:p w14:paraId="1493ED89">
      <w:pPr>
        <w:pStyle w:val="33"/>
        <w:spacing w:line="360" w:lineRule="auto"/>
        <w:ind w:firstLine="420" w:firstLineChars="200"/>
        <w:rPr>
          <w:rFonts w:hint="default" w:ascii="宋体" w:hAnsi="宋体" w:eastAsia="宋体" w:cs="宋体"/>
          <w:sz w:val="21"/>
          <w:szCs w:val="21"/>
          <w:highlight w:val="none"/>
          <w:lang w:val="zh-CN"/>
        </w:rPr>
      </w:pPr>
      <w:r>
        <w:rPr>
          <w:rFonts w:ascii="宋体" w:hAnsi="宋体" w:eastAsia="宋体" w:cs="宋体"/>
          <w:sz w:val="21"/>
          <w:szCs w:val="21"/>
          <w:highlight w:val="none"/>
        </w:rPr>
        <w:t>注：</w:t>
      </w:r>
      <w:r>
        <w:rPr>
          <w:rFonts w:hint="default" w:ascii="宋体" w:hAnsi="宋体" w:eastAsia="宋体" w:cs="宋体"/>
          <w:sz w:val="21"/>
          <w:szCs w:val="21"/>
          <w:highlight w:val="none"/>
          <w:lang w:val="zh-CN"/>
        </w:rPr>
        <w:t>应提供上述人员身份证明、资格证书（或注册/执业/岗位证书/学历/技术职称）以及人力资源和社会保障部门（或税务部门）出具的202</w:t>
      </w:r>
      <w:r>
        <w:rPr>
          <w:rFonts w:hint="eastAsia" w:eastAsia="宋体" w:cs="宋体"/>
          <w:sz w:val="21"/>
          <w:szCs w:val="21"/>
          <w:highlight w:val="none"/>
          <w:lang w:val="en-US" w:eastAsia="zh-CN"/>
        </w:rPr>
        <w:t>5</w:t>
      </w:r>
      <w:r>
        <w:rPr>
          <w:rFonts w:hint="default" w:ascii="宋体" w:hAnsi="宋体" w:eastAsia="宋体" w:cs="宋体"/>
          <w:sz w:val="21"/>
          <w:szCs w:val="21"/>
          <w:highlight w:val="none"/>
          <w:lang w:val="zh-CN"/>
        </w:rPr>
        <w:t>年</w:t>
      </w:r>
      <w:r>
        <w:rPr>
          <w:rFonts w:hint="default" w:ascii="宋体" w:hAnsi="宋体" w:eastAsia="宋体" w:cs="宋体"/>
          <w:sz w:val="21"/>
          <w:szCs w:val="21"/>
          <w:highlight w:val="none"/>
        </w:rPr>
        <w:t>7</w:t>
      </w:r>
      <w:r>
        <w:rPr>
          <w:rFonts w:hint="default" w:ascii="宋体" w:hAnsi="宋体" w:eastAsia="宋体" w:cs="宋体"/>
          <w:sz w:val="21"/>
          <w:szCs w:val="21"/>
          <w:highlight w:val="none"/>
          <w:lang w:val="zh-CN"/>
        </w:rPr>
        <w:t>月至</w:t>
      </w:r>
      <w:r>
        <w:rPr>
          <w:rFonts w:hint="default" w:ascii="宋体" w:hAnsi="宋体" w:eastAsia="宋体" w:cs="宋体"/>
          <w:sz w:val="21"/>
          <w:szCs w:val="21"/>
          <w:highlight w:val="none"/>
        </w:rPr>
        <w:t>12</w:t>
      </w:r>
      <w:r>
        <w:rPr>
          <w:rFonts w:hint="default" w:ascii="宋体" w:hAnsi="宋体" w:eastAsia="宋体" w:cs="宋体"/>
          <w:sz w:val="21"/>
          <w:szCs w:val="21"/>
          <w:highlight w:val="none"/>
          <w:lang w:val="zh-CN"/>
        </w:rPr>
        <w:t>月连续六个月的社保缴纳证明</w:t>
      </w:r>
      <w:r>
        <w:rPr>
          <w:rFonts w:hint="eastAsia" w:eastAsia="宋体" w:cs="宋体"/>
          <w:sz w:val="21"/>
          <w:szCs w:val="21"/>
          <w:highlight w:val="none"/>
          <w:lang w:val="en-US" w:eastAsia="zh-CN"/>
        </w:rPr>
        <w:t>扫描件</w:t>
      </w:r>
      <w:r>
        <w:rPr>
          <w:rFonts w:hint="default" w:ascii="宋体" w:hAnsi="宋体" w:eastAsia="宋体" w:cs="宋体"/>
          <w:sz w:val="21"/>
          <w:szCs w:val="21"/>
          <w:highlight w:val="none"/>
          <w:lang w:val="zh-CN"/>
        </w:rPr>
        <w:t>，否则不得分。</w:t>
      </w:r>
    </w:p>
    <w:p w14:paraId="6BF3B0DA">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5363D7AF">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113F5B57">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6FA62391">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0FD4F9DD">
      <w:pPr>
        <w:pageBreakBefore/>
        <w:autoSpaceDE w:val="0"/>
        <w:autoSpaceDN w:val="0"/>
        <w:adjustRightInd w:val="0"/>
        <w:spacing w:line="360" w:lineRule="auto"/>
        <w:contextualSpacing/>
        <w:jc w:val="left"/>
        <w:rPr>
          <w:rFonts w:ascii="宋体" w:hAnsi="宋体" w:eastAsia="宋体" w:cs="宋体"/>
          <w:b/>
          <w:kern w:val="0"/>
          <w:szCs w:val="21"/>
          <w:highlight w:val="none"/>
        </w:rPr>
      </w:pPr>
      <w:r>
        <w:rPr>
          <w:rFonts w:hint="eastAsia" w:ascii="宋体" w:hAnsi="宋体" w:eastAsia="宋体" w:cs="宋体"/>
          <w:b/>
          <w:kern w:val="0"/>
          <w:szCs w:val="21"/>
          <w:highlight w:val="none"/>
        </w:rPr>
        <w:t>人员简历表格式</w:t>
      </w:r>
    </w:p>
    <w:p w14:paraId="582228C1">
      <w:pPr>
        <w:autoSpaceDE w:val="0"/>
        <w:autoSpaceDN w:val="0"/>
        <w:adjustRightInd w:val="0"/>
        <w:spacing w:line="360" w:lineRule="auto"/>
        <w:contextualSpacing/>
        <w:jc w:val="left"/>
        <w:rPr>
          <w:rFonts w:ascii="宋体" w:hAnsi="宋体" w:eastAsia="宋体" w:cs="宋体"/>
          <w:kern w:val="0"/>
          <w:szCs w:val="21"/>
          <w:highlight w:val="none"/>
        </w:rPr>
      </w:pPr>
    </w:p>
    <w:p w14:paraId="09CB50F1">
      <w:pPr>
        <w:autoSpaceDE w:val="0"/>
        <w:autoSpaceDN w:val="0"/>
        <w:adjustRightInd w:val="0"/>
        <w:spacing w:line="360" w:lineRule="auto"/>
        <w:contextualSpacing/>
        <w:jc w:val="center"/>
        <w:rPr>
          <w:rFonts w:ascii="宋体" w:hAnsi="宋体" w:eastAsia="宋体" w:cs="宋体"/>
          <w:kern w:val="0"/>
          <w:sz w:val="24"/>
          <w:szCs w:val="24"/>
          <w:highlight w:val="none"/>
        </w:rPr>
      </w:pPr>
      <w:r>
        <w:rPr>
          <w:rFonts w:hint="eastAsia" w:ascii="宋体" w:hAnsi="宋体" w:eastAsia="宋体" w:cs="宋体"/>
          <w:b/>
          <w:kern w:val="0"/>
          <w:sz w:val="30"/>
          <w:szCs w:val="30"/>
          <w:highlight w:val="none"/>
        </w:rPr>
        <w:t>拟担任本项目</w:t>
      </w:r>
      <w:r>
        <w:rPr>
          <w:rFonts w:hint="eastAsia" w:ascii="宋体" w:hAnsi="宋体" w:eastAsia="宋体" w:cs="宋体"/>
          <w:b/>
          <w:kern w:val="0"/>
          <w:sz w:val="30"/>
          <w:szCs w:val="30"/>
          <w:highlight w:val="none"/>
          <w:u w:val="single"/>
        </w:rPr>
        <w:t xml:space="preserve">     （职位名称） </w:t>
      </w:r>
      <w:r>
        <w:rPr>
          <w:rFonts w:hint="eastAsia" w:ascii="宋体" w:hAnsi="宋体" w:eastAsia="宋体" w:cs="宋体"/>
          <w:b/>
          <w:kern w:val="0"/>
          <w:sz w:val="30"/>
          <w:szCs w:val="30"/>
          <w:highlight w:val="none"/>
        </w:rPr>
        <w:t>人员简历表</w:t>
      </w:r>
    </w:p>
    <w:tbl>
      <w:tblPr>
        <w:tblStyle w:val="3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13"/>
        <w:gridCol w:w="824"/>
        <w:gridCol w:w="1500"/>
        <w:gridCol w:w="360"/>
        <w:gridCol w:w="203"/>
        <w:gridCol w:w="929"/>
        <w:gridCol w:w="600"/>
        <w:gridCol w:w="15"/>
        <w:gridCol w:w="1244"/>
        <w:gridCol w:w="482"/>
        <w:gridCol w:w="712"/>
        <w:gridCol w:w="451"/>
        <w:gridCol w:w="1543"/>
      </w:tblGrid>
      <w:tr w14:paraId="216EF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0" w:type="pct"/>
            <w:vAlign w:val="center"/>
          </w:tcPr>
          <w:p w14:paraId="352C7F48">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姓名</w:t>
            </w:r>
          </w:p>
        </w:tc>
        <w:tc>
          <w:tcPr>
            <w:tcW w:w="1492" w:type="pct"/>
            <w:gridSpan w:val="4"/>
            <w:vAlign w:val="center"/>
          </w:tcPr>
          <w:p w14:paraId="72E90310">
            <w:pPr>
              <w:autoSpaceDE w:val="0"/>
              <w:autoSpaceDN w:val="0"/>
              <w:adjustRightInd w:val="0"/>
              <w:spacing w:line="360" w:lineRule="auto"/>
              <w:contextualSpacing/>
              <w:jc w:val="center"/>
              <w:rPr>
                <w:rFonts w:ascii="宋体" w:hAnsi="宋体" w:eastAsia="宋体" w:cs="宋体"/>
                <w:kern w:val="0"/>
                <w:szCs w:val="21"/>
                <w:highlight w:val="none"/>
              </w:rPr>
            </w:pPr>
          </w:p>
        </w:tc>
        <w:tc>
          <w:tcPr>
            <w:tcW w:w="480" w:type="pct"/>
            <w:vAlign w:val="center"/>
          </w:tcPr>
          <w:p w14:paraId="09425FB9">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性别</w:t>
            </w:r>
          </w:p>
        </w:tc>
        <w:tc>
          <w:tcPr>
            <w:tcW w:w="961" w:type="pct"/>
            <w:gridSpan w:val="3"/>
            <w:vAlign w:val="center"/>
          </w:tcPr>
          <w:p w14:paraId="246B62F7">
            <w:pPr>
              <w:autoSpaceDE w:val="0"/>
              <w:autoSpaceDN w:val="0"/>
              <w:adjustRightInd w:val="0"/>
              <w:spacing w:line="360" w:lineRule="auto"/>
              <w:contextualSpacing/>
              <w:jc w:val="center"/>
              <w:rPr>
                <w:rFonts w:ascii="宋体" w:hAnsi="宋体" w:eastAsia="宋体" w:cs="宋体"/>
                <w:kern w:val="0"/>
                <w:szCs w:val="21"/>
                <w:highlight w:val="none"/>
              </w:rPr>
            </w:pPr>
          </w:p>
        </w:tc>
        <w:tc>
          <w:tcPr>
            <w:tcW w:w="617" w:type="pct"/>
            <w:gridSpan w:val="2"/>
            <w:vAlign w:val="center"/>
          </w:tcPr>
          <w:p w14:paraId="497E5D6B">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年龄</w:t>
            </w:r>
          </w:p>
        </w:tc>
        <w:tc>
          <w:tcPr>
            <w:tcW w:w="1029" w:type="pct"/>
            <w:gridSpan w:val="2"/>
            <w:vAlign w:val="center"/>
          </w:tcPr>
          <w:p w14:paraId="60051871">
            <w:pPr>
              <w:autoSpaceDE w:val="0"/>
              <w:autoSpaceDN w:val="0"/>
              <w:adjustRightInd w:val="0"/>
              <w:spacing w:line="360" w:lineRule="auto"/>
              <w:contextualSpacing/>
              <w:jc w:val="center"/>
              <w:rPr>
                <w:rFonts w:ascii="宋体" w:hAnsi="宋体" w:eastAsia="宋体" w:cs="宋体"/>
                <w:kern w:val="0"/>
                <w:szCs w:val="21"/>
                <w:highlight w:val="none"/>
              </w:rPr>
            </w:pPr>
          </w:p>
        </w:tc>
      </w:tr>
      <w:tr w14:paraId="7659D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420" w:type="pct"/>
            <w:vAlign w:val="center"/>
          </w:tcPr>
          <w:p w14:paraId="4B3F23FF">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职务</w:t>
            </w:r>
          </w:p>
        </w:tc>
        <w:tc>
          <w:tcPr>
            <w:tcW w:w="1492" w:type="pct"/>
            <w:gridSpan w:val="4"/>
            <w:vAlign w:val="center"/>
          </w:tcPr>
          <w:p w14:paraId="5DFF0406">
            <w:pPr>
              <w:autoSpaceDE w:val="0"/>
              <w:autoSpaceDN w:val="0"/>
              <w:adjustRightInd w:val="0"/>
              <w:spacing w:line="360" w:lineRule="auto"/>
              <w:contextualSpacing/>
              <w:jc w:val="center"/>
              <w:rPr>
                <w:rFonts w:ascii="宋体" w:hAnsi="宋体" w:eastAsia="宋体" w:cs="宋体"/>
                <w:kern w:val="0"/>
                <w:szCs w:val="21"/>
                <w:highlight w:val="none"/>
              </w:rPr>
            </w:pPr>
          </w:p>
        </w:tc>
        <w:tc>
          <w:tcPr>
            <w:tcW w:w="480" w:type="pct"/>
            <w:vAlign w:val="center"/>
          </w:tcPr>
          <w:p w14:paraId="498B23CE">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职称</w:t>
            </w:r>
          </w:p>
        </w:tc>
        <w:tc>
          <w:tcPr>
            <w:tcW w:w="961" w:type="pct"/>
            <w:gridSpan w:val="3"/>
            <w:vAlign w:val="center"/>
          </w:tcPr>
          <w:p w14:paraId="258546F3">
            <w:pPr>
              <w:autoSpaceDE w:val="0"/>
              <w:autoSpaceDN w:val="0"/>
              <w:adjustRightInd w:val="0"/>
              <w:spacing w:line="360" w:lineRule="auto"/>
              <w:contextualSpacing/>
              <w:jc w:val="center"/>
              <w:rPr>
                <w:rFonts w:ascii="宋体" w:hAnsi="宋体" w:eastAsia="宋体" w:cs="宋体"/>
                <w:kern w:val="0"/>
                <w:szCs w:val="21"/>
                <w:highlight w:val="none"/>
              </w:rPr>
            </w:pPr>
          </w:p>
        </w:tc>
        <w:tc>
          <w:tcPr>
            <w:tcW w:w="617" w:type="pct"/>
            <w:gridSpan w:val="2"/>
            <w:vAlign w:val="center"/>
          </w:tcPr>
          <w:p w14:paraId="5999A3B4">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学历</w:t>
            </w:r>
          </w:p>
        </w:tc>
        <w:tc>
          <w:tcPr>
            <w:tcW w:w="1029" w:type="pct"/>
            <w:gridSpan w:val="2"/>
            <w:vAlign w:val="center"/>
          </w:tcPr>
          <w:p w14:paraId="4B952086">
            <w:pPr>
              <w:autoSpaceDE w:val="0"/>
              <w:autoSpaceDN w:val="0"/>
              <w:adjustRightInd w:val="0"/>
              <w:spacing w:line="360" w:lineRule="auto"/>
              <w:contextualSpacing/>
              <w:jc w:val="center"/>
              <w:rPr>
                <w:rFonts w:ascii="宋体" w:hAnsi="宋体" w:eastAsia="宋体" w:cs="宋体"/>
                <w:kern w:val="0"/>
                <w:szCs w:val="21"/>
                <w:highlight w:val="none"/>
              </w:rPr>
            </w:pPr>
          </w:p>
        </w:tc>
      </w:tr>
      <w:tr w14:paraId="5BEFD6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621" w:type="pct"/>
            <w:gridSpan w:val="3"/>
            <w:vAlign w:val="center"/>
          </w:tcPr>
          <w:p w14:paraId="34BE82AA">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参加工作时间</w:t>
            </w:r>
          </w:p>
        </w:tc>
        <w:tc>
          <w:tcPr>
            <w:tcW w:w="1081" w:type="pct"/>
            <w:gridSpan w:val="4"/>
            <w:vAlign w:val="center"/>
          </w:tcPr>
          <w:p w14:paraId="45A17C2A">
            <w:pPr>
              <w:autoSpaceDE w:val="0"/>
              <w:autoSpaceDN w:val="0"/>
              <w:adjustRightInd w:val="0"/>
              <w:spacing w:line="360" w:lineRule="auto"/>
              <w:contextualSpacing/>
              <w:jc w:val="center"/>
              <w:rPr>
                <w:rFonts w:ascii="宋体" w:hAnsi="宋体" w:eastAsia="宋体" w:cs="宋体"/>
                <w:kern w:val="0"/>
                <w:szCs w:val="21"/>
                <w:highlight w:val="none"/>
              </w:rPr>
            </w:pPr>
          </w:p>
        </w:tc>
        <w:tc>
          <w:tcPr>
            <w:tcW w:w="1501" w:type="pct"/>
            <w:gridSpan w:val="5"/>
            <w:vAlign w:val="center"/>
          </w:tcPr>
          <w:p w14:paraId="6447D78E">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担任</w:t>
            </w:r>
            <w:r>
              <w:rPr>
                <w:rFonts w:hint="eastAsia" w:ascii="宋体" w:hAnsi="宋体" w:eastAsia="宋体" w:cs="宋体"/>
                <w:b/>
                <w:kern w:val="0"/>
                <w:szCs w:val="21"/>
                <w:highlight w:val="none"/>
                <w:u w:val="single"/>
              </w:rPr>
              <w:t xml:space="preserve"> </w:t>
            </w:r>
            <w:r>
              <w:rPr>
                <w:rFonts w:hint="eastAsia" w:ascii="宋体" w:hAnsi="宋体" w:eastAsia="宋体" w:cs="宋体"/>
                <w:kern w:val="0"/>
                <w:szCs w:val="21"/>
                <w:highlight w:val="none"/>
                <w:u w:val="single"/>
              </w:rPr>
              <w:t xml:space="preserve">    （职位名称）</w:t>
            </w:r>
            <w:r>
              <w:rPr>
                <w:rFonts w:hint="eastAsia" w:ascii="宋体" w:hAnsi="宋体" w:eastAsia="宋体" w:cs="宋体"/>
                <w:kern w:val="0"/>
                <w:szCs w:val="21"/>
                <w:highlight w:val="none"/>
              </w:rPr>
              <w:t>年限</w:t>
            </w:r>
          </w:p>
        </w:tc>
        <w:tc>
          <w:tcPr>
            <w:tcW w:w="798" w:type="pct"/>
            <w:vAlign w:val="center"/>
          </w:tcPr>
          <w:p w14:paraId="6E2DB3F6">
            <w:pPr>
              <w:autoSpaceDE w:val="0"/>
              <w:autoSpaceDN w:val="0"/>
              <w:adjustRightInd w:val="0"/>
              <w:spacing w:line="360" w:lineRule="auto"/>
              <w:contextualSpacing/>
              <w:jc w:val="center"/>
              <w:rPr>
                <w:rFonts w:ascii="宋体" w:hAnsi="宋体" w:eastAsia="宋体" w:cs="宋体"/>
                <w:kern w:val="0"/>
                <w:szCs w:val="21"/>
                <w:highlight w:val="none"/>
              </w:rPr>
            </w:pPr>
          </w:p>
        </w:tc>
      </w:tr>
      <w:tr w14:paraId="224B8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8" w:hRule="atLeast"/>
        </w:trPr>
        <w:tc>
          <w:tcPr>
            <w:tcW w:w="1621" w:type="pct"/>
            <w:gridSpan w:val="3"/>
            <w:vAlign w:val="center"/>
          </w:tcPr>
          <w:p w14:paraId="4C76EA8F">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资格证书编号</w:t>
            </w:r>
          </w:p>
        </w:tc>
        <w:tc>
          <w:tcPr>
            <w:tcW w:w="3379" w:type="pct"/>
            <w:gridSpan w:val="10"/>
            <w:vAlign w:val="center"/>
          </w:tcPr>
          <w:p w14:paraId="7AD6682A">
            <w:pPr>
              <w:autoSpaceDE w:val="0"/>
              <w:autoSpaceDN w:val="0"/>
              <w:adjustRightInd w:val="0"/>
              <w:spacing w:line="360" w:lineRule="auto"/>
              <w:contextualSpacing/>
              <w:jc w:val="center"/>
              <w:rPr>
                <w:rFonts w:ascii="宋体" w:hAnsi="宋体" w:eastAsia="宋体" w:cs="宋体"/>
                <w:kern w:val="0"/>
                <w:szCs w:val="21"/>
                <w:highlight w:val="none"/>
              </w:rPr>
            </w:pPr>
          </w:p>
        </w:tc>
      </w:tr>
      <w:tr w14:paraId="748DFF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trPr>
        <w:tc>
          <w:tcPr>
            <w:tcW w:w="5000" w:type="pct"/>
            <w:gridSpan w:val="13"/>
            <w:vAlign w:val="center"/>
          </w:tcPr>
          <w:p w14:paraId="0303DB36">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目前在任及以往服务项目情况</w:t>
            </w:r>
          </w:p>
        </w:tc>
      </w:tr>
      <w:tr w14:paraId="4133C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846" w:type="pct"/>
            <w:gridSpan w:val="2"/>
            <w:vAlign w:val="center"/>
          </w:tcPr>
          <w:p w14:paraId="56D293CA">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采购人</w:t>
            </w:r>
          </w:p>
        </w:tc>
        <w:tc>
          <w:tcPr>
            <w:tcW w:w="961" w:type="pct"/>
            <w:gridSpan w:val="2"/>
            <w:vAlign w:val="center"/>
          </w:tcPr>
          <w:p w14:paraId="1D51AF90">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项目名称</w:t>
            </w:r>
          </w:p>
        </w:tc>
        <w:tc>
          <w:tcPr>
            <w:tcW w:w="903" w:type="pct"/>
            <w:gridSpan w:val="4"/>
            <w:vAlign w:val="center"/>
          </w:tcPr>
          <w:p w14:paraId="72F96EBF">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项目规模</w:t>
            </w:r>
          </w:p>
        </w:tc>
        <w:tc>
          <w:tcPr>
            <w:tcW w:w="892" w:type="pct"/>
            <w:gridSpan w:val="2"/>
            <w:vAlign w:val="center"/>
          </w:tcPr>
          <w:p w14:paraId="274C8F9E">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所任职务</w:t>
            </w:r>
          </w:p>
        </w:tc>
        <w:tc>
          <w:tcPr>
            <w:tcW w:w="1398" w:type="pct"/>
            <w:gridSpan w:val="3"/>
            <w:vAlign w:val="center"/>
          </w:tcPr>
          <w:p w14:paraId="32947128">
            <w:pPr>
              <w:autoSpaceDE w:val="0"/>
              <w:autoSpaceDN w:val="0"/>
              <w:adjustRightInd w:val="0"/>
              <w:spacing w:line="360" w:lineRule="auto"/>
              <w:contextualSpacing/>
              <w:jc w:val="center"/>
              <w:rPr>
                <w:rFonts w:ascii="宋体" w:hAnsi="宋体" w:eastAsia="宋体" w:cs="宋体"/>
                <w:kern w:val="0"/>
                <w:szCs w:val="21"/>
                <w:highlight w:val="none"/>
              </w:rPr>
            </w:pPr>
            <w:r>
              <w:rPr>
                <w:rFonts w:hint="eastAsia" w:ascii="宋体" w:hAnsi="宋体" w:eastAsia="宋体" w:cs="宋体"/>
                <w:kern w:val="0"/>
                <w:szCs w:val="21"/>
                <w:highlight w:val="none"/>
              </w:rPr>
              <w:t>起止时间</w:t>
            </w:r>
          </w:p>
        </w:tc>
      </w:tr>
      <w:tr w14:paraId="7788A7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6" w:type="pct"/>
            <w:gridSpan w:val="2"/>
            <w:vAlign w:val="center"/>
          </w:tcPr>
          <w:p w14:paraId="452348D1">
            <w:pPr>
              <w:autoSpaceDE w:val="0"/>
              <w:autoSpaceDN w:val="0"/>
              <w:adjustRightInd w:val="0"/>
              <w:spacing w:line="360" w:lineRule="auto"/>
              <w:contextualSpacing/>
              <w:jc w:val="center"/>
              <w:rPr>
                <w:rFonts w:ascii="宋体" w:hAnsi="宋体" w:eastAsia="宋体" w:cs="宋体"/>
                <w:kern w:val="0"/>
                <w:szCs w:val="21"/>
                <w:highlight w:val="none"/>
              </w:rPr>
            </w:pPr>
          </w:p>
        </w:tc>
        <w:tc>
          <w:tcPr>
            <w:tcW w:w="961" w:type="pct"/>
            <w:gridSpan w:val="2"/>
            <w:vAlign w:val="center"/>
          </w:tcPr>
          <w:p w14:paraId="3E54BF2F">
            <w:pPr>
              <w:autoSpaceDE w:val="0"/>
              <w:autoSpaceDN w:val="0"/>
              <w:adjustRightInd w:val="0"/>
              <w:spacing w:line="360" w:lineRule="auto"/>
              <w:contextualSpacing/>
              <w:jc w:val="center"/>
              <w:rPr>
                <w:rFonts w:ascii="宋体" w:hAnsi="宋体" w:eastAsia="宋体" w:cs="宋体"/>
                <w:kern w:val="0"/>
                <w:szCs w:val="21"/>
                <w:highlight w:val="none"/>
              </w:rPr>
            </w:pPr>
          </w:p>
        </w:tc>
        <w:tc>
          <w:tcPr>
            <w:tcW w:w="903" w:type="pct"/>
            <w:gridSpan w:val="4"/>
            <w:vAlign w:val="center"/>
          </w:tcPr>
          <w:p w14:paraId="3F71588A">
            <w:pPr>
              <w:autoSpaceDE w:val="0"/>
              <w:autoSpaceDN w:val="0"/>
              <w:adjustRightInd w:val="0"/>
              <w:spacing w:line="360" w:lineRule="auto"/>
              <w:contextualSpacing/>
              <w:jc w:val="center"/>
              <w:rPr>
                <w:rFonts w:ascii="宋体" w:hAnsi="宋体" w:eastAsia="宋体" w:cs="宋体"/>
                <w:kern w:val="0"/>
                <w:szCs w:val="21"/>
                <w:highlight w:val="none"/>
              </w:rPr>
            </w:pPr>
          </w:p>
        </w:tc>
        <w:tc>
          <w:tcPr>
            <w:tcW w:w="892" w:type="pct"/>
            <w:gridSpan w:val="2"/>
            <w:vAlign w:val="center"/>
          </w:tcPr>
          <w:p w14:paraId="2A8DF612">
            <w:pPr>
              <w:autoSpaceDE w:val="0"/>
              <w:autoSpaceDN w:val="0"/>
              <w:adjustRightInd w:val="0"/>
              <w:spacing w:line="360" w:lineRule="auto"/>
              <w:contextualSpacing/>
              <w:jc w:val="center"/>
              <w:rPr>
                <w:rFonts w:ascii="宋体" w:hAnsi="宋体" w:eastAsia="宋体" w:cs="宋体"/>
                <w:kern w:val="0"/>
                <w:szCs w:val="21"/>
                <w:highlight w:val="none"/>
              </w:rPr>
            </w:pPr>
          </w:p>
        </w:tc>
        <w:tc>
          <w:tcPr>
            <w:tcW w:w="1398" w:type="pct"/>
            <w:gridSpan w:val="3"/>
            <w:vAlign w:val="center"/>
          </w:tcPr>
          <w:p w14:paraId="076AFD33">
            <w:pPr>
              <w:autoSpaceDE w:val="0"/>
              <w:autoSpaceDN w:val="0"/>
              <w:adjustRightInd w:val="0"/>
              <w:spacing w:line="360" w:lineRule="auto"/>
              <w:contextualSpacing/>
              <w:jc w:val="center"/>
              <w:rPr>
                <w:rFonts w:ascii="宋体" w:hAnsi="宋体" w:eastAsia="宋体" w:cs="宋体"/>
                <w:kern w:val="0"/>
                <w:szCs w:val="21"/>
                <w:highlight w:val="none"/>
              </w:rPr>
            </w:pPr>
          </w:p>
        </w:tc>
      </w:tr>
      <w:tr w14:paraId="3E77DC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6" w:type="pct"/>
            <w:gridSpan w:val="2"/>
            <w:vAlign w:val="center"/>
          </w:tcPr>
          <w:p w14:paraId="1EAFC307">
            <w:pPr>
              <w:autoSpaceDE w:val="0"/>
              <w:autoSpaceDN w:val="0"/>
              <w:adjustRightInd w:val="0"/>
              <w:spacing w:line="360" w:lineRule="auto"/>
              <w:contextualSpacing/>
              <w:jc w:val="center"/>
              <w:rPr>
                <w:rFonts w:ascii="宋体" w:hAnsi="宋体" w:eastAsia="宋体" w:cs="宋体"/>
                <w:kern w:val="0"/>
                <w:szCs w:val="21"/>
                <w:highlight w:val="none"/>
              </w:rPr>
            </w:pPr>
          </w:p>
        </w:tc>
        <w:tc>
          <w:tcPr>
            <w:tcW w:w="961" w:type="pct"/>
            <w:gridSpan w:val="2"/>
            <w:vAlign w:val="center"/>
          </w:tcPr>
          <w:p w14:paraId="5C767030">
            <w:pPr>
              <w:autoSpaceDE w:val="0"/>
              <w:autoSpaceDN w:val="0"/>
              <w:adjustRightInd w:val="0"/>
              <w:spacing w:line="360" w:lineRule="auto"/>
              <w:contextualSpacing/>
              <w:jc w:val="center"/>
              <w:rPr>
                <w:rFonts w:ascii="宋体" w:hAnsi="宋体" w:eastAsia="宋体" w:cs="宋体"/>
                <w:kern w:val="0"/>
                <w:szCs w:val="21"/>
                <w:highlight w:val="none"/>
              </w:rPr>
            </w:pPr>
          </w:p>
        </w:tc>
        <w:tc>
          <w:tcPr>
            <w:tcW w:w="903" w:type="pct"/>
            <w:gridSpan w:val="4"/>
            <w:vAlign w:val="center"/>
          </w:tcPr>
          <w:p w14:paraId="4743AC0C">
            <w:pPr>
              <w:autoSpaceDE w:val="0"/>
              <w:autoSpaceDN w:val="0"/>
              <w:adjustRightInd w:val="0"/>
              <w:spacing w:line="360" w:lineRule="auto"/>
              <w:contextualSpacing/>
              <w:jc w:val="center"/>
              <w:rPr>
                <w:rFonts w:ascii="宋体" w:hAnsi="宋体" w:eastAsia="宋体" w:cs="宋体"/>
                <w:kern w:val="0"/>
                <w:szCs w:val="21"/>
                <w:highlight w:val="none"/>
              </w:rPr>
            </w:pPr>
          </w:p>
        </w:tc>
        <w:tc>
          <w:tcPr>
            <w:tcW w:w="892" w:type="pct"/>
            <w:gridSpan w:val="2"/>
            <w:vAlign w:val="center"/>
          </w:tcPr>
          <w:p w14:paraId="7ABCADA1">
            <w:pPr>
              <w:autoSpaceDE w:val="0"/>
              <w:autoSpaceDN w:val="0"/>
              <w:adjustRightInd w:val="0"/>
              <w:spacing w:line="360" w:lineRule="auto"/>
              <w:contextualSpacing/>
              <w:jc w:val="center"/>
              <w:rPr>
                <w:rFonts w:ascii="宋体" w:hAnsi="宋体" w:eastAsia="宋体" w:cs="宋体"/>
                <w:kern w:val="0"/>
                <w:szCs w:val="21"/>
                <w:highlight w:val="none"/>
              </w:rPr>
            </w:pPr>
          </w:p>
        </w:tc>
        <w:tc>
          <w:tcPr>
            <w:tcW w:w="1398" w:type="pct"/>
            <w:gridSpan w:val="3"/>
            <w:vAlign w:val="center"/>
          </w:tcPr>
          <w:p w14:paraId="595F15FD">
            <w:pPr>
              <w:autoSpaceDE w:val="0"/>
              <w:autoSpaceDN w:val="0"/>
              <w:adjustRightInd w:val="0"/>
              <w:spacing w:line="360" w:lineRule="auto"/>
              <w:contextualSpacing/>
              <w:jc w:val="center"/>
              <w:rPr>
                <w:rFonts w:ascii="宋体" w:hAnsi="宋体" w:eastAsia="宋体" w:cs="宋体"/>
                <w:kern w:val="0"/>
                <w:szCs w:val="21"/>
                <w:highlight w:val="none"/>
              </w:rPr>
            </w:pPr>
          </w:p>
        </w:tc>
      </w:tr>
      <w:tr w14:paraId="796D2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6" w:type="pct"/>
            <w:gridSpan w:val="2"/>
            <w:vAlign w:val="center"/>
          </w:tcPr>
          <w:p w14:paraId="02A1AFE7">
            <w:pPr>
              <w:autoSpaceDE w:val="0"/>
              <w:autoSpaceDN w:val="0"/>
              <w:adjustRightInd w:val="0"/>
              <w:spacing w:line="360" w:lineRule="auto"/>
              <w:contextualSpacing/>
              <w:jc w:val="center"/>
              <w:rPr>
                <w:rFonts w:ascii="宋体" w:hAnsi="宋体" w:eastAsia="宋体" w:cs="宋体"/>
                <w:kern w:val="0"/>
                <w:szCs w:val="21"/>
                <w:highlight w:val="none"/>
              </w:rPr>
            </w:pPr>
          </w:p>
        </w:tc>
        <w:tc>
          <w:tcPr>
            <w:tcW w:w="961" w:type="pct"/>
            <w:gridSpan w:val="2"/>
            <w:vAlign w:val="center"/>
          </w:tcPr>
          <w:p w14:paraId="1B013D15">
            <w:pPr>
              <w:autoSpaceDE w:val="0"/>
              <w:autoSpaceDN w:val="0"/>
              <w:adjustRightInd w:val="0"/>
              <w:spacing w:line="360" w:lineRule="auto"/>
              <w:contextualSpacing/>
              <w:jc w:val="center"/>
              <w:rPr>
                <w:rFonts w:ascii="宋体" w:hAnsi="宋体" w:eastAsia="宋体" w:cs="宋体"/>
                <w:kern w:val="0"/>
                <w:szCs w:val="21"/>
                <w:highlight w:val="none"/>
              </w:rPr>
            </w:pPr>
          </w:p>
        </w:tc>
        <w:tc>
          <w:tcPr>
            <w:tcW w:w="903" w:type="pct"/>
            <w:gridSpan w:val="4"/>
            <w:vAlign w:val="center"/>
          </w:tcPr>
          <w:p w14:paraId="4E2A8DC3">
            <w:pPr>
              <w:autoSpaceDE w:val="0"/>
              <w:autoSpaceDN w:val="0"/>
              <w:adjustRightInd w:val="0"/>
              <w:spacing w:line="360" w:lineRule="auto"/>
              <w:contextualSpacing/>
              <w:jc w:val="center"/>
              <w:rPr>
                <w:rFonts w:ascii="宋体" w:hAnsi="宋体" w:eastAsia="宋体" w:cs="宋体"/>
                <w:kern w:val="0"/>
                <w:szCs w:val="21"/>
                <w:highlight w:val="none"/>
              </w:rPr>
            </w:pPr>
          </w:p>
        </w:tc>
        <w:tc>
          <w:tcPr>
            <w:tcW w:w="892" w:type="pct"/>
            <w:gridSpan w:val="2"/>
            <w:vAlign w:val="center"/>
          </w:tcPr>
          <w:p w14:paraId="0A8313A3">
            <w:pPr>
              <w:autoSpaceDE w:val="0"/>
              <w:autoSpaceDN w:val="0"/>
              <w:adjustRightInd w:val="0"/>
              <w:spacing w:line="360" w:lineRule="auto"/>
              <w:contextualSpacing/>
              <w:jc w:val="center"/>
              <w:rPr>
                <w:rFonts w:ascii="宋体" w:hAnsi="宋体" w:eastAsia="宋体" w:cs="宋体"/>
                <w:kern w:val="0"/>
                <w:szCs w:val="21"/>
                <w:highlight w:val="none"/>
              </w:rPr>
            </w:pPr>
          </w:p>
        </w:tc>
        <w:tc>
          <w:tcPr>
            <w:tcW w:w="1398" w:type="pct"/>
            <w:gridSpan w:val="3"/>
            <w:vAlign w:val="center"/>
          </w:tcPr>
          <w:p w14:paraId="4D192D54">
            <w:pPr>
              <w:autoSpaceDE w:val="0"/>
              <w:autoSpaceDN w:val="0"/>
              <w:adjustRightInd w:val="0"/>
              <w:spacing w:line="360" w:lineRule="auto"/>
              <w:contextualSpacing/>
              <w:jc w:val="center"/>
              <w:rPr>
                <w:rFonts w:ascii="宋体" w:hAnsi="宋体" w:eastAsia="宋体" w:cs="宋体"/>
                <w:kern w:val="0"/>
                <w:szCs w:val="21"/>
                <w:highlight w:val="none"/>
              </w:rPr>
            </w:pPr>
          </w:p>
        </w:tc>
      </w:tr>
      <w:tr w14:paraId="547CE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6" w:type="pct"/>
            <w:gridSpan w:val="2"/>
            <w:vAlign w:val="center"/>
          </w:tcPr>
          <w:p w14:paraId="4ECA54DC">
            <w:pPr>
              <w:autoSpaceDE w:val="0"/>
              <w:autoSpaceDN w:val="0"/>
              <w:adjustRightInd w:val="0"/>
              <w:spacing w:line="360" w:lineRule="auto"/>
              <w:contextualSpacing/>
              <w:jc w:val="center"/>
              <w:rPr>
                <w:rFonts w:ascii="宋体" w:hAnsi="宋体" w:eastAsia="宋体" w:cs="宋体"/>
                <w:kern w:val="0"/>
                <w:szCs w:val="21"/>
                <w:highlight w:val="none"/>
              </w:rPr>
            </w:pPr>
          </w:p>
        </w:tc>
        <w:tc>
          <w:tcPr>
            <w:tcW w:w="961" w:type="pct"/>
            <w:gridSpan w:val="2"/>
            <w:vAlign w:val="center"/>
          </w:tcPr>
          <w:p w14:paraId="74E4BE5B">
            <w:pPr>
              <w:autoSpaceDE w:val="0"/>
              <w:autoSpaceDN w:val="0"/>
              <w:adjustRightInd w:val="0"/>
              <w:spacing w:line="360" w:lineRule="auto"/>
              <w:contextualSpacing/>
              <w:jc w:val="center"/>
              <w:rPr>
                <w:rFonts w:ascii="宋体" w:hAnsi="宋体" w:eastAsia="宋体" w:cs="宋体"/>
                <w:kern w:val="0"/>
                <w:szCs w:val="21"/>
                <w:highlight w:val="none"/>
              </w:rPr>
            </w:pPr>
          </w:p>
        </w:tc>
        <w:tc>
          <w:tcPr>
            <w:tcW w:w="903" w:type="pct"/>
            <w:gridSpan w:val="4"/>
            <w:vAlign w:val="center"/>
          </w:tcPr>
          <w:p w14:paraId="575932B3">
            <w:pPr>
              <w:autoSpaceDE w:val="0"/>
              <w:autoSpaceDN w:val="0"/>
              <w:adjustRightInd w:val="0"/>
              <w:spacing w:line="360" w:lineRule="auto"/>
              <w:contextualSpacing/>
              <w:jc w:val="center"/>
              <w:rPr>
                <w:rFonts w:ascii="宋体" w:hAnsi="宋体" w:eastAsia="宋体" w:cs="宋体"/>
                <w:kern w:val="0"/>
                <w:szCs w:val="21"/>
                <w:highlight w:val="none"/>
              </w:rPr>
            </w:pPr>
          </w:p>
        </w:tc>
        <w:tc>
          <w:tcPr>
            <w:tcW w:w="892" w:type="pct"/>
            <w:gridSpan w:val="2"/>
            <w:vAlign w:val="center"/>
          </w:tcPr>
          <w:p w14:paraId="677FF953">
            <w:pPr>
              <w:autoSpaceDE w:val="0"/>
              <w:autoSpaceDN w:val="0"/>
              <w:adjustRightInd w:val="0"/>
              <w:spacing w:line="360" w:lineRule="auto"/>
              <w:contextualSpacing/>
              <w:jc w:val="center"/>
              <w:rPr>
                <w:rFonts w:ascii="宋体" w:hAnsi="宋体" w:eastAsia="宋体" w:cs="宋体"/>
                <w:kern w:val="0"/>
                <w:szCs w:val="21"/>
                <w:highlight w:val="none"/>
              </w:rPr>
            </w:pPr>
          </w:p>
        </w:tc>
        <w:tc>
          <w:tcPr>
            <w:tcW w:w="1398" w:type="pct"/>
            <w:gridSpan w:val="3"/>
            <w:vAlign w:val="center"/>
          </w:tcPr>
          <w:p w14:paraId="58D7A23B">
            <w:pPr>
              <w:autoSpaceDE w:val="0"/>
              <w:autoSpaceDN w:val="0"/>
              <w:adjustRightInd w:val="0"/>
              <w:spacing w:line="360" w:lineRule="auto"/>
              <w:contextualSpacing/>
              <w:jc w:val="center"/>
              <w:rPr>
                <w:rFonts w:ascii="宋体" w:hAnsi="宋体" w:eastAsia="宋体" w:cs="宋体"/>
                <w:kern w:val="0"/>
                <w:szCs w:val="21"/>
                <w:highlight w:val="none"/>
              </w:rPr>
            </w:pPr>
          </w:p>
        </w:tc>
      </w:tr>
      <w:tr w14:paraId="0F3A63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6" w:type="pct"/>
            <w:gridSpan w:val="2"/>
            <w:vAlign w:val="center"/>
          </w:tcPr>
          <w:p w14:paraId="523332E1">
            <w:pPr>
              <w:autoSpaceDE w:val="0"/>
              <w:autoSpaceDN w:val="0"/>
              <w:adjustRightInd w:val="0"/>
              <w:spacing w:line="360" w:lineRule="auto"/>
              <w:contextualSpacing/>
              <w:jc w:val="center"/>
              <w:rPr>
                <w:rFonts w:ascii="宋体" w:hAnsi="宋体" w:eastAsia="宋体" w:cs="宋体"/>
                <w:kern w:val="0"/>
                <w:szCs w:val="21"/>
                <w:highlight w:val="none"/>
              </w:rPr>
            </w:pPr>
          </w:p>
        </w:tc>
        <w:tc>
          <w:tcPr>
            <w:tcW w:w="961" w:type="pct"/>
            <w:gridSpan w:val="2"/>
            <w:vAlign w:val="center"/>
          </w:tcPr>
          <w:p w14:paraId="6523AF3C">
            <w:pPr>
              <w:autoSpaceDE w:val="0"/>
              <w:autoSpaceDN w:val="0"/>
              <w:adjustRightInd w:val="0"/>
              <w:spacing w:line="360" w:lineRule="auto"/>
              <w:contextualSpacing/>
              <w:jc w:val="center"/>
              <w:rPr>
                <w:rFonts w:ascii="宋体" w:hAnsi="宋体" w:eastAsia="宋体" w:cs="宋体"/>
                <w:kern w:val="0"/>
                <w:szCs w:val="21"/>
                <w:highlight w:val="none"/>
              </w:rPr>
            </w:pPr>
          </w:p>
        </w:tc>
        <w:tc>
          <w:tcPr>
            <w:tcW w:w="903" w:type="pct"/>
            <w:gridSpan w:val="4"/>
            <w:vAlign w:val="center"/>
          </w:tcPr>
          <w:p w14:paraId="5BF44F3D">
            <w:pPr>
              <w:autoSpaceDE w:val="0"/>
              <w:autoSpaceDN w:val="0"/>
              <w:adjustRightInd w:val="0"/>
              <w:spacing w:line="360" w:lineRule="auto"/>
              <w:contextualSpacing/>
              <w:jc w:val="center"/>
              <w:rPr>
                <w:rFonts w:ascii="宋体" w:hAnsi="宋体" w:eastAsia="宋体" w:cs="宋体"/>
                <w:kern w:val="0"/>
                <w:szCs w:val="21"/>
                <w:highlight w:val="none"/>
              </w:rPr>
            </w:pPr>
          </w:p>
        </w:tc>
        <w:tc>
          <w:tcPr>
            <w:tcW w:w="892" w:type="pct"/>
            <w:gridSpan w:val="2"/>
            <w:vAlign w:val="center"/>
          </w:tcPr>
          <w:p w14:paraId="6BC951BD">
            <w:pPr>
              <w:autoSpaceDE w:val="0"/>
              <w:autoSpaceDN w:val="0"/>
              <w:adjustRightInd w:val="0"/>
              <w:spacing w:line="360" w:lineRule="auto"/>
              <w:contextualSpacing/>
              <w:jc w:val="center"/>
              <w:rPr>
                <w:rFonts w:ascii="宋体" w:hAnsi="宋体" w:eastAsia="宋体" w:cs="宋体"/>
                <w:kern w:val="0"/>
                <w:szCs w:val="21"/>
                <w:highlight w:val="none"/>
              </w:rPr>
            </w:pPr>
          </w:p>
        </w:tc>
        <w:tc>
          <w:tcPr>
            <w:tcW w:w="1398" w:type="pct"/>
            <w:gridSpan w:val="3"/>
            <w:vAlign w:val="center"/>
          </w:tcPr>
          <w:p w14:paraId="6EDEF4E7">
            <w:pPr>
              <w:autoSpaceDE w:val="0"/>
              <w:autoSpaceDN w:val="0"/>
              <w:adjustRightInd w:val="0"/>
              <w:spacing w:line="360" w:lineRule="auto"/>
              <w:contextualSpacing/>
              <w:jc w:val="center"/>
              <w:rPr>
                <w:rFonts w:ascii="宋体" w:hAnsi="宋体" w:eastAsia="宋体" w:cs="宋体"/>
                <w:kern w:val="0"/>
                <w:szCs w:val="21"/>
                <w:highlight w:val="none"/>
              </w:rPr>
            </w:pPr>
          </w:p>
        </w:tc>
      </w:tr>
      <w:tr w14:paraId="77F60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6" w:hRule="atLeast"/>
        </w:trPr>
        <w:tc>
          <w:tcPr>
            <w:tcW w:w="846" w:type="pct"/>
            <w:gridSpan w:val="2"/>
            <w:vAlign w:val="center"/>
          </w:tcPr>
          <w:p w14:paraId="63B09110">
            <w:pPr>
              <w:autoSpaceDE w:val="0"/>
              <w:autoSpaceDN w:val="0"/>
              <w:adjustRightInd w:val="0"/>
              <w:spacing w:line="360" w:lineRule="auto"/>
              <w:contextualSpacing/>
              <w:jc w:val="center"/>
              <w:rPr>
                <w:rFonts w:ascii="宋体" w:hAnsi="宋体" w:eastAsia="宋体" w:cs="宋体"/>
                <w:kern w:val="0"/>
                <w:szCs w:val="21"/>
                <w:highlight w:val="none"/>
              </w:rPr>
            </w:pPr>
          </w:p>
        </w:tc>
        <w:tc>
          <w:tcPr>
            <w:tcW w:w="961" w:type="pct"/>
            <w:gridSpan w:val="2"/>
            <w:vAlign w:val="center"/>
          </w:tcPr>
          <w:p w14:paraId="6CEF28E0">
            <w:pPr>
              <w:autoSpaceDE w:val="0"/>
              <w:autoSpaceDN w:val="0"/>
              <w:adjustRightInd w:val="0"/>
              <w:spacing w:line="360" w:lineRule="auto"/>
              <w:contextualSpacing/>
              <w:jc w:val="center"/>
              <w:rPr>
                <w:rFonts w:ascii="宋体" w:hAnsi="宋体" w:eastAsia="宋体" w:cs="宋体"/>
                <w:kern w:val="0"/>
                <w:szCs w:val="21"/>
                <w:highlight w:val="none"/>
              </w:rPr>
            </w:pPr>
          </w:p>
        </w:tc>
        <w:tc>
          <w:tcPr>
            <w:tcW w:w="903" w:type="pct"/>
            <w:gridSpan w:val="4"/>
            <w:vAlign w:val="center"/>
          </w:tcPr>
          <w:p w14:paraId="4D57CDF0">
            <w:pPr>
              <w:autoSpaceDE w:val="0"/>
              <w:autoSpaceDN w:val="0"/>
              <w:adjustRightInd w:val="0"/>
              <w:spacing w:line="360" w:lineRule="auto"/>
              <w:contextualSpacing/>
              <w:jc w:val="center"/>
              <w:rPr>
                <w:rFonts w:ascii="宋体" w:hAnsi="宋体" w:eastAsia="宋体" w:cs="宋体"/>
                <w:kern w:val="0"/>
                <w:szCs w:val="21"/>
                <w:highlight w:val="none"/>
              </w:rPr>
            </w:pPr>
          </w:p>
        </w:tc>
        <w:tc>
          <w:tcPr>
            <w:tcW w:w="892" w:type="pct"/>
            <w:gridSpan w:val="2"/>
            <w:vAlign w:val="center"/>
          </w:tcPr>
          <w:p w14:paraId="4D134821">
            <w:pPr>
              <w:autoSpaceDE w:val="0"/>
              <w:autoSpaceDN w:val="0"/>
              <w:adjustRightInd w:val="0"/>
              <w:spacing w:line="360" w:lineRule="auto"/>
              <w:contextualSpacing/>
              <w:jc w:val="center"/>
              <w:rPr>
                <w:rFonts w:ascii="宋体" w:hAnsi="宋体" w:eastAsia="宋体" w:cs="宋体"/>
                <w:kern w:val="0"/>
                <w:szCs w:val="21"/>
                <w:highlight w:val="none"/>
              </w:rPr>
            </w:pPr>
          </w:p>
        </w:tc>
        <w:tc>
          <w:tcPr>
            <w:tcW w:w="1398" w:type="pct"/>
            <w:gridSpan w:val="3"/>
            <w:vAlign w:val="center"/>
          </w:tcPr>
          <w:p w14:paraId="76403A3B">
            <w:pPr>
              <w:autoSpaceDE w:val="0"/>
              <w:autoSpaceDN w:val="0"/>
              <w:adjustRightInd w:val="0"/>
              <w:spacing w:line="360" w:lineRule="auto"/>
              <w:contextualSpacing/>
              <w:jc w:val="center"/>
              <w:rPr>
                <w:rFonts w:ascii="宋体" w:hAnsi="宋体" w:eastAsia="宋体" w:cs="宋体"/>
                <w:kern w:val="0"/>
                <w:szCs w:val="21"/>
                <w:highlight w:val="none"/>
              </w:rPr>
            </w:pPr>
          </w:p>
        </w:tc>
      </w:tr>
    </w:tbl>
    <w:p w14:paraId="29E58B98">
      <w:pPr>
        <w:autoSpaceDE w:val="0"/>
        <w:autoSpaceDN w:val="0"/>
        <w:adjustRightInd w:val="0"/>
        <w:spacing w:line="360" w:lineRule="auto"/>
        <w:ind w:firstLine="630" w:firstLineChars="300"/>
        <w:contextualSpacing/>
        <w:jc w:val="left"/>
        <w:rPr>
          <w:rFonts w:ascii="宋体" w:hAnsi="宋体" w:eastAsia="宋体" w:cs="宋体"/>
          <w:kern w:val="0"/>
          <w:szCs w:val="21"/>
          <w:highlight w:val="none"/>
        </w:rPr>
      </w:pPr>
    </w:p>
    <w:p w14:paraId="34DD0BB9">
      <w:pPr>
        <w:autoSpaceDE w:val="0"/>
        <w:autoSpaceDN w:val="0"/>
        <w:adjustRightInd w:val="0"/>
        <w:spacing w:line="360" w:lineRule="auto"/>
        <w:contextualSpacing/>
        <w:jc w:val="left"/>
        <w:rPr>
          <w:rFonts w:ascii="宋体" w:hAnsi="宋体" w:eastAsia="宋体" w:cs="宋体"/>
          <w:kern w:val="0"/>
          <w:szCs w:val="21"/>
          <w:highlight w:val="none"/>
        </w:rPr>
      </w:pPr>
      <w:r>
        <w:rPr>
          <w:rFonts w:hint="eastAsia" w:ascii="宋体" w:hAnsi="宋体" w:eastAsia="宋体" w:cs="宋体"/>
          <w:kern w:val="0"/>
          <w:szCs w:val="21"/>
          <w:highlight w:val="none"/>
        </w:rPr>
        <w:t>注：</w:t>
      </w:r>
      <w:r>
        <w:rPr>
          <w:rFonts w:hint="eastAsia" w:ascii="宋体" w:hAnsi="宋体" w:eastAsia="宋体" w:cs="宋体"/>
          <w:kern w:val="0"/>
          <w:szCs w:val="21"/>
          <w:highlight w:val="none"/>
          <w:lang w:val="zh-CN"/>
        </w:rPr>
        <w:t>应提供上述人员身份证明、资格证书（或注册/执业/岗位证书/学历/技术职称）以及人力资源和社会保障部门（或税务部门）出具的202</w:t>
      </w:r>
      <w:r>
        <w:rPr>
          <w:rFonts w:hint="eastAsia" w:ascii="宋体" w:hAnsi="宋体" w:eastAsia="宋体" w:cs="宋体"/>
          <w:kern w:val="0"/>
          <w:szCs w:val="21"/>
          <w:highlight w:val="none"/>
          <w:lang w:val="en-US" w:eastAsia="zh-CN"/>
        </w:rPr>
        <w:t>5</w:t>
      </w:r>
      <w:r>
        <w:rPr>
          <w:rFonts w:hint="eastAsia" w:ascii="宋体" w:hAnsi="宋体" w:eastAsia="宋体" w:cs="宋体"/>
          <w:kern w:val="0"/>
          <w:szCs w:val="21"/>
          <w:highlight w:val="none"/>
          <w:lang w:val="zh-CN"/>
        </w:rPr>
        <w:t>年</w:t>
      </w:r>
      <w:r>
        <w:rPr>
          <w:rFonts w:hint="eastAsia" w:ascii="宋体" w:hAnsi="宋体" w:eastAsia="宋体" w:cs="宋体"/>
          <w:kern w:val="0"/>
          <w:szCs w:val="21"/>
          <w:highlight w:val="none"/>
        </w:rPr>
        <w:t>7</w:t>
      </w:r>
      <w:r>
        <w:rPr>
          <w:rFonts w:hint="eastAsia" w:ascii="宋体" w:hAnsi="宋体" w:eastAsia="宋体" w:cs="宋体"/>
          <w:kern w:val="0"/>
          <w:szCs w:val="21"/>
          <w:highlight w:val="none"/>
          <w:lang w:val="zh-CN"/>
        </w:rPr>
        <w:t>月至</w:t>
      </w:r>
      <w:r>
        <w:rPr>
          <w:rFonts w:hint="eastAsia" w:ascii="宋体" w:hAnsi="宋体" w:eastAsia="宋体" w:cs="宋体"/>
          <w:kern w:val="0"/>
          <w:szCs w:val="21"/>
          <w:highlight w:val="none"/>
        </w:rPr>
        <w:t>12</w:t>
      </w:r>
      <w:r>
        <w:rPr>
          <w:rFonts w:hint="eastAsia" w:ascii="宋体" w:hAnsi="宋体" w:eastAsia="宋体" w:cs="宋体"/>
          <w:kern w:val="0"/>
          <w:szCs w:val="21"/>
          <w:highlight w:val="none"/>
          <w:lang w:val="zh-CN"/>
        </w:rPr>
        <w:t>月连续六个月的社保缴纳证明</w:t>
      </w:r>
      <w:r>
        <w:rPr>
          <w:rFonts w:hint="eastAsia" w:ascii="宋体" w:hAnsi="宋体" w:eastAsia="宋体" w:cs="宋体"/>
          <w:kern w:val="0"/>
          <w:szCs w:val="21"/>
          <w:highlight w:val="none"/>
          <w:lang w:val="en-US" w:eastAsia="zh-CN"/>
        </w:rPr>
        <w:t>扫描件</w:t>
      </w:r>
      <w:r>
        <w:rPr>
          <w:rFonts w:hint="eastAsia" w:ascii="宋体" w:hAnsi="宋体" w:eastAsia="宋体" w:cs="宋体"/>
          <w:kern w:val="0"/>
          <w:szCs w:val="21"/>
          <w:highlight w:val="none"/>
          <w:lang w:val="zh-CN"/>
        </w:rPr>
        <w:t>，否则不得分。</w:t>
      </w:r>
    </w:p>
    <w:p w14:paraId="6E2E451E">
      <w:pPr>
        <w:autoSpaceDE w:val="0"/>
        <w:autoSpaceDN w:val="0"/>
        <w:adjustRightInd w:val="0"/>
        <w:spacing w:line="360" w:lineRule="auto"/>
        <w:ind w:firstLine="5040" w:firstLineChars="2400"/>
        <w:contextualSpacing/>
        <w:jc w:val="left"/>
        <w:rPr>
          <w:rFonts w:ascii="宋体" w:hAnsi="宋体" w:eastAsia="宋体" w:cs="宋体"/>
          <w:szCs w:val="24"/>
          <w:highlight w:val="none"/>
          <w:lang w:val="zh-CN"/>
        </w:rPr>
      </w:pPr>
    </w:p>
    <w:p w14:paraId="0A0B6035">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BB0DFC1">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755F0719">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5DA4CF9B">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718A6EE0">
      <w:pPr>
        <w:spacing w:line="240" w:lineRule="auto"/>
        <w:ind w:left="0" w:leftChars="0" w:firstLine="0" w:firstLineChars="0"/>
        <w:rPr>
          <w:rFonts w:hint="eastAsia" w:ascii="宋体" w:hAnsi="宋体" w:eastAsia="宋体" w:cs="宋体"/>
          <w:color w:val="auto"/>
          <w:kern w:val="0"/>
          <w:szCs w:val="21"/>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FDC4689">
      <w:pPr>
        <w:numPr>
          <w:ilvl w:val="0"/>
          <w:numId w:val="0"/>
        </w:numPr>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bidi="ar-SA"/>
        </w:rPr>
        <w:t>4、清洁管理方案（投标人自行编写，格式不限）</w:t>
      </w:r>
    </w:p>
    <w:p w14:paraId="77517FC1">
      <w:pPr>
        <w:numPr>
          <w:ilvl w:val="0"/>
          <w:numId w:val="0"/>
        </w:numP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5B827A75">
      <w:pPr>
        <w:autoSpaceDE w:val="0"/>
        <w:autoSpaceDN w:val="0"/>
        <w:adjustRightInd w:val="0"/>
        <w:spacing w:line="360" w:lineRule="auto"/>
        <w:jc w:val="left"/>
        <w:outlineLvl w:val="1"/>
        <w:rPr>
          <w:rFonts w:hint="eastAsia" w:ascii="宋体" w:hAnsi="宋体" w:eastAsia="宋体" w:cs="宋体"/>
          <w:b/>
          <w:color w:val="auto"/>
          <w:kern w:val="0"/>
          <w:sz w:val="30"/>
          <w:szCs w:val="30"/>
          <w:highlight w:val="none"/>
          <w:lang w:val="en-US" w:eastAsia="zh-CN"/>
        </w:rPr>
      </w:pPr>
      <w:bookmarkStart w:id="714" w:name="_Toc30545"/>
      <w:bookmarkStart w:id="715" w:name="_Toc18180"/>
      <w:bookmarkStart w:id="716" w:name="_Toc3750"/>
      <w:r>
        <w:rPr>
          <w:rFonts w:hint="eastAsia" w:ascii="宋体" w:hAnsi="宋体" w:eastAsia="宋体" w:cs="宋体"/>
          <w:b/>
          <w:color w:val="auto"/>
          <w:kern w:val="0"/>
          <w:sz w:val="30"/>
          <w:szCs w:val="30"/>
          <w:highlight w:val="none"/>
          <w:lang w:val="en-US" w:eastAsia="zh-CN"/>
        </w:rPr>
        <w:t>5、绿化管理方案（投标人自行编写，格式不限）</w:t>
      </w:r>
    </w:p>
    <w:p w14:paraId="0DBB98DA">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1D5AD9A2">
      <w:pPr>
        <w:pStyle w:val="45"/>
        <w:numPr>
          <w:ilvl w:val="0"/>
          <w:numId w:val="0"/>
        </w:numPr>
        <w:outlineLvl w:val="1"/>
        <w:rPr>
          <w:rFonts w:hint="eastAsia" w:ascii="宋体" w:hAnsi="宋体" w:eastAsia="宋体" w:cs="宋体"/>
          <w:b/>
          <w:bCs w:val="0"/>
          <w:color w:val="auto"/>
          <w:kern w:val="0"/>
          <w:sz w:val="30"/>
          <w:szCs w:val="30"/>
          <w:highlight w:val="none"/>
          <w:lang w:val="en-US" w:eastAsia="zh-CN"/>
        </w:rPr>
      </w:pPr>
      <w:r>
        <w:rPr>
          <w:rFonts w:hint="eastAsia" w:hAnsi="宋体" w:eastAsia="宋体" w:cs="宋体"/>
          <w:b/>
          <w:bCs w:val="0"/>
          <w:color w:val="auto"/>
          <w:kern w:val="0"/>
          <w:sz w:val="30"/>
          <w:szCs w:val="30"/>
          <w:highlight w:val="none"/>
          <w:lang w:val="en-US" w:eastAsia="zh-CN" w:bidi="ar-SA"/>
        </w:rPr>
        <w:t>6</w:t>
      </w:r>
      <w:r>
        <w:rPr>
          <w:rFonts w:hint="eastAsia" w:ascii="宋体" w:hAnsi="宋体" w:eastAsia="宋体" w:cs="宋体"/>
          <w:b/>
          <w:bCs w:val="0"/>
          <w:color w:val="auto"/>
          <w:kern w:val="0"/>
          <w:sz w:val="30"/>
          <w:szCs w:val="30"/>
          <w:highlight w:val="none"/>
          <w:lang w:val="en-US" w:eastAsia="zh-CN" w:bidi="ar-SA"/>
        </w:rPr>
        <w:t>、</w:t>
      </w:r>
      <w:r>
        <w:rPr>
          <w:rFonts w:hint="eastAsia" w:ascii="宋体" w:hAnsi="宋体" w:eastAsia="宋体" w:cs="宋体"/>
          <w:b/>
          <w:bCs w:val="0"/>
          <w:color w:val="auto"/>
          <w:kern w:val="0"/>
          <w:sz w:val="30"/>
          <w:szCs w:val="30"/>
          <w:highlight w:val="none"/>
          <w:lang w:val="en-US" w:eastAsia="zh-CN"/>
        </w:rPr>
        <w:t>除四害及白蚁防治管理方案（投标人自行编写，格式不限）</w:t>
      </w:r>
    </w:p>
    <w:p w14:paraId="11BC5AF7">
      <w:pPr>
        <w:pStyle w:val="45"/>
        <w:numPr>
          <w:ilvl w:val="0"/>
          <w:numId w:val="0"/>
        </w:numPr>
        <w:rPr>
          <w:rFonts w:hint="eastAsia" w:ascii="宋体" w:hAnsi="宋体" w:eastAsia="宋体" w:cs="宋体"/>
          <w:b/>
          <w:bCs w:val="0"/>
          <w:color w:val="auto"/>
          <w:kern w:val="0"/>
          <w:sz w:val="30"/>
          <w:szCs w:val="30"/>
          <w:highlight w:val="none"/>
          <w:lang w:val="en-US" w:eastAsia="zh-CN"/>
        </w:rPr>
      </w:pPr>
      <w:r>
        <w:rPr>
          <w:rFonts w:hint="eastAsia" w:ascii="宋体" w:hAnsi="宋体" w:eastAsia="宋体" w:cs="宋体"/>
          <w:b/>
          <w:bCs w:val="0"/>
          <w:color w:val="auto"/>
          <w:kern w:val="0"/>
          <w:sz w:val="30"/>
          <w:szCs w:val="30"/>
          <w:highlight w:val="none"/>
          <w:lang w:val="en-US" w:eastAsia="zh-CN"/>
        </w:rPr>
        <w:br w:type="page"/>
      </w:r>
    </w:p>
    <w:p w14:paraId="4734E0B4">
      <w:pPr>
        <w:pStyle w:val="45"/>
        <w:numPr>
          <w:ilvl w:val="-1"/>
          <w:numId w:val="0"/>
        </w:numPr>
        <w:spacing w:line="360" w:lineRule="auto"/>
        <w:ind w:left="0" w:right="420" w:firstLine="0" w:firstLineChars="0"/>
        <w:jc w:val="left"/>
        <w:outlineLvl w:val="1"/>
        <w:rPr>
          <w:rFonts w:hint="eastAsia" w:hAnsi="宋体" w:eastAsia="宋体" w:cs="宋体"/>
          <w:b/>
          <w:bCs w:val="0"/>
          <w:color w:val="auto"/>
          <w:kern w:val="0"/>
          <w:sz w:val="30"/>
          <w:szCs w:val="30"/>
          <w:highlight w:val="none"/>
          <w:lang w:val="en-US" w:eastAsia="zh-CN"/>
        </w:rPr>
      </w:pPr>
      <w:r>
        <w:rPr>
          <w:rFonts w:hint="eastAsia" w:hAnsi="宋体" w:eastAsia="宋体" w:cs="宋体"/>
          <w:b/>
          <w:bCs w:val="0"/>
          <w:color w:val="auto"/>
          <w:kern w:val="0"/>
          <w:sz w:val="30"/>
          <w:szCs w:val="30"/>
          <w:highlight w:val="none"/>
          <w:lang w:val="en-US" w:eastAsia="zh-CN"/>
        </w:rPr>
        <w:t>7、增值服务方案</w:t>
      </w:r>
    </w:p>
    <w:p w14:paraId="4F94BF8B">
      <w:pPr>
        <w:outlineLvl w:val="1"/>
        <w:rPr>
          <w:rFonts w:hint="default" w:ascii="宋体" w:hAnsi="宋体" w:eastAsia="宋体" w:cs="宋体"/>
          <w:b/>
          <w:color w:val="auto"/>
          <w:kern w:val="0"/>
          <w:sz w:val="30"/>
          <w:szCs w:val="30"/>
          <w:highlight w:val="none"/>
          <w:lang w:val="en-US" w:eastAsia="zh-CN"/>
        </w:rPr>
      </w:pPr>
      <w:r>
        <w:rPr>
          <w:rFonts w:hint="eastAsia" w:ascii="宋体" w:hAnsi="宋体" w:eastAsia="宋体" w:cs="宋体"/>
          <w:b/>
          <w:bCs w:val="0"/>
          <w:color w:val="auto"/>
          <w:kern w:val="0"/>
          <w:sz w:val="30"/>
          <w:szCs w:val="30"/>
          <w:highlight w:val="none"/>
          <w:lang w:val="en-US" w:eastAsia="zh-CN"/>
        </w:rPr>
        <w:t xml:space="preserve">7.1 </w:t>
      </w:r>
      <w:r>
        <w:rPr>
          <w:rFonts w:hint="eastAsia" w:ascii="宋体" w:hAnsi="宋体" w:eastAsia="宋体" w:cs="宋体"/>
          <w:b/>
          <w:color w:val="auto"/>
          <w:kern w:val="0"/>
          <w:sz w:val="30"/>
          <w:szCs w:val="30"/>
          <w:highlight w:val="none"/>
          <w:lang w:val="en-US" w:eastAsia="zh-CN"/>
        </w:rPr>
        <w:t>增值服务承诺书(投标人根据自身服务内容自行承诺)</w:t>
      </w:r>
    </w:p>
    <w:p w14:paraId="59E4EAD3">
      <w:pPr>
        <w:outlineLvl w:val="9"/>
        <w:rPr>
          <w:rFonts w:hint="eastAsia" w:ascii="宋体" w:hAnsi="宋体" w:eastAsia="宋体" w:cs="宋体"/>
          <w:b/>
          <w:color w:val="auto"/>
          <w:kern w:val="0"/>
          <w:sz w:val="30"/>
          <w:szCs w:val="30"/>
          <w:highlight w:val="none"/>
          <w:lang w:val="en-US" w:eastAsia="zh-CN"/>
        </w:rPr>
      </w:pPr>
    </w:p>
    <w:p w14:paraId="2B7C57B3">
      <w:pPr>
        <w:jc w:val="center"/>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t>增值服务承诺书</w:t>
      </w:r>
    </w:p>
    <w:p w14:paraId="47549BE0">
      <w:pPr>
        <w:outlineLvl w:val="9"/>
        <w:rPr>
          <w:rFonts w:hint="eastAsia" w:ascii="宋体" w:hAnsi="宋体" w:eastAsia="宋体" w:cs="宋体"/>
          <w:b/>
          <w:color w:val="auto"/>
          <w:kern w:val="0"/>
          <w:sz w:val="30"/>
          <w:szCs w:val="30"/>
          <w:highlight w:val="none"/>
          <w:lang w:val="en-US" w:eastAsia="zh-CN"/>
        </w:rPr>
      </w:pPr>
    </w:p>
    <w:tbl>
      <w:tblPr>
        <w:tblStyle w:val="38"/>
        <w:tblW w:w="815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6"/>
        <w:gridCol w:w="1455"/>
        <w:gridCol w:w="1275"/>
        <w:gridCol w:w="3123"/>
        <w:gridCol w:w="1520"/>
      </w:tblGrid>
      <w:tr w14:paraId="018BB8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2" w:hRule="exact"/>
          <w:jc w:val="center"/>
        </w:trPr>
        <w:tc>
          <w:tcPr>
            <w:tcW w:w="786" w:type="dxa"/>
            <w:vAlign w:val="center"/>
          </w:tcPr>
          <w:p w14:paraId="24804473">
            <w:pPr>
              <w:jc w:val="center"/>
              <w:outlineLvl w:val="9"/>
              <w:rPr>
                <w:rFonts w:hint="default"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序号</w:t>
            </w:r>
          </w:p>
        </w:tc>
        <w:tc>
          <w:tcPr>
            <w:tcW w:w="1455" w:type="dxa"/>
            <w:vAlign w:val="center"/>
          </w:tcPr>
          <w:p w14:paraId="729BC46A">
            <w:pPr>
              <w:jc w:val="center"/>
              <w:outlineLvl w:val="9"/>
              <w:rPr>
                <w:rFonts w:hint="default"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可提供增值服务的项目</w:t>
            </w:r>
          </w:p>
        </w:tc>
        <w:tc>
          <w:tcPr>
            <w:tcW w:w="1275" w:type="dxa"/>
            <w:vAlign w:val="center"/>
          </w:tcPr>
          <w:p w14:paraId="751796F2">
            <w:pPr>
              <w:jc w:val="center"/>
              <w:outlineLvl w:val="9"/>
              <w:rPr>
                <w:rFonts w:hint="default"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是否提供相关增值服务</w:t>
            </w:r>
          </w:p>
        </w:tc>
        <w:tc>
          <w:tcPr>
            <w:tcW w:w="3123" w:type="dxa"/>
            <w:vAlign w:val="center"/>
          </w:tcPr>
          <w:p w14:paraId="24C2489A">
            <w:pPr>
              <w:jc w:val="center"/>
              <w:outlineLvl w:val="9"/>
              <w:rPr>
                <w:rFonts w:hint="default"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可提供的增值服务内容</w:t>
            </w:r>
          </w:p>
        </w:tc>
        <w:tc>
          <w:tcPr>
            <w:tcW w:w="1520" w:type="dxa"/>
            <w:vAlign w:val="center"/>
          </w:tcPr>
          <w:p w14:paraId="0DC5BFFE">
            <w:pPr>
              <w:jc w:val="center"/>
              <w:outlineLvl w:val="9"/>
              <w:rPr>
                <w:rFonts w:hint="default"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投标文件页码</w:t>
            </w:r>
          </w:p>
        </w:tc>
      </w:tr>
      <w:tr w14:paraId="4C53F8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vAlign w:val="center"/>
          </w:tcPr>
          <w:p w14:paraId="0873A261">
            <w:pPr>
              <w:jc w:val="center"/>
              <w:outlineLvl w:val="9"/>
              <w:rPr>
                <w:rFonts w:hint="default"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1</w:t>
            </w:r>
          </w:p>
        </w:tc>
        <w:tc>
          <w:tcPr>
            <w:tcW w:w="1455" w:type="dxa"/>
            <w:vAlign w:val="center"/>
          </w:tcPr>
          <w:p w14:paraId="2B1C88BD">
            <w:pPr>
              <w:jc w:val="both"/>
              <w:outlineLvl w:val="9"/>
              <w:rPr>
                <w:rFonts w:hint="default" w:ascii="宋体" w:hAnsi="宋体" w:eastAsia="宋体" w:cs="宋体"/>
                <w:b/>
                <w:color w:val="auto"/>
                <w:kern w:val="0"/>
                <w:sz w:val="21"/>
                <w:szCs w:val="21"/>
                <w:highlight w:val="none"/>
                <w:vertAlign w:val="baseline"/>
                <w:lang w:val="en-US" w:eastAsia="zh-CN"/>
              </w:rPr>
            </w:pPr>
            <w:r>
              <w:rPr>
                <w:rFonts w:hint="default" w:ascii="宋体" w:hAnsi="宋体" w:eastAsia="宋体" w:cs="宋体"/>
                <w:b/>
                <w:color w:val="auto"/>
                <w:kern w:val="0"/>
                <w:sz w:val="21"/>
                <w:szCs w:val="21"/>
                <w:highlight w:val="none"/>
                <w:vertAlign w:val="baseline"/>
                <w:lang w:val="en-US" w:eastAsia="zh-CN"/>
              </w:rPr>
              <w:t>池壁清洁</w:t>
            </w:r>
          </w:p>
        </w:tc>
        <w:tc>
          <w:tcPr>
            <w:tcW w:w="1275" w:type="dxa"/>
            <w:vAlign w:val="center"/>
          </w:tcPr>
          <w:p w14:paraId="2401D6E1">
            <w:pPr>
              <w:jc w:val="both"/>
              <w:outlineLvl w:val="9"/>
              <w:rPr>
                <w:rFonts w:hint="eastAsia" w:ascii="宋体" w:hAnsi="宋体" w:eastAsia="宋体" w:cs="宋体"/>
                <w:b/>
                <w:color w:val="auto"/>
                <w:kern w:val="0"/>
                <w:sz w:val="21"/>
                <w:szCs w:val="21"/>
                <w:highlight w:val="none"/>
                <w:vertAlign w:val="baseline"/>
                <w:lang w:val="en-US" w:eastAsia="zh-CN"/>
              </w:rPr>
            </w:pPr>
          </w:p>
        </w:tc>
        <w:tc>
          <w:tcPr>
            <w:tcW w:w="3123" w:type="dxa"/>
            <w:vAlign w:val="center"/>
          </w:tcPr>
          <w:p w14:paraId="00B34EC3">
            <w:pPr>
              <w:jc w:val="both"/>
              <w:outlineLvl w:val="9"/>
              <w:rPr>
                <w:rFonts w:hint="eastAsia" w:ascii="宋体" w:hAnsi="宋体" w:eastAsia="宋体" w:cs="宋体"/>
                <w:b/>
                <w:color w:val="auto"/>
                <w:kern w:val="0"/>
                <w:sz w:val="21"/>
                <w:szCs w:val="21"/>
                <w:highlight w:val="none"/>
                <w:vertAlign w:val="baseline"/>
                <w:lang w:val="en-US" w:eastAsia="zh-CN"/>
              </w:rPr>
            </w:pPr>
          </w:p>
        </w:tc>
        <w:tc>
          <w:tcPr>
            <w:tcW w:w="1520" w:type="dxa"/>
            <w:vAlign w:val="center"/>
          </w:tcPr>
          <w:p w14:paraId="1C405498">
            <w:pPr>
              <w:jc w:val="both"/>
              <w:outlineLvl w:val="9"/>
              <w:rPr>
                <w:rFonts w:hint="eastAsia" w:ascii="宋体" w:hAnsi="宋体" w:eastAsia="宋体" w:cs="宋体"/>
                <w:b/>
                <w:color w:val="auto"/>
                <w:kern w:val="0"/>
                <w:sz w:val="21"/>
                <w:szCs w:val="21"/>
                <w:highlight w:val="none"/>
                <w:vertAlign w:val="baseline"/>
                <w:lang w:val="en-US" w:eastAsia="zh-CN"/>
              </w:rPr>
            </w:pPr>
          </w:p>
        </w:tc>
      </w:tr>
      <w:tr w14:paraId="425DD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vAlign w:val="center"/>
          </w:tcPr>
          <w:p w14:paraId="62D20F81">
            <w:pPr>
              <w:jc w:val="center"/>
              <w:outlineLvl w:val="9"/>
              <w:rPr>
                <w:rFonts w:hint="default"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2</w:t>
            </w:r>
          </w:p>
        </w:tc>
        <w:tc>
          <w:tcPr>
            <w:tcW w:w="1455" w:type="dxa"/>
            <w:vAlign w:val="center"/>
          </w:tcPr>
          <w:p w14:paraId="5BDC4701">
            <w:pPr>
              <w:jc w:val="both"/>
              <w:outlineLvl w:val="9"/>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生产车间保洁</w:t>
            </w:r>
          </w:p>
        </w:tc>
        <w:tc>
          <w:tcPr>
            <w:tcW w:w="1275" w:type="dxa"/>
            <w:vAlign w:val="center"/>
          </w:tcPr>
          <w:p w14:paraId="143B63CA">
            <w:pPr>
              <w:jc w:val="both"/>
              <w:outlineLvl w:val="9"/>
              <w:rPr>
                <w:rFonts w:hint="eastAsia" w:ascii="宋体" w:hAnsi="宋体" w:eastAsia="宋体" w:cs="宋体"/>
                <w:b/>
                <w:color w:val="auto"/>
                <w:kern w:val="0"/>
                <w:sz w:val="21"/>
                <w:szCs w:val="21"/>
                <w:highlight w:val="none"/>
                <w:vertAlign w:val="baseline"/>
                <w:lang w:val="en-US" w:eastAsia="zh-CN"/>
              </w:rPr>
            </w:pPr>
          </w:p>
        </w:tc>
        <w:tc>
          <w:tcPr>
            <w:tcW w:w="3123" w:type="dxa"/>
            <w:vAlign w:val="center"/>
          </w:tcPr>
          <w:p w14:paraId="418FF083">
            <w:pPr>
              <w:jc w:val="both"/>
              <w:outlineLvl w:val="9"/>
              <w:rPr>
                <w:rFonts w:hint="eastAsia" w:ascii="宋体" w:hAnsi="宋体" w:eastAsia="宋体" w:cs="宋体"/>
                <w:b/>
                <w:color w:val="auto"/>
                <w:kern w:val="0"/>
                <w:sz w:val="21"/>
                <w:szCs w:val="21"/>
                <w:highlight w:val="none"/>
                <w:vertAlign w:val="baseline"/>
                <w:lang w:val="en-US" w:eastAsia="zh-CN"/>
              </w:rPr>
            </w:pPr>
          </w:p>
        </w:tc>
        <w:tc>
          <w:tcPr>
            <w:tcW w:w="1520" w:type="dxa"/>
            <w:vAlign w:val="center"/>
          </w:tcPr>
          <w:p w14:paraId="18160EF5">
            <w:pPr>
              <w:jc w:val="both"/>
              <w:outlineLvl w:val="9"/>
              <w:rPr>
                <w:rFonts w:hint="eastAsia" w:ascii="宋体" w:hAnsi="宋体" w:eastAsia="宋体" w:cs="宋体"/>
                <w:b/>
                <w:color w:val="auto"/>
                <w:kern w:val="0"/>
                <w:sz w:val="21"/>
                <w:szCs w:val="21"/>
                <w:highlight w:val="none"/>
                <w:vertAlign w:val="baseline"/>
                <w:lang w:val="en-US" w:eastAsia="zh-CN"/>
              </w:rPr>
            </w:pPr>
          </w:p>
        </w:tc>
      </w:tr>
      <w:tr w14:paraId="000270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vAlign w:val="center"/>
          </w:tcPr>
          <w:p w14:paraId="050F138D">
            <w:pPr>
              <w:jc w:val="center"/>
              <w:outlineLvl w:val="9"/>
              <w:rPr>
                <w:rFonts w:hint="default"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3</w:t>
            </w:r>
          </w:p>
        </w:tc>
        <w:tc>
          <w:tcPr>
            <w:tcW w:w="1455" w:type="dxa"/>
            <w:vAlign w:val="center"/>
          </w:tcPr>
          <w:p w14:paraId="7C769078">
            <w:pPr>
              <w:jc w:val="both"/>
              <w:outlineLvl w:val="9"/>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除“四害”</w:t>
            </w:r>
          </w:p>
        </w:tc>
        <w:tc>
          <w:tcPr>
            <w:tcW w:w="1275" w:type="dxa"/>
            <w:vAlign w:val="center"/>
          </w:tcPr>
          <w:p w14:paraId="70947264">
            <w:pPr>
              <w:jc w:val="both"/>
              <w:outlineLvl w:val="9"/>
              <w:rPr>
                <w:rFonts w:hint="eastAsia" w:ascii="宋体" w:hAnsi="宋体" w:eastAsia="宋体" w:cs="宋体"/>
                <w:b/>
                <w:color w:val="auto"/>
                <w:kern w:val="0"/>
                <w:sz w:val="21"/>
                <w:szCs w:val="21"/>
                <w:highlight w:val="none"/>
                <w:vertAlign w:val="baseline"/>
                <w:lang w:val="en-US" w:eastAsia="zh-CN"/>
              </w:rPr>
            </w:pPr>
          </w:p>
        </w:tc>
        <w:tc>
          <w:tcPr>
            <w:tcW w:w="3123" w:type="dxa"/>
            <w:vAlign w:val="center"/>
          </w:tcPr>
          <w:p w14:paraId="36267A27">
            <w:pPr>
              <w:jc w:val="both"/>
              <w:outlineLvl w:val="9"/>
              <w:rPr>
                <w:rFonts w:hint="eastAsia" w:ascii="宋体" w:hAnsi="宋体" w:eastAsia="宋体" w:cs="宋体"/>
                <w:b/>
                <w:color w:val="auto"/>
                <w:kern w:val="0"/>
                <w:sz w:val="21"/>
                <w:szCs w:val="21"/>
                <w:highlight w:val="none"/>
                <w:vertAlign w:val="baseline"/>
                <w:lang w:val="en-US" w:eastAsia="zh-CN"/>
              </w:rPr>
            </w:pPr>
          </w:p>
        </w:tc>
        <w:tc>
          <w:tcPr>
            <w:tcW w:w="1520" w:type="dxa"/>
            <w:vAlign w:val="center"/>
          </w:tcPr>
          <w:p w14:paraId="02E79C1F">
            <w:pPr>
              <w:jc w:val="both"/>
              <w:outlineLvl w:val="9"/>
              <w:rPr>
                <w:rFonts w:hint="eastAsia" w:ascii="宋体" w:hAnsi="宋体" w:eastAsia="宋体" w:cs="宋体"/>
                <w:b/>
                <w:color w:val="auto"/>
                <w:kern w:val="0"/>
                <w:sz w:val="21"/>
                <w:szCs w:val="21"/>
                <w:highlight w:val="none"/>
                <w:vertAlign w:val="baseline"/>
                <w:lang w:val="en-US" w:eastAsia="zh-CN"/>
              </w:rPr>
            </w:pPr>
          </w:p>
        </w:tc>
      </w:tr>
      <w:tr w14:paraId="47F40C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vAlign w:val="center"/>
          </w:tcPr>
          <w:p w14:paraId="421A67CF">
            <w:pPr>
              <w:jc w:val="center"/>
              <w:outlineLvl w:val="9"/>
              <w:rPr>
                <w:rFonts w:hint="default"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4</w:t>
            </w:r>
          </w:p>
        </w:tc>
        <w:tc>
          <w:tcPr>
            <w:tcW w:w="1455" w:type="dxa"/>
            <w:vAlign w:val="center"/>
          </w:tcPr>
          <w:p w14:paraId="4B27C83A">
            <w:pPr>
              <w:jc w:val="both"/>
              <w:outlineLvl w:val="9"/>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防疫服务</w:t>
            </w:r>
          </w:p>
        </w:tc>
        <w:tc>
          <w:tcPr>
            <w:tcW w:w="1275" w:type="dxa"/>
            <w:vAlign w:val="center"/>
          </w:tcPr>
          <w:p w14:paraId="71ADA806">
            <w:pPr>
              <w:jc w:val="both"/>
              <w:outlineLvl w:val="9"/>
              <w:rPr>
                <w:rFonts w:hint="eastAsia" w:ascii="宋体" w:hAnsi="宋体" w:eastAsia="宋体" w:cs="宋体"/>
                <w:b/>
                <w:color w:val="auto"/>
                <w:kern w:val="0"/>
                <w:sz w:val="21"/>
                <w:szCs w:val="21"/>
                <w:highlight w:val="none"/>
                <w:vertAlign w:val="baseline"/>
                <w:lang w:val="en-US" w:eastAsia="zh-CN"/>
              </w:rPr>
            </w:pPr>
          </w:p>
        </w:tc>
        <w:tc>
          <w:tcPr>
            <w:tcW w:w="3123" w:type="dxa"/>
            <w:vAlign w:val="center"/>
          </w:tcPr>
          <w:p w14:paraId="124F417E">
            <w:pPr>
              <w:jc w:val="both"/>
              <w:outlineLvl w:val="9"/>
              <w:rPr>
                <w:rFonts w:hint="eastAsia" w:ascii="宋体" w:hAnsi="宋体" w:eastAsia="宋体" w:cs="宋体"/>
                <w:b/>
                <w:color w:val="auto"/>
                <w:kern w:val="0"/>
                <w:sz w:val="21"/>
                <w:szCs w:val="21"/>
                <w:highlight w:val="none"/>
                <w:vertAlign w:val="baseline"/>
                <w:lang w:val="en-US" w:eastAsia="zh-CN"/>
              </w:rPr>
            </w:pPr>
          </w:p>
        </w:tc>
        <w:tc>
          <w:tcPr>
            <w:tcW w:w="1520" w:type="dxa"/>
            <w:vAlign w:val="center"/>
          </w:tcPr>
          <w:p w14:paraId="7783C55E">
            <w:pPr>
              <w:jc w:val="both"/>
              <w:outlineLvl w:val="9"/>
              <w:rPr>
                <w:rFonts w:hint="eastAsia" w:ascii="宋体" w:hAnsi="宋体" w:eastAsia="宋体" w:cs="宋体"/>
                <w:b/>
                <w:color w:val="auto"/>
                <w:kern w:val="0"/>
                <w:sz w:val="21"/>
                <w:szCs w:val="21"/>
                <w:highlight w:val="none"/>
                <w:vertAlign w:val="baseline"/>
                <w:lang w:val="en-US" w:eastAsia="zh-CN"/>
              </w:rPr>
            </w:pPr>
          </w:p>
        </w:tc>
      </w:tr>
      <w:tr w14:paraId="13E92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786" w:type="dxa"/>
            <w:vAlign w:val="center"/>
          </w:tcPr>
          <w:p w14:paraId="73779770">
            <w:pPr>
              <w:jc w:val="center"/>
              <w:outlineLvl w:val="9"/>
              <w:rPr>
                <w:rFonts w:hint="default"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5</w:t>
            </w:r>
          </w:p>
        </w:tc>
        <w:tc>
          <w:tcPr>
            <w:tcW w:w="1455" w:type="dxa"/>
            <w:vAlign w:val="center"/>
          </w:tcPr>
          <w:p w14:paraId="6410A991">
            <w:pPr>
              <w:jc w:val="both"/>
              <w:outlineLvl w:val="9"/>
              <w:rPr>
                <w:rFonts w:hint="eastAsia" w:ascii="宋体" w:hAnsi="宋体" w:eastAsia="宋体" w:cs="宋体"/>
                <w:b/>
                <w:color w:val="auto"/>
                <w:kern w:val="0"/>
                <w:sz w:val="21"/>
                <w:szCs w:val="21"/>
                <w:highlight w:val="none"/>
                <w:vertAlign w:val="baseline"/>
                <w:lang w:val="en-US" w:eastAsia="zh-CN"/>
              </w:rPr>
            </w:pPr>
            <w:r>
              <w:rPr>
                <w:rFonts w:hint="eastAsia" w:ascii="宋体" w:hAnsi="宋体" w:eastAsia="宋体" w:cs="宋体"/>
                <w:b/>
                <w:color w:val="auto"/>
                <w:kern w:val="0"/>
                <w:sz w:val="21"/>
                <w:szCs w:val="21"/>
                <w:highlight w:val="none"/>
                <w:vertAlign w:val="baseline"/>
                <w:lang w:val="en-US" w:eastAsia="zh-CN"/>
              </w:rPr>
              <w:t>其他（若有）</w:t>
            </w:r>
          </w:p>
        </w:tc>
        <w:tc>
          <w:tcPr>
            <w:tcW w:w="1275" w:type="dxa"/>
            <w:vAlign w:val="center"/>
          </w:tcPr>
          <w:p w14:paraId="433B7449">
            <w:pPr>
              <w:jc w:val="both"/>
              <w:outlineLvl w:val="9"/>
              <w:rPr>
                <w:rFonts w:hint="eastAsia" w:ascii="宋体" w:hAnsi="宋体" w:eastAsia="宋体" w:cs="宋体"/>
                <w:b/>
                <w:color w:val="auto"/>
                <w:kern w:val="0"/>
                <w:sz w:val="21"/>
                <w:szCs w:val="21"/>
                <w:highlight w:val="none"/>
                <w:vertAlign w:val="baseline"/>
                <w:lang w:val="en-US" w:eastAsia="zh-CN"/>
              </w:rPr>
            </w:pPr>
          </w:p>
        </w:tc>
        <w:tc>
          <w:tcPr>
            <w:tcW w:w="3123" w:type="dxa"/>
            <w:vAlign w:val="center"/>
          </w:tcPr>
          <w:p w14:paraId="227EE78A">
            <w:pPr>
              <w:jc w:val="both"/>
              <w:outlineLvl w:val="9"/>
              <w:rPr>
                <w:rFonts w:hint="eastAsia" w:ascii="宋体" w:hAnsi="宋体" w:eastAsia="宋体" w:cs="宋体"/>
                <w:b/>
                <w:color w:val="auto"/>
                <w:kern w:val="0"/>
                <w:sz w:val="21"/>
                <w:szCs w:val="21"/>
                <w:highlight w:val="none"/>
                <w:vertAlign w:val="baseline"/>
                <w:lang w:val="en-US" w:eastAsia="zh-CN"/>
              </w:rPr>
            </w:pPr>
          </w:p>
        </w:tc>
        <w:tc>
          <w:tcPr>
            <w:tcW w:w="1520" w:type="dxa"/>
            <w:vAlign w:val="center"/>
          </w:tcPr>
          <w:p w14:paraId="7637969C">
            <w:pPr>
              <w:jc w:val="both"/>
              <w:outlineLvl w:val="9"/>
              <w:rPr>
                <w:rFonts w:hint="eastAsia" w:ascii="宋体" w:hAnsi="宋体" w:eastAsia="宋体" w:cs="宋体"/>
                <w:b/>
                <w:color w:val="auto"/>
                <w:kern w:val="0"/>
                <w:sz w:val="21"/>
                <w:szCs w:val="21"/>
                <w:highlight w:val="none"/>
                <w:vertAlign w:val="baseline"/>
                <w:lang w:val="en-US" w:eastAsia="zh-CN"/>
              </w:rPr>
            </w:pPr>
          </w:p>
        </w:tc>
      </w:tr>
    </w:tbl>
    <w:p w14:paraId="5B1D9989">
      <w:pPr>
        <w:outlineLvl w:val="9"/>
        <w:rPr>
          <w:rFonts w:hint="eastAsia" w:ascii="宋体" w:hAnsi="宋体" w:eastAsia="宋体" w:cs="宋体"/>
          <w:b/>
          <w:color w:val="auto"/>
          <w:kern w:val="0"/>
          <w:sz w:val="30"/>
          <w:szCs w:val="30"/>
          <w:highlight w:val="none"/>
          <w:lang w:val="en-US" w:eastAsia="zh-CN"/>
        </w:rPr>
      </w:pPr>
    </w:p>
    <w:p w14:paraId="5CFE85D1">
      <w:pPr>
        <w:snapToGrid w:val="0"/>
        <w:spacing w:line="360" w:lineRule="auto"/>
        <w:ind w:left="0" w:leftChars="0" w:firstLine="843" w:firstLineChars="400"/>
        <w:outlineLvl w:val="9"/>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备注:</w:t>
      </w:r>
    </w:p>
    <w:p w14:paraId="788C5489">
      <w:pPr>
        <w:numPr>
          <w:ilvl w:val="0"/>
          <w:numId w:val="0"/>
        </w:numPr>
        <w:snapToGrid w:val="0"/>
        <w:spacing w:line="360" w:lineRule="auto"/>
        <w:ind w:left="0" w:leftChars="0" w:firstLine="843" w:firstLineChars="400"/>
        <w:outlineLvl w:val="9"/>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bidi="ar-SA"/>
        </w:rPr>
        <w:t>1.</w:t>
      </w:r>
      <w:r>
        <w:rPr>
          <w:rFonts w:hint="eastAsia" w:ascii="宋体" w:hAnsi="宋体" w:eastAsia="宋体" w:cs="宋体"/>
          <w:b/>
          <w:color w:val="auto"/>
          <w:kern w:val="2"/>
          <w:sz w:val="21"/>
          <w:szCs w:val="21"/>
          <w:highlight w:val="none"/>
          <w:lang w:val="en-US" w:eastAsia="zh-CN"/>
        </w:rPr>
        <w:t>本承诺书作为《增值服务方案》评分依据；</w:t>
      </w:r>
    </w:p>
    <w:p w14:paraId="3509DC90">
      <w:pPr>
        <w:numPr>
          <w:ilvl w:val="-1"/>
          <w:numId w:val="0"/>
        </w:numPr>
        <w:snapToGrid w:val="0"/>
        <w:spacing w:line="360" w:lineRule="auto"/>
        <w:ind w:left="840" w:leftChars="400" w:firstLine="0" w:firstLineChars="0"/>
        <w:outlineLvl w:val="9"/>
        <w:rPr>
          <w:rFonts w:hint="eastAsia" w:ascii="宋体" w:hAnsi="宋体" w:eastAsia="宋体" w:cs="宋体"/>
          <w:b/>
          <w:color w:val="auto"/>
          <w:kern w:val="2"/>
          <w:sz w:val="21"/>
          <w:szCs w:val="21"/>
          <w:highlight w:val="none"/>
          <w:lang w:val="en-US" w:eastAsia="zh-CN"/>
        </w:rPr>
      </w:pPr>
      <w:r>
        <w:rPr>
          <w:rFonts w:hint="eastAsia" w:ascii="宋体" w:hAnsi="宋体" w:eastAsia="宋体" w:cs="宋体"/>
          <w:b/>
          <w:color w:val="auto"/>
          <w:kern w:val="2"/>
          <w:sz w:val="21"/>
          <w:szCs w:val="21"/>
          <w:highlight w:val="none"/>
          <w:lang w:val="en-US" w:eastAsia="zh-CN"/>
        </w:rPr>
        <w:t>2.投标人可自行选择内容进行承诺，投标人中标后按本承诺书事项作为验收要求。</w:t>
      </w:r>
    </w:p>
    <w:p w14:paraId="27BA1320">
      <w:pPr>
        <w:outlineLvl w:val="9"/>
        <w:rPr>
          <w:rFonts w:hint="eastAsia" w:ascii="宋体" w:hAnsi="宋体" w:eastAsia="宋体" w:cs="宋体"/>
          <w:b/>
          <w:color w:val="auto"/>
          <w:kern w:val="0"/>
          <w:sz w:val="30"/>
          <w:szCs w:val="30"/>
          <w:highlight w:val="none"/>
          <w:lang w:val="en-US" w:eastAsia="zh-CN"/>
        </w:rPr>
      </w:pPr>
    </w:p>
    <w:p w14:paraId="0D543778">
      <w:pPr>
        <w:rPr>
          <w:rFonts w:hint="eastAsia"/>
          <w:highlight w:val="none"/>
          <w:lang w:val="en-US" w:eastAsia="zh-CN"/>
        </w:rPr>
      </w:pPr>
    </w:p>
    <w:p w14:paraId="3FB7F132">
      <w:pPr>
        <w:outlineLvl w:val="9"/>
        <w:rPr>
          <w:rFonts w:hint="eastAsia" w:ascii="宋体" w:hAnsi="宋体" w:eastAsia="宋体" w:cs="宋体"/>
          <w:b/>
          <w:color w:val="auto"/>
          <w:kern w:val="0"/>
          <w:sz w:val="30"/>
          <w:szCs w:val="30"/>
          <w:highlight w:val="none"/>
          <w:lang w:val="en-US" w:eastAsia="zh-CN"/>
        </w:rPr>
      </w:pPr>
    </w:p>
    <w:p w14:paraId="60079FA0">
      <w:pPr>
        <w:rPr>
          <w:rFonts w:hint="eastAsia" w:ascii="宋体" w:hAnsi="宋体" w:eastAsia="宋体" w:cs="宋体"/>
          <w:b/>
          <w:color w:val="auto"/>
          <w:kern w:val="0"/>
          <w:sz w:val="30"/>
          <w:szCs w:val="30"/>
          <w:highlight w:val="none"/>
          <w:lang w:val="en-US" w:eastAsia="zh-CN"/>
        </w:rPr>
      </w:pPr>
    </w:p>
    <w:p w14:paraId="7753C3E8">
      <w:pPr>
        <w:outlineLvl w:val="9"/>
        <w:rPr>
          <w:rFonts w:hint="eastAsia"/>
          <w:highlight w:val="none"/>
          <w:lang w:val="en-US" w:eastAsia="zh-CN"/>
        </w:rPr>
      </w:pPr>
    </w:p>
    <w:p w14:paraId="0F56A853">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1C0863FA">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160861F6">
      <w:pPr>
        <w:pStyle w:val="45"/>
        <w:numPr>
          <w:ilvl w:val="-1"/>
          <w:numId w:val="0"/>
        </w:numPr>
        <w:spacing w:line="360" w:lineRule="auto"/>
        <w:ind w:left="0" w:right="420" w:firstLine="0" w:firstLineChars="0"/>
        <w:jc w:val="left"/>
        <w:outlineLvl w:val="9"/>
        <w:rPr>
          <w:rFonts w:hint="default" w:hAnsi="宋体" w:eastAsia="宋体" w:cs="宋体"/>
          <w:b/>
          <w:bCs w:val="0"/>
          <w:color w:val="auto"/>
          <w:kern w:val="0"/>
          <w:sz w:val="30"/>
          <w:szCs w:val="30"/>
          <w:highlight w:val="none"/>
          <w:lang w:val="en-US" w:eastAsia="zh-CN"/>
        </w:rPr>
      </w:pPr>
    </w:p>
    <w:p w14:paraId="694EA7DA">
      <w:pPr>
        <w:pStyle w:val="45"/>
        <w:numPr>
          <w:ilvl w:val="-1"/>
          <w:numId w:val="0"/>
        </w:numPr>
        <w:spacing w:line="360" w:lineRule="auto"/>
        <w:ind w:left="0" w:right="420" w:firstLine="0" w:firstLineChars="0"/>
        <w:jc w:val="center"/>
        <w:outlineLvl w:val="9"/>
        <w:rPr>
          <w:rFonts w:hint="default" w:hAnsi="宋体" w:eastAsia="宋体" w:cs="宋体"/>
          <w:b/>
          <w:bCs w:val="0"/>
          <w:color w:val="auto"/>
          <w:kern w:val="0"/>
          <w:sz w:val="30"/>
          <w:szCs w:val="30"/>
          <w:highlight w:val="none"/>
          <w:lang w:val="en-US" w:eastAsia="zh-CN"/>
        </w:rPr>
      </w:pPr>
      <w:r>
        <w:rPr>
          <w:rFonts w:hint="eastAsia" w:ascii="宋体" w:hAnsi="宋体" w:eastAsia="宋体" w:cs="宋体"/>
          <w:b/>
          <w:bCs/>
          <w:color w:val="auto"/>
          <w:szCs w:val="24"/>
          <w:highlight w:val="none"/>
          <w:lang w:val="zh-CN"/>
        </w:rPr>
        <w:t>说明：由投标人使用投标人的企业数字证书电子签名。</w:t>
      </w:r>
    </w:p>
    <w:p w14:paraId="32C2CDF4">
      <w:pPr>
        <w:pStyle w:val="45"/>
        <w:numPr>
          <w:ilvl w:val="-1"/>
          <w:numId w:val="0"/>
        </w:numPr>
        <w:spacing w:line="360" w:lineRule="auto"/>
        <w:ind w:left="0" w:right="420" w:firstLine="0" w:firstLineChars="0"/>
        <w:jc w:val="left"/>
        <w:outlineLvl w:val="9"/>
        <w:rPr>
          <w:rFonts w:hint="default" w:hAnsi="宋体" w:eastAsia="宋体" w:cs="宋体"/>
          <w:b/>
          <w:bCs w:val="0"/>
          <w:color w:val="auto"/>
          <w:kern w:val="0"/>
          <w:sz w:val="30"/>
          <w:szCs w:val="30"/>
          <w:highlight w:val="none"/>
          <w:lang w:val="en-US" w:eastAsia="zh-CN"/>
        </w:rPr>
      </w:pPr>
    </w:p>
    <w:p w14:paraId="7C507B83">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605FA0D">
      <w:pPr>
        <w:tabs>
          <w:tab w:val="left" w:pos="567"/>
        </w:tabs>
        <w:autoSpaceDE w:val="0"/>
        <w:autoSpaceDN w:val="0"/>
        <w:adjustRightInd w:val="0"/>
        <w:spacing w:line="360" w:lineRule="auto"/>
        <w:jc w:val="left"/>
        <w:outlineLvl w:val="1"/>
        <w:rPr>
          <w:rFonts w:hint="eastAsia" w:ascii="宋体" w:hAnsi="宋体" w:eastAsia="宋体" w:cs="宋体"/>
          <w:b/>
          <w:bCs w:val="0"/>
          <w:color w:val="auto"/>
          <w:kern w:val="0"/>
          <w:sz w:val="30"/>
          <w:szCs w:val="30"/>
          <w:highlight w:val="none"/>
          <w:u w:val="none"/>
          <w:lang w:val="en-US" w:eastAsia="zh-CN"/>
        </w:rPr>
      </w:pPr>
      <w:r>
        <w:rPr>
          <w:rFonts w:hint="eastAsia" w:ascii="宋体" w:hAnsi="宋体" w:eastAsia="宋体" w:cs="宋体"/>
          <w:b/>
          <w:bCs w:val="0"/>
          <w:color w:val="auto"/>
          <w:kern w:val="0"/>
          <w:sz w:val="30"/>
          <w:szCs w:val="30"/>
          <w:highlight w:val="none"/>
          <w:u w:val="none"/>
          <w:lang w:val="en-US" w:eastAsia="zh-CN"/>
        </w:rPr>
        <w:t>7.2 增值服务方案（投标人自行编写，格式不限）</w:t>
      </w:r>
    </w:p>
    <w:p w14:paraId="0E6C74A3">
      <w:pPr>
        <w:autoSpaceDE/>
        <w:autoSpaceDN/>
        <w:adjustRightInd/>
        <w:spacing w:line="240" w:lineRule="auto"/>
        <w:jc w:val="left"/>
        <w:outlineLvl w:val="9"/>
        <w:rPr>
          <w:rFonts w:hint="eastAsia" w:ascii="宋体" w:hAnsi="宋体" w:eastAsia="宋体" w:cs="宋体"/>
          <w:b/>
          <w:bCs w:val="0"/>
          <w:color w:val="auto"/>
          <w:kern w:val="0"/>
          <w:sz w:val="30"/>
          <w:szCs w:val="30"/>
          <w:highlight w:val="none"/>
          <w:u w:val="none"/>
          <w:lang w:val="en-US" w:eastAsia="zh-CN"/>
        </w:rPr>
      </w:pPr>
      <w:r>
        <w:rPr>
          <w:rFonts w:hint="eastAsia" w:ascii="宋体" w:hAnsi="宋体" w:eastAsia="宋体" w:cs="宋体"/>
          <w:b/>
          <w:bCs w:val="0"/>
          <w:color w:val="auto"/>
          <w:kern w:val="0"/>
          <w:sz w:val="30"/>
          <w:szCs w:val="30"/>
          <w:highlight w:val="none"/>
          <w:u w:val="none"/>
          <w:lang w:val="en-US" w:eastAsia="zh-CN"/>
        </w:rPr>
        <w:br w:type="page"/>
      </w:r>
    </w:p>
    <w:p w14:paraId="3CDE8A7D">
      <w:pPr>
        <w:tabs>
          <w:tab w:val="left" w:pos="567"/>
        </w:tabs>
        <w:autoSpaceDE w:val="0"/>
        <w:autoSpaceDN w:val="0"/>
        <w:adjustRightInd w:val="0"/>
        <w:spacing w:line="360" w:lineRule="auto"/>
        <w:jc w:val="left"/>
        <w:outlineLvl w:val="1"/>
        <w:rPr>
          <w:rFonts w:hint="eastAsia" w:ascii="宋体" w:hAnsi="宋体" w:eastAsia="宋体" w:cs="宋体"/>
          <w:b/>
          <w:bCs w:val="0"/>
          <w:color w:val="auto"/>
          <w:kern w:val="0"/>
          <w:sz w:val="30"/>
          <w:szCs w:val="30"/>
          <w:highlight w:val="none"/>
          <w:u w:val="none"/>
          <w:lang w:val="en-US" w:eastAsia="zh-CN"/>
        </w:rPr>
      </w:pPr>
      <w:r>
        <w:rPr>
          <w:rFonts w:hint="eastAsia" w:ascii="宋体" w:hAnsi="宋体" w:eastAsia="宋体" w:cs="宋体"/>
          <w:b/>
          <w:bCs w:val="0"/>
          <w:color w:val="auto"/>
          <w:kern w:val="0"/>
          <w:sz w:val="30"/>
          <w:szCs w:val="30"/>
          <w:highlight w:val="none"/>
          <w:u w:val="none"/>
          <w:lang w:val="en-US" w:eastAsia="zh-CN"/>
        </w:rPr>
        <w:t>8、安全作业及应急预案（投标人自行编写，格式不限）</w:t>
      </w:r>
    </w:p>
    <w:p w14:paraId="39D20E3D">
      <w:pPr>
        <w:autoSpaceDE/>
        <w:autoSpaceDN/>
        <w:adjustRightInd/>
        <w:spacing w:line="240" w:lineRule="auto"/>
        <w:jc w:val="left"/>
        <w:outlineLvl w:val="9"/>
        <w:rPr>
          <w:rFonts w:hint="eastAsia" w:ascii="宋体" w:hAnsi="宋体" w:eastAsia="宋体" w:cs="宋体"/>
          <w:b/>
          <w:bCs w:val="0"/>
          <w:color w:val="auto"/>
          <w:kern w:val="0"/>
          <w:sz w:val="30"/>
          <w:szCs w:val="30"/>
          <w:highlight w:val="none"/>
          <w:u w:val="none"/>
          <w:lang w:val="en-US" w:eastAsia="zh-CN"/>
        </w:rPr>
      </w:pPr>
      <w:r>
        <w:rPr>
          <w:rFonts w:hint="eastAsia" w:ascii="宋体" w:hAnsi="宋体" w:eastAsia="宋体" w:cs="宋体"/>
          <w:b/>
          <w:bCs w:val="0"/>
          <w:color w:val="auto"/>
          <w:kern w:val="0"/>
          <w:sz w:val="30"/>
          <w:szCs w:val="30"/>
          <w:highlight w:val="none"/>
          <w:u w:val="none"/>
          <w:lang w:val="en-US" w:eastAsia="zh-CN"/>
        </w:rPr>
        <w:br w:type="page"/>
      </w:r>
    </w:p>
    <w:p w14:paraId="14469D84">
      <w:pPr>
        <w:tabs>
          <w:tab w:val="left" w:pos="567"/>
        </w:tabs>
        <w:autoSpaceDE/>
        <w:autoSpaceDN/>
        <w:adjustRightInd/>
        <w:spacing w:line="360" w:lineRule="auto"/>
        <w:jc w:val="left"/>
        <w:outlineLvl w:val="1"/>
        <w:rPr>
          <w:rFonts w:ascii="宋体" w:hAnsi="宋体" w:eastAsia="宋体" w:cs="宋体"/>
          <w:b/>
          <w:kern w:val="0"/>
          <w:sz w:val="30"/>
          <w:szCs w:val="30"/>
          <w:highlight w:val="none"/>
          <w:lang w:val="zh-CN"/>
        </w:rPr>
      </w:pPr>
      <w:r>
        <w:rPr>
          <w:rFonts w:hint="eastAsia" w:ascii="宋体" w:hAnsi="宋体" w:eastAsia="宋体" w:cs="宋体"/>
          <w:b/>
          <w:bCs w:val="0"/>
          <w:color w:val="auto"/>
          <w:kern w:val="0"/>
          <w:sz w:val="30"/>
          <w:szCs w:val="30"/>
          <w:highlight w:val="none"/>
          <w:u w:val="none"/>
          <w:lang w:val="en-US" w:eastAsia="zh-CN"/>
        </w:rPr>
        <w:t>9</w:t>
      </w:r>
      <w:r>
        <w:rPr>
          <w:rFonts w:hint="eastAsia" w:ascii="宋体" w:hAnsi="宋体" w:eastAsia="宋体" w:cs="宋体"/>
          <w:b/>
          <w:bCs w:val="0"/>
          <w:color w:val="auto"/>
          <w:kern w:val="0"/>
          <w:sz w:val="30"/>
          <w:szCs w:val="30"/>
          <w:highlight w:val="none"/>
          <w:lang w:val="en-US" w:eastAsia="zh-CN"/>
        </w:rPr>
        <w:t>、</w:t>
      </w:r>
      <w:r>
        <w:rPr>
          <w:rFonts w:hint="eastAsia" w:ascii="宋体" w:hAnsi="宋体" w:eastAsia="宋体" w:cs="宋体"/>
          <w:b/>
          <w:kern w:val="0"/>
          <w:sz w:val="30"/>
          <w:szCs w:val="30"/>
          <w:highlight w:val="none"/>
          <w:lang w:val="zh-CN"/>
        </w:rPr>
        <w:t>服务承诺书格式</w:t>
      </w:r>
    </w:p>
    <w:p w14:paraId="3E6AEC07">
      <w:pPr>
        <w:tabs>
          <w:tab w:val="left" w:pos="567"/>
        </w:tabs>
        <w:autoSpaceDE w:val="0"/>
        <w:autoSpaceDN w:val="0"/>
        <w:adjustRightInd w:val="0"/>
        <w:spacing w:line="360" w:lineRule="auto"/>
        <w:contextualSpacing/>
        <w:jc w:val="center"/>
        <w:rPr>
          <w:rFonts w:ascii="宋体" w:hAnsi="宋体" w:eastAsia="宋体" w:cs="宋体"/>
          <w:b/>
          <w:bCs/>
          <w:kern w:val="0"/>
          <w:sz w:val="30"/>
          <w:szCs w:val="30"/>
          <w:highlight w:val="none"/>
        </w:rPr>
      </w:pPr>
      <w:r>
        <w:rPr>
          <w:rFonts w:hint="eastAsia" w:ascii="宋体" w:hAnsi="宋体" w:eastAsia="宋体" w:cs="宋体"/>
          <w:b/>
          <w:bCs/>
          <w:kern w:val="0"/>
          <w:sz w:val="30"/>
          <w:szCs w:val="30"/>
          <w:highlight w:val="none"/>
          <w:lang w:val="zh-CN"/>
        </w:rPr>
        <w:t>服务承诺书</w:t>
      </w:r>
    </w:p>
    <w:p w14:paraId="1716E524">
      <w:pPr>
        <w:widowControl/>
        <w:autoSpaceDE w:val="0"/>
        <w:autoSpaceDN w:val="0"/>
        <w:spacing w:line="360" w:lineRule="auto"/>
        <w:ind w:right="893" w:firstLine="0" w:firstLineChars="0"/>
        <w:contextualSpacing/>
        <w:textAlignment w:val="bottom"/>
        <w:rPr>
          <w:rFonts w:ascii="宋体" w:hAnsi="宋体" w:eastAsia="宋体" w:cs="宋体"/>
          <w:szCs w:val="21"/>
          <w:highlight w:val="none"/>
        </w:rPr>
      </w:pPr>
      <w:r>
        <w:rPr>
          <w:rFonts w:hint="eastAsia" w:ascii="宋体" w:hAnsi="宋体" w:eastAsia="宋体" w:cs="宋体"/>
          <w:szCs w:val="21"/>
          <w:highlight w:val="none"/>
        </w:rPr>
        <w:t>致：东莞市水务环境投资控股集团供水有限公司</w:t>
      </w:r>
    </w:p>
    <w:p w14:paraId="09B4F1FF">
      <w:pPr>
        <w:widowControl/>
        <w:autoSpaceDE w:val="0"/>
        <w:autoSpaceDN w:val="0"/>
        <w:spacing w:line="360" w:lineRule="auto"/>
        <w:ind w:right="17" w:firstLine="424" w:firstLineChars="202"/>
        <w:contextualSpacing/>
        <w:textAlignment w:val="bottom"/>
        <w:rPr>
          <w:rFonts w:ascii="宋体" w:hAnsi="宋体" w:eastAsia="宋体" w:cs="宋体"/>
          <w:szCs w:val="21"/>
          <w:highlight w:val="none"/>
        </w:rPr>
      </w:pPr>
      <w:r>
        <w:rPr>
          <w:rFonts w:hint="eastAsia" w:ascii="宋体" w:hAnsi="宋体" w:eastAsia="宋体" w:cs="宋体"/>
          <w:szCs w:val="21"/>
          <w:highlight w:val="none"/>
        </w:rPr>
        <w:t>我单位在</w:t>
      </w:r>
      <w:r>
        <w:rPr>
          <w:rFonts w:hint="eastAsia" w:ascii="宋体" w:hAnsi="宋体" w:eastAsia="宋体" w:cs="宋体"/>
          <w:color w:val="auto"/>
          <w:kern w:val="0"/>
          <w:szCs w:val="21"/>
          <w:highlight w:val="none"/>
          <w:lang w:eastAsia="zh-CN"/>
        </w:rPr>
        <w:t>东莞市水务环境投资控股集团供水有限公司2026-2027年度清洁保洁、绿化养护、除“四害”及灭蚁防治服务采购项目</w:t>
      </w:r>
      <w:r>
        <w:rPr>
          <w:rFonts w:hint="eastAsia" w:ascii="宋体" w:hAnsi="宋体" w:eastAsia="宋体" w:cs="宋体"/>
          <w:szCs w:val="21"/>
          <w:highlight w:val="none"/>
        </w:rPr>
        <w:t>（招标编号：</w:t>
      </w:r>
      <w:r>
        <w:rPr>
          <w:rFonts w:hint="eastAsia" w:ascii="宋体" w:hAnsi="宋体" w:eastAsia="宋体" w:cs="宋体"/>
          <w:szCs w:val="21"/>
          <w:highlight w:val="none"/>
          <w:u w:val="single"/>
          <w:lang w:val="en-US" w:eastAsia="zh-CN"/>
        </w:rPr>
        <w:t xml:space="preserve">                  </w:t>
      </w:r>
      <w:r>
        <w:rPr>
          <w:rFonts w:hint="eastAsia" w:ascii="宋体" w:hAnsi="宋体" w:eastAsia="宋体" w:cs="宋体"/>
          <w:szCs w:val="21"/>
          <w:highlight w:val="none"/>
        </w:rPr>
        <w:t>）招标中若获中标，我方承诺：</w:t>
      </w:r>
    </w:p>
    <w:p w14:paraId="4B63D32F">
      <w:pPr>
        <w:widowControl/>
        <w:autoSpaceDE w:val="0"/>
        <w:autoSpaceDN w:val="0"/>
        <w:spacing w:line="360" w:lineRule="auto"/>
        <w:ind w:right="17" w:firstLine="424" w:firstLineChars="202"/>
        <w:contextualSpacing/>
        <w:textAlignment w:val="bottom"/>
        <w:rPr>
          <w:rFonts w:ascii="宋体" w:hAnsi="宋体" w:eastAsia="宋体" w:cs="宋体"/>
          <w:szCs w:val="21"/>
          <w:highlight w:val="none"/>
        </w:rPr>
      </w:pPr>
      <w:r>
        <w:rPr>
          <w:rFonts w:hint="eastAsia" w:ascii="宋体" w:hAnsi="宋体" w:eastAsia="宋体" w:cs="宋体"/>
          <w:szCs w:val="21"/>
          <w:highlight w:val="none"/>
        </w:rPr>
        <w:t>（1）在接到招标人通知后</w:t>
      </w:r>
      <w:r>
        <w:rPr>
          <w:rFonts w:hint="eastAsia" w:ascii="宋体" w:hAnsi="宋体" w:eastAsia="宋体" w:cs="宋体"/>
          <w:szCs w:val="21"/>
          <w:highlight w:val="none"/>
          <w:u w:val="single"/>
        </w:rPr>
        <w:t xml:space="preserve">      </w:t>
      </w:r>
      <w:r>
        <w:rPr>
          <w:rFonts w:hint="eastAsia" w:ascii="宋体" w:hAnsi="宋体" w:eastAsia="宋体" w:cs="宋体"/>
          <w:szCs w:val="21"/>
          <w:highlight w:val="none"/>
        </w:rPr>
        <w:t>小时内到达项目服务现场进行服务。</w:t>
      </w:r>
    </w:p>
    <w:p w14:paraId="74C6A772">
      <w:pPr>
        <w:widowControl/>
        <w:autoSpaceDE w:val="0"/>
        <w:autoSpaceDN w:val="0"/>
        <w:spacing w:line="360" w:lineRule="auto"/>
        <w:ind w:right="17" w:firstLine="424" w:firstLineChars="202"/>
        <w:contextualSpacing/>
        <w:textAlignment w:val="bottom"/>
        <w:rPr>
          <w:rFonts w:ascii="宋体" w:hAnsi="宋体" w:eastAsia="宋体" w:cs="宋体"/>
          <w:szCs w:val="21"/>
          <w:highlight w:val="none"/>
        </w:rPr>
      </w:pPr>
    </w:p>
    <w:p w14:paraId="261A31FB">
      <w:pPr>
        <w:widowControl/>
        <w:tabs>
          <w:tab w:val="left" w:pos="960"/>
        </w:tabs>
        <w:autoSpaceDE w:val="0"/>
        <w:autoSpaceDN w:val="0"/>
        <w:spacing w:line="360" w:lineRule="auto"/>
        <w:ind w:right="893" w:firstLine="424" w:firstLineChars="202"/>
        <w:contextualSpacing/>
        <w:textAlignment w:val="bottom"/>
        <w:rPr>
          <w:rFonts w:ascii="宋体" w:hAnsi="宋体" w:eastAsia="宋体" w:cs="宋体"/>
          <w:szCs w:val="21"/>
          <w:highlight w:val="none"/>
        </w:rPr>
      </w:pPr>
    </w:p>
    <w:p w14:paraId="3696DD59">
      <w:pPr>
        <w:widowControl/>
        <w:autoSpaceDE w:val="0"/>
        <w:autoSpaceDN w:val="0"/>
        <w:spacing w:line="360" w:lineRule="auto"/>
        <w:ind w:right="893" w:firstLine="424" w:firstLineChars="202"/>
        <w:contextualSpacing/>
        <w:textAlignment w:val="bottom"/>
        <w:rPr>
          <w:rFonts w:ascii="宋体" w:hAnsi="宋体" w:eastAsia="宋体" w:cs="宋体"/>
          <w:szCs w:val="21"/>
          <w:highlight w:val="none"/>
        </w:rPr>
      </w:pPr>
      <w:r>
        <w:rPr>
          <w:rFonts w:hint="eastAsia" w:ascii="宋体" w:hAnsi="宋体" w:eastAsia="宋体" w:cs="宋体"/>
          <w:szCs w:val="21"/>
          <w:highlight w:val="none"/>
        </w:rPr>
        <w:t>特此承诺。</w:t>
      </w:r>
    </w:p>
    <w:p w14:paraId="72F7AEA9">
      <w:pPr>
        <w:autoSpaceDE w:val="0"/>
        <w:autoSpaceDN w:val="0"/>
        <w:adjustRightInd w:val="0"/>
        <w:spacing w:line="360" w:lineRule="auto"/>
        <w:ind w:firstLine="3780" w:firstLineChars="1800"/>
        <w:rPr>
          <w:rFonts w:hint="eastAsia" w:ascii="宋体" w:hAnsi="宋体" w:eastAsia="宋体" w:cs="宋体"/>
          <w:color w:val="auto"/>
          <w:szCs w:val="21"/>
          <w:highlight w:val="none"/>
          <w:lang w:val="zh-CN"/>
        </w:rPr>
      </w:pPr>
      <w:r>
        <w:rPr>
          <w:rFonts w:hint="eastAsia" w:ascii="宋体" w:hAnsi="宋体" w:eastAsia="宋体" w:cs="宋体"/>
          <w:color w:val="auto"/>
          <w:szCs w:val="21"/>
          <w:highlight w:val="none"/>
          <w:lang w:val="zh-CN"/>
        </w:rPr>
        <w:t>投标人：</w:t>
      </w:r>
      <w:r>
        <w:rPr>
          <w:rFonts w:hint="eastAsia" w:ascii="宋体" w:hAnsi="宋体" w:eastAsia="宋体" w:cs="宋体"/>
          <w:color w:val="auto"/>
          <w:szCs w:val="21"/>
          <w:highlight w:val="none"/>
          <w:u w:val="single"/>
          <w:lang w:val="zh-CN"/>
        </w:rPr>
        <w:t xml:space="preserve">             （企业数字证书电子签名）</w:t>
      </w:r>
    </w:p>
    <w:p w14:paraId="7F489AE5">
      <w:pPr>
        <w:autoSpaceDE w:val="0"/>
        <w:autoSpaceDN w:val="0"/>
        <w:adjustRightInd w:val="0"/>
        <w:spacing w:line="360" w:lineRule="auto"/>
        <w:ind w:firstLine="3780" w:firstLineChars="1800"/>
        <w:rPr>
          <w:rFonts w:hint="eastAsia" w:ascii="宋体" w:hAnsi="宋体" w:eastAsia="宋体" w:cs="宋体"/>
          <w:color w:val="auto"/>
          <w:szCs w:val="24"/>
          <w:highlight w:val="none"/>
          <w:lang w:val="zh-CN"/>
        </w:rPr>
      </w:pPr>
      <w:r>
        <w:rPr>
          <w:rFonts w:hint="eastAsia" w:ascii="宋体" w:hAnsi="宋体" w:eastAsia="宋体" w:cs="宋体"/>
          <w:color w:val="auto"/>
          <w:szCs w:val="21"/>
          <w:highlight w:val="none"/>
          <w:lang w:val="zh-CN"/>
        </w:rPr>
        <w:t>日</w:t>
      </w:r>
      <w:r>
        <w:rPr>
          <w:rFonts w:hint="eastAsia" w:ascii="宋体" w:hAnsi="宋体" w:eastAsia="宋体" w:cs="宋体"/>
          <w:color w:val="auto"/>
          <w:szCs w:val="24"/>
          <w:highlight w:val="none"/>
          <w:lang w:val="zh-CN"/>
        </w:rPr>
        <w:t>期：   年   月   日</w:t>
      </w:r>
    </w:p>
    <w:p w14:paraId="0347934E">
      <w:pPr>
        <w:autoSpaceDE w:val="0"/>
        <w:autoSpaceDN w:val="0"/>
        <w:adjustRightInd w:val="0"/>
        <w:spacing w:line="360" w:lineRule="auto"/>
        <w:jc w:val="center"/>
        <w:rPr>
          <w:rFonts w:hint="eastAsia" w:ascii="宋体" w:hAnsi="宋体" w:eastAsia="宋体" w:cs="宋体"/>
          <w:b/>
          <w:bCs/>
          <w:color w:val="auto"/>
          <w:szCs w:val="24"/>
          <w:highlight w:val="none"/>
          <w:lang w:val="zh-CN"/>
        </w:rPr>
      </w:pPr>
    </w:p>
    <w:p w14:paraId="16DF314C">
      <w:pPr>
        <w:autoSpaceDE w:val="0"/>
        <w:autoSpaceDN w:val="0"/>
        <w:adjustRightInd w:val="0"/>
        <w:spacing w:line="360" w:lineRule="auto"/>
        <w:jc w:val="center"/>
        <w:rPr>
          <w:rFonts w:hint="eastAsia" w:ascii="宋体" w:hAnsi="宋体" w:eastAsia="宋体" w:cs="宋体"/>
          <w:color w:val="auto"/>
          <w:szCs w:val="24"/>
          <w:highlight w:val="none"/>
          <w:lang w:val="zh-CN"/>
        </w:rPr>
      </w:pPr>
      <w:r>
        <w:rPr>
          <w:rFonts w:hint="eastAsia" w:ascii="宋体" w:hAnsi="宋体" w:eastAsia="宋体" w:cs="宋体"/>
          <w:b/>
          <w:bCs/>
          <w:color w:val="auto"/>
          <w:szCs w:val="24"/>
          <w:highlight w:val="none"/>
          <w:lang w:val="zh-CN"/>
        </w:rPr>
        <w:t>说明：由投标人使用投标人的企业数字证书电子签名。</w:t>
      </w:r>
    </w:p>
    <w:p w14:paraId="3321EF77">
      <w:pPr>
        <w:spacing w:line="360" w:lineRule="auto"/>
        <w:ind w:left="629" w:right="893" w:firstLine="4305" w:firstLineChars="2050"/>
        <w:contextualSpacing/>
        <w:rPr>
          <w:rFonts w:ascii="宋体" w:hAnsi="宋体" w:eastAsia="宋体" w:cs="宋体"/>
          <w:szCs w:val="24"/>
          <w:highlight w:val="none"/>
          <w:lang w:val="zh-CN"/>
        </w:rPr>
      </w:pPr>
    </w:p>
    <w:p w14:paraId="134BA0BF">
      <w:pPr>
        <w:spacing w:line="360" w:lineRule="auto"/>
        <w:ind w:left="629" w:right="893" w:firstLine="4305" w:firstLineChars="2050"/>
        <w:contextualSpacing/>
        <w:rPr>
          <w:rFonts w:ascii="宋体" w:hAnsi="宋体" w:eastAsia="宋体" w:cs="宋体"/>
          <w:szCs w:val="24"/>
          <w:highlight w:val="none"/>
          <w:lang w:val="zh-CN"/>
        </w:rPr>
      </w:pPr>
    </w:p>
    <w:p w14:paraId="09D43AB9">
      <w:pPr>
        <w:autoSpaceDE/>
        <w:autoSpaceDN/>
        <w:adjustRightInd/>
        <w:spacing w:line="240" w:lineRule="auto"/>
        <w:jc w:val="left"/>
        <w:outlineLvl w:val="9"/>
        <w:rPr>
          <w:rFonts w:hint="eastAsia" w:ascii="宋体" w:hAnsi="宋体" w:eastAsia="宋体" w:cs="宋体"/>
          <w:b/>
          <w:color w:val="auto"/>
          <w:kern w:val="0"/>
          <w:sz w:val="30"/>
          <w:szCs w:val="30"/>
          <w:highlight w:val="none"/>
          <w:lang w:val="en-US" w:eastAsia="zh-CN"/>
        </w:rPr>
      </w:pPr>
      <w:r>
        <w:rPr>
          <w:rFonts w:hint="eastAsia" w:ascii="宋体" w:hAnsi="宋体" w:eastAsia="宋体" w:cs="宋体"/>
          <w:b/>
          <w:color w:val="auto"/>
          <w:kern w:val="0"/>
          <w:sz w:val="30"/>
          <w:szCs w:val="30"/>
          <w:highlight w:val="none"/>
          <w:lang w:val="en-US" w:eastAsia="zh-CN"/>
        </w:rPr>
        <w:br w:type="page"/>
      </w:r>
    </w:p>
    <w:p w14:paraId="2D28413B">
      <w:pPr>
        <w:autoSpaceDE/>
        <w:autoSpaceDN/>
        <w:adjustRightInd/>
        <w:spacing w:line="240" w:lineRule="auto"/>
        <w:jc w:val="left"/>
        <w:outlineLvl w:val="1"/>
        <w:rPr>
          <w:rFonts w:hint="eastAsia" w:ascii="宋体" w:hAnsi="宋体" w:eastAsia="宋体" w:cs="宋体"/>
          <w:b/>
          <w:color w:val="auto"/>
          <w:kern w:val="0"/>
          <w:sz w:val="30"/>
          <w:szCs w:val="30"/>
          <w:highlight w:val="none"/>
        </w:rPr>
      </w:pPr>
      <w:r>
        <w:rPr>
          <w:rFonts w:hint="eastAsia" w:ascii="宋体" w:hAnsi="宋体" w:eastAsia="宋体" w:cs="宋体"/>
          <w:b/>
          <w:color w:val="auto"/>
          <w:kern w:val="0"/>
          <w:sz w:val="30"/>
          <w:szCs w:val="30"/>
          <w:highlight w:val="none"/>
          <w:lang w:val="en-US" w:eastAsia="zh-CN"/>
        </w:rPr>
        <w:t>10、</w:t>
      </w:r>
      <w:r>
        <w:rPr>
          <w:rFonts w:hint="eastAsia" w:ascii="宋体" w:hAnsi="宋体" w:eastAsia="宋体" w:cs="宋体"/>
          <w:b/>
          <w:color w:val="auto"/>
          <w:kern w:val="0"/>
          <w:sz w:val="30"/>
          <w:szCs w:val="30"/>
          <w:highlight w:val="none"/>
        </w:rPr>
        <w:t>投标人认为有必要提供的其它材料（不做强制要求）</w:t>
      </w:r>
      <w:bookmarkEnd w:id="708"/>
      <w:bookmarkEnd w:id="709"/>
      <w:bookmarkEnd w:id="710"/>
      <w:bookmarkEnd w:id="711"/>
      <w:bookmarkEnd w:id="712"/>
      <w:bookmarkEnd w:id="714"/>
      <w:bookmarkEnd w:id="715"/>
      <w:bookmarkEnd w:id="716"/>
    </w:p>
    <w:p w14:paraId="2E4B9147">
      <w:pPr>
        <w:autoSpaceDE w:val="0"/>
        <w:autoSpaceDN w:val="0"/>
        <w:adjustRightInd w:val="0"/>
        <w:jc w:val="left"/>
        <w:outlineLvl w:val="9"/>
        <w:rPr>
          <w:rFonts w:hint="eastAsia" w:ascii="宋体" w:hAnsi="宋体" w:eastAsia="宋体" w:cs="宋体"/>
          <w:color w:val="auto"/>
          <w:kern w:val="0"/>
          <w:sz w:val="24"/>
          <w:szCs w:val="24"/>
          <w:highlight w:val="none"/>
        </w:rPr>
      </w:pPr>
    </w:p>
    <w:p w14:paraId="666DDABA">
      <w:pPr>
        <w:autoSpaceDE w:val="0"/>
        <w:autoSpaceDN w:val="0"/>
        <w:adjustRightInd w:val="0"/>
        <w:jc w:val="left"/>
        <w:outlineLvl w:val="9"/>
        <w:rPr>
          <w:rFonts w:hint="eastAsia" w:ascii="宋体" w:hAnsi="宋体" w:eastAsia="宋体" w:cs="宋体"/>
          <w:color w:val="auto"/>
          <w:kern w:val="0"/>
          <w:sz w:val="24"/>
          <w:szCs w:val="24"/>
          <w:highlight w:val="none"/>
        </w:rPr>
      </w:pPr>
    </w:p>
    <w:p w14:paraId="1B83843A">
      <w:pPr>
        <w:widowControl/>
        <w:jc w:val="left"/>
        <w:outlineLvl w:val="9"/>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br w:type="page"/>
      </w:r>
    </w:p>
    <w:p w14:paraId="25F37DA8">
      <w:pPr>
        <w:jc w:val="center"/>
        <w:outlineLvl w:val="1"/>
        <w:rPr>
          <w:rFonts w:hint="eastAsia" w:ascii="宋体" w:hAnsi="宋体" w:eastAsia="宋体" w:cs="宋体"/>
          <w:b/>
          <w:color w:val="auto"/>
          <w:kern w:val="0"/>
          <w:sz w:val="32"/>
          <w:szCs w:val="32"/>
          <w:highlight w:val="none"/>
        </w:rPr>
      </w:pPr>
      <w:bookmarkStart w:id="717" w:name="_Toc13597"/>
      <w:bookmarkStart w:id="718" w:name="_Toc18687"/>
      <w:bookmarkStart w:id="719" w:name="_Toc195714410"/>
      <w:bookmarkStart w:id="720" w:name="_Toc29896"/>
      <w:bookmarkStart w:id="721" w:name="_Toc13980"/>
      <w:bookmarkStart w:id="722" w:name="_Toc22748"/>
      <w:r>
        <w:rPr>
          <w:rFonts w:hint="eastAsia" w:ascii="宋体" w:hAnsi="宋体" w:eastAsia="宋体" w:cs="宋体"/>
          <w:b/>
          <w:color w:val="auto"/>
          <w:kern w:val="0"/>
          <w:sz w:val="32"/>
          <w:szCs w:val="32"/>
          <w:highlight w:val="none"/>
        </w:rPr>
        <w:t>三  投标文件报价信封格式</w:t>
      </w:r>
      <w:bookmarkEnd w:id="717"/>
      <w:bookmarkEnd w:id="718"/>
      <w:bookmarkEnd w:id="719"/>
      <w:bookmarkEnd w:id="720"/>
      <w:bookmarkEnd w:id="721"/>
      <w:bookmarkEnd w:id="722"/>
    </w:p>
    <w:p w14:paraId="42721057">
      <w:pPr>
        <w:jc w:val="center"/>
        <w:rPr>
          <w:rFonts w:hint="eastAsia" w:ascii="宋体" w:hAnsi="宋体" w:eastAsia="宋体" w:cs="宋体"/>
          <w:b/>
          <w:color w:val="auto"/>
          <w:kern w:val="0"/>
          <w:sz w:val="32"/>
          <w:szCs w:val="32"/>
          <w:highlight w:val="none"/>
        </w:rPr>
      </w:pPr>
    </w:p>
    <w:p w14:paraId="53EBB61B">
      <w:pPr>
        <w:autoSpaceDE w:val="0"/>
        <w:autoSpaceDN w:val="0"/>
        <w:adjustRightInd w:val="0"/>
        <w:spacing w:line="360" w:lineRule="auto"/>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rPr>
        <w:t>本部分由投标人使用电子标书制作软件编制并生成报价信封。报价信封的编制要求详见第二篇投标人须知第17.6.3项。由投标人按格式要求进行电子签名。</w:t>
      </w:r>
    </w:p>
    <w:p w14:paraId="593D00C4">
      <w:pPr>
        <w:autoSpaceDE w:val="0"/>
        <w:autoSpaceDN w:val="0"/>
        <w:adjustRightInd w:val="0"/>
        <w:spacing w:line="360" w:lineRule="auto"/>
        <w:jc w:val="left"/>
        <w:rPr>
          <w:rFonts w:hint="eastAsia"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lang w:val="en-US" w:eastAsia="zh-CN"/>
        </w:rPr>
        <w:t>2.本项目采用折扣系数方式报价（折扣系数报价不得超过1.00，且不能为0.00或负数）。</w:t>
      </w:r>
    </w:p>
    <w:p w14:paraId="54B5D7A7">
      <w:pPr>
        <w:autoSpaceDE w:val="0"/>
        <w:autoSpaceDN w:val="0"/>
        <w:adjustRightInd w:val="0"/>
        <w:spacing w:line="360" w:lineRule="auto"/>
        <w:jc w:val="left"/>
        <w:rPr>
          <w:rFonts w:hint="default" w:ascii="宋体" w:hAnsi="宋体" w:eastAsia="宋体" w:cs="宋体"/>
          <w:color w:val="auto"/>
          <w:kern w:val="0"/>
          <w:szCs w:val="21"/>
          <w:highlight w:val="none"/>
          <w:lang w:val="en-US" w:eastAsia="zh-CN"/>
        </w:rPr>
      </w:pPr>
    </w:p>
    <w:p w14:paraId="3A3AAFA5">
      <w:pPr>
        <w:keepNext w:val="0"/>
        <w:keepLines w:val="0"/>
        <w:pageBreakBefore/>
        <w:widowControl w:val="0"/>
        <w:tabs>
          <w:tab w:val="left" w:pos="1080"/>
        </w:tabs>
        <w:kinsoku/>
        <w:wordWrap/>
        <w:overflowPunct/>
        <w:topLinePunct w:val="0"/>
        <w:autoSpaceDE w:val="0"/>
        <w:autoSpaceDN w:val="0"/>
        <w:bidi w:val="0"/>
        <w:adjustRightInd w:val="0"/>
        <w:snapToGrid/>
        <w:spacing w:line="360" w:lineRule="auto"/>
        <w:jc w:val="left"/>
        <w:textAlignment w:val="auto"/>
        <w:outlineLvl w:val="0"/>
        <w:rPr>
          <w:rFonts w:hint="eastAsia" w:ascii="宋体" w:hAnsi="宋体" w:eastAsia="宋体" w:cs="宋体"/>
          <w:b/>
          <w:bCs/>
          <w:color w:val="auto"/>
          <w:kern w:val="44"/>
          <w:sz w:val="32"/>
          <w:szCs w:val="32"/>
          <w:highlight w:val="none"/>
          <w:lang w:val="zh-CN"/>
        </w:rPr>
      </w:pPr>
      <w:bookmarkStart w:id="723" w:name="_Toc22667"/>
      <w:bookmarkStart w:id="724" w:name="_Toc14977"/>
      <w:bookmarkStart w:id="725" w:name="_Toc142508390"/>
      <w:bookmarkStart w:id="726" w:name="_Toc21059"/>
      <w:bookmarkStart w:id="727" w:name="_Toc22601_WPSOffice_Level1"/>
      <w:bookmarkStart w:id="728" w:name="_Toc522047402"/>
      <w:bookmarkStart w:id="729" w:name="_Toc521918141"/>
      <w:r>
        <w:rPr>
          <w:rFonts w:hint="eastAsia" w:ascii="宋体" w:hAnsi="宋体" w:eastAsia="宋体" w:cs="宋体"/>
          <w:b/>
          <w:bCs/>
          <w:color w:val="auto"/>
          <w:kern w:val="44"/>
          <w:sz w:val="32"/>
          <w:szCs w:val="32"/>
          <w:highlight w:val="none"/>
          <w:lang w:val="zh-CN"/>
        </w:rPr>
        <w:t>附件一：评标工作大纲</w:t>
      </w:r>
      <w:bookmarkEnd w:id="723"/>
      <w:bookmarkEnd w:id="724"/>
      <w:bookmarkEnd w:id="725"/>
      <w:bookmarkEnd w:id="726"/>
    </w:p>
    <w:p w14:paraId="7BA1CC76">
      <w:pPr>
        <w:autoSpaceDE w:val="0"/>
        <w:autoSpaceDN w:val="0"/>
        <w:adjustRightInd w:val="0"/>
        <w:spacing w:line="400" w:lineRule="atLeast"/>
        <w:jc w:val="center"/>
        <w:rPr>
          <w:rFonts w:hint="eastAsia" w:ascii="宋体" w:hAnsi="宋体" w:eastAsia="宋体" w:cs="宋体"/>
          <w:b/>
          <w:bCs/>
          <w:color w:val="auto"/>
          <w:szCs w:val="21"/>
          <w:highlight w:val="none"/>
        </w:rPr>
      </w:pPr>
    </w:p>
    <w:p w14:paraId="2D7D02A3">
      <w:pPr>
        <w:autoSpaceDE w:val="0"/>
        <w:autoSpaceDN w:val="0"/>
        <w:adjustRightInd w:val="0"/>
        <w:spacing w:line="400" w:lineRule="atLeast"/>
        <w:jc w:val="center"/>
        <w:rPr>
          <w:rFonts w:hint="eastAsia" w:ascii="宋体" w:hAnsi="宋体" w:eastAsia="宋体" w:cs="宋体"/>
          <w:b/>
          <w:bCs/>
          <w:color w:val="auto"/>
          <w:szCs w:val="21"/>
          <w:highlight w:val="none"/>
        </w:rPr>
      </w:pPr>
    </w:p>
    <w:p w14:paraId="5BE329A9">
      <w:pPr>
        <w:autoSpaceDE w:val="0"/>
        <w:autoSpaceDN w:val="0"/>
        <w:adjustRightInd w:val="0"/>
        <w:spacing w:line="400" w:lineRule="atLeast"/>
        <w:jc w:val="center"/>
        <w:rPr>
          <w:rFonts w:hint="eastAsia" w:ascii="宋体" w:hAnsi="宋体" w:eastAsia="宋体" w:cs="宋体"/>
          <w:b/>
          <w:bCs/>
          <w:color w:val="auto"/>
          <w:szCs w:val="21"/>
          <w:highlight w:val="none"/>
        </w:rPr>
      </w:pPr>
    </w:p>
    <w:p w14:paraId="5CFBD2E8">
      <w:pPr>
        <w:autoSpaceDE w:val="0"/>
        <w:autoSpaceDN w:val="0"/>
        <w:adjustRightInd w:val="0"/>
        <w:spacing w:line="400" w:lineRule="atLeast"/>
        <w:jc w:val="center"/>
        <w:rPr>
          <w:rFonts w:hint="eastAsia" w:ascii="宋体" w:hAnsi="宋体" w:eastAsia="宋体" w:cs="宋体"/>
          <w:b/>
          <w:bCs/>
          <w:color w:val="auto"/>
          <w:szCs w:val="21"/>
          <w:highlight w:val="none"/>
        </w:rPr>
      </w:pPr>
    </w:p>
    <w:p w14:paraId="1AF129DF">
      <w:pPr>
        <w:autoSpaceDE w:val="0"/>
        <w:autoSpaceDN w:val="0"/>
        <w:adjustRightInd w:val="0"/>
        <w:spacing w:line="360" w:lineRule="auto"/>
        <w:jc w:val="center"/>
        <w:rPr>
          <w:rFonts w:hint="eastAsia" w:ascii="宋体" w:hAnsi="宋体" w:eastAsia="宋体" w:cs="宋体"/>
          <w:b/>
          <w:bCs/>
          <w:color w:val="auto"/>
          <w:sz w:val="36"/>
          <w:szCs w:val="44"/>
          <w:highlight w:val="none"/>
          <w:lang w:eastAsia="zh-CN"/>
        </w:rPr>
      </w:pPr>
      <w:r>
        <w:rPr>
          <w:rFonts w:hint="eastAsia" w:ascii="宋体" w:hAnsi="宋体" w:eastAsia="宋体" w:cs="宋体"/>
          <w:b/>
          <w:bCs/>
          <w:color w:val="auto"/>
          <w:sz w:val="36"/>
          <w:szCs w:val="44"/>
          <w:highlight w:val="none"/>
          <w:lang w:eastAsia="zh-CN"/>
        </w:rPr>
        <w:t>东莞市水务环境投资控股集团供水有限公司2026-2027年度清洁保洁、绿化养护、除“四害”及灭蚁防治服务采购项目</w:t>
      </w:r>
    </w:p>
    <w:p w14:paraId="31279907">
      <w:pPr>
        <w:autoSpaceDE w:val="0"/>
        <w:autoSpaceDN w:val="0"/>
        <w:adjustRightInd w:val="0"/>
        <w:spacing w:line="360" w:lineRule="auto"/>
        <w:jc w:val="center"/>
        <w:rPr>
          <w:rFonts w:hint="eastAsia" w:ascii="宋体" w:hAnsi="宋体" w:eastAsia="宋体" w:cs="宋体"/>
          <w:b/>
          <w:bCs/>
          <w:color w:val="auto"/>
          <w:sz w:val="36"/>
          <w:szCs w:val="36"/>
          <w:highlight w:val="none"/>
        </w:rPr>
      </w:pPr>
      <w:bookmarkStart w:id="730" w:name="_Toc14752_WPSOffice_Level1"/>
      <w:r>
        <w:rPr>
          <w:rFonts w:hint="eastAsia" w:ascii="宋体" w:hAnsi="宋体" w:eastAsia="宋体" w:cs="宋体"/>
          <w:b/>
          <w:bCs/>
          <w:color w:val="auto"/>
          <w:sz w:val="36"/>
          <w:szCs w:val="36"/>
          <w:highlight w:val="none"/>
          <w:lang w:val="zh-CN"/>
        </w:rPr>
        <w:t>（招标编号：SSSSSZ12600026）</w:t>
      </w:r>
      <w:bookmarkEnd w:id="730"/>
    </w:p>
    <w:p w14:paraId="16773C2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53B8C257">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129F34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67439D9">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EA6EFC5">
      <w:pPr>
        <w:autoSpaceDE w:val="0"/>
        <w:autoSpaceDN w:val="0"/>
        <w:adjustRightInd w:val="0"/>
        <w:spacing w:line="400" w:lineRule="atLeast"/>
        <w:jc w:val="center"/>
        <w:rPr>
          <w:rFonts w:hint="eastAsia" w:ascii="宋体" w:hAnsi="宋体" w:eastAsia="宋体" w:cs="宋体"/>
          <w:b/>
          <w:bCs/>
          <w:color w:val="auto"/>
          <w:sz w:val="72"/>
          <w:szCs w:val="72"/>
          <w:highlight w:val="none"/>
          <w:lang w:val="zh-CN"/>
        </w:rPr>
      </w:pPr>
      <w:bookmarkStart w:id="731" w:name="_Toc18947_WPSOffice_Level2"/>
      <w:r>
        <w:rPr>
          <w:rFonts w:hint="eastAsia" w:ascii="宋体" w:hAnsi="宋体" w:eastAsia="宋体" w:cs="宋体"/>
          <w:b/>
          <w:bCs/>
          <w:color w:val="auto"/>
          <w:sz w:val="72"/>
          <w:szCs w:val="72"/>
          <w:highlight w:val="none"/>
          <w:lang w:val="zh-CN"/>
        </w:rPr>
        <w:t>评标工作大纲</w:t>
      </w:r>
      <w:bookmarkEnd w:id="731"/>
    </w:p>
    <w:p w14:paraId="4909C8BE">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381DE184">
      <w:pPr>
        <w:autoSpaceDE w:val="0"/>
        <w:autoSpaceDN w:val="0"/>
        <w:adjustRightInd w:val="0"/>
        <w:spacing w:line="400" w:lineRule="atLeast"/>
        <w:rPr>
          <w:rFonts w:hint="eastAsia" w:ascii="宋体" w:hAnsi="宋体" w:eastAsia="宋体" w:cs="宋体"/>
          <w:b/>
          <w:bCs/>
          <w:color w:val="auto"/>
          <w:sz w:val="36"/>
          <w:szCs w:val="36"/>
          <w:highlight w:val="none"/>
        </w:rPr>
      </w:pPr>
    </w:p>
    <w:p w14:paraId="3280578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7750A12">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241202CF">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608D491C">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b/>
          <w:bCs/>
          <w:color w:val="auto"/>
          <w:sz w:val="36"/>
          <w:szCs w:val="36"/>
          <w:highlight w:val="none"/>
          <w:lang w:val="zh-CN"/>
        </w:rPr>
        <w:t>广州宏达工程顾问集团有限公司</w:t>
      </w:r>
    </w:p>
    <w:p w14:paraId="4B195933">
      <w:pPr>
        <w:autoSpaceDE w:val="0"/>
        <w:autoSpaceDN w:val="0"/>
        <w:adjustRightInd w:val="0"/>
        <w:spacing w:line="400" w:lineRule="atLeast"/>
        <w:jc w:val="center"/>
        <w:rPr>
          <w:rFonts w:hint="eastAsia" w:ascii="宋体" w:hAnsi="宋体" w:eastAsia="宋体" w:cs="宋体"/>
          <w:b/>
          <w:bCs/>
          <w:color w:val="auto"/>
          <w:sz w:val="36"/>
          <w:szCs w:val="36"/>
          <w:highlight w:val="none"/>
        </w:rPr>
      </w:pPr>
    </w:p>
    <w:p w14:paraId="12DDB424">
      <w:pPr>
        <w:autoSpaceDE w:val="0"/>
        <w:autoSpaceDN w:val="0"/>
        <w:adjustRightInd w:val="0"/>
        <w:spacing w:line="400" w:lineRule="atLeast"/>
        <w:jc w:val="center"/>
        <w:rPr>
          <w:rFonts w:hint="eastAsia" w:ascii="宋体" w:hAnsi="宋体" w:eastAsia="宋体" w:cs="宋体"/>
          <w:b/>
          <w:bCs/>
          <w:color w:val="auto"/>
          <w:sz w:val="36"/>
          <w:szCs w:val="36"/>
          <w:highlight w:val="none"/>
        </w:rPr>
      </w:pPr>
      <w:r>
        <w:rPr>
          <w:rFonts w:hint="eastAsia" w:ascii="宋体" w:hAnsi="宋体" w:eastAsia="宋体" w:cs="宋体"/>
          <w:color w:val="auto"/>
          <w:sz w:val="44"/>
          <w:szCs w:val="44"/>
          <w:highlight w:val="none"/>
        </w:rPr>
        <w:br w:type="page"/>
      </w:r>
      <w:bookmarkStart w:id="732" w:name="_Toc32395_WPSOffice_Level1"/>
      <w:r>
        <w:rPr>
          <w:rFonts w:hint="eastAsia" w:ascii="宋体" w:hAnsi="宋体" w:eastAsia="宋体" w:cs="宋体"/>
          <w:b/>
          <w:bCs/>
          <w:color w:val="auto"/>
          <w:sz w:val="36"/>
          <w:szCs w:val="36"/>
          <w:highlight w:val="none"/>
          <w:lang w:val="zh-CN"/>
        </w:rPr>
        <w:t>目录</w:t>
      </w:r>
      <w:bookmarkEnd w:id="732"/>
    </w:p>
    <w:p w14:paraId="7FF66C0A">
      <w:pPr>
        <w:autoSpaceDE w:val="0"/>
        <w:autoSpaceDN w:val="0"/>
        <w:adjustRightInd w:val="0"/>
        <w:spacing w:line="400" w:lineRule="atLeast"/>
        <w:jc w:val="center"/>
        <w:rPr>
          <w:rFonts w:hint="eastAsia" w:ascii="宋体" w:hAnsi="宋体" w:eastAsia="宋体" w:cs="宋体"/>
          <w:color w:val="auto"/>
          <w:sz w:val="44"/>
          <w:szCs w:val="44"/>
          <w:highlight w:val="none"/>
        </w:rPr>
      </w:pPr>
    </w:p>
    <w:p w14:paraId="120FC53B">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3" w:name="_Toc21604_WPSOffice_Level1"/>
      <w:r>
        <w:rPr>
          <w:rFonts w:hint="eastAsia" w:ascii="宋体" w:hAnsi="宋体" w:eastAsia="宋体" w:cs="宋体"/>
          <w:color w:val="auto"/>
          <w:szCs w:val="30"/>
          <w:highlight w:val="none"/>
          <w:lang w:val="zh-CN"/>
        </w:rPr>
        <w:t>一、</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总则</w:t>
      </w:r>
      <w:bookmarkEnd w:id="733"/>
    </w:p>
    <w:p w14:paraId="602C6F6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4" w:name="_Toc1387_WPSOffice_Level1"/>
      <w:r>
        <w:rPr>
          <w:rFonts w:hint="eastAsia" w:ascii="宋体" w:hAnsi="宋体" w:eastAsia="宋体" w:cs="宋体"/>
          <w:color w:val="auto"/>
          <w:szCs w:val="30"/>
          <w:highlight w:val="none"/>
          <w:lang w:val="zh-CN"/>
        </w:rPr>
        <w:t>二、</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投标文件的初审</w:t>
      </w:r>
      <w:bookmarkEnd w:id="734"/>
    </w:p>
    <w:p w14:paraId="6A4AC270">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5" w:name="_Toc30284_WPSOffice_Level1"/>
      <w:r>
        <w:rPr>
          <w:rFonts w:hint="eastAsia" w:ascii="宋体" w:hAnsi="宋体" w:eastAsia="宋体" w:cs="宋体"/>
          <w:color w:val="auto"/>
          <w:szCs w:val="30"/>
          <w:highlight w:val="none"/>
          <w:lang w:val="zh-CN"/>
        </w:rPr>
        <w:t>三、</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澄清有关问题</w:t>
      </w:r>
      <w:bookmarkEnd w:id="735"/>
    </w:p>
    <w:p w14:paraId="23DD5E48">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6" w:name="_Toc1206_WPSOffice_Level1"/>
      <w:r>
        <w:rPr>
          <w:rFonts w:hint="eastAsia" w:ascii="宋体" w:hAnsi="宋体" w:eastAsia="宋体" w:cs="宋体"/>
          <w:color w:val="auto"/>
          <w:szCs w:val="30"/>
          <w:highlight w:val="none"/>
        </w:rPr>
        <w:t>四、 比较和评价</w:t>
      </w:r>
      <w:bookmarkEnd w:id="736"/>
    </w:p>
    <w:p w14:paraId="37D3538D">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7" w:name="_Toc12163_WPSOffice_Level1"/>
      <w:r>
        <w:rPr>
          <w:rFonts w:hint="eastAsia" w:ascii="宋体" w:hAnsi="宋体" w:eastAsia="宋体" w:cs="宋体"/>
          <w:color w:val="auto"/>
          <w:szCs w:val="30"/>
          <w:highlight w:val="none"/>
          <w:lang w:val="zh-CN"/>
        </w:rPr>
        <w:t>五、</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推荐中标候选人名单</w:t>
      </w:r>
      <w:bookmarkEnd w:id="737"/>
    </w:p>
    <w:p w14:paraId="523E24D6">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8" w:name="_Toc366_WPSOffice_Level1"/>
      <w:r>
        <w:rPr>
          <w:rFonts w:hint="eastAsia" w:ascii="宋体" w:hAnsi="宋体" w:eastAsia="宋体" w:cs="宋体"/>
          <w:color w:val="auto"/>
          <w:szCs w:val="30"/>
          <w:highlight w:val="none"/>
          <w:lang w:val="zh-CN"/>
        </w:rPr>
        <w:t>六、</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编写评标报告</w:t>
      </w:r>
      <w:bookmarkEnd w:id="738"/>
    </w:p>
    <w:p w14:paraId="6314402A">
      <w:pPr>
        <w:autoSpaceDE w:val="0"/>
        <w:autoSpaceDN w:val="0"/>
        <w:adjustRightInd w:val="0"/>
        <w:spacing w:line="360" w:lineRule="auto"/>
        <w:ind w:left="567" w:hanging="567"/>
        <w:rPr>
          <w:rFonts w:hint="eastAsia" w:ascii="宋体" w:hAnsi="宋体" w:eastAsia="宋体" w:cs="宋体"/>
          <w:color w:val="auto"/>
          <w:szCs w:val="30"/>
          <w:highlight w:val="none"/>
        </w:rPr>
      </w:pPr>
      <w:bookmarkStart w:id="739" w:name="_Toc22378_WPSOffice_Level1"/>
      <w:r>
        <w:rPr>
          <w:rFonts w:hint="eastAsia" w:ascii="宋体" w:hAnsi="宋体" w:eastAsia="宋体" w:cs="宋体"/>
          <w:color w:val="auto"/>
          <w:szCs w:val="30"/>
          <w:highlight w:val="none"/>
          <w:lang w:val="zh-CN"/>
        </w:rPr>
        <w:t>七、</w:t>
      </w:r>
      <w:r>
        <w:rPr>
          <w:rFonts w:hint="eastAsia" w:ascii="宋体" w:hAnsi="宋体" w:eastAsia="宋体" w:cs="宋体"/>
          <w:color w:val="auto"/>
          <w:szCs w:val="30"/>
          <w:highlight w:val="none"/>
          <w:lang w:val="zh-CN"/>
        </w:rPr>
        <w:tab/>
      </w:r>
      <w:r>
        <w:rPr>
          <w:rFonts w:hint="eastAsia" w:ascii="宋体" w:hAnsi="宋体" w:eastAsia="宋体" w:cs="宋体"/>
          <w:color w:val="auto"/>
          <w:szCs w:val="30"/>
          <w:highlight w:val="none"/>
          <w:lang w:val="zh-CN"/>
        </w:rPr>
        <w:t>注意事项</w:t>
      </w:r>
      <w:bookmarkEnd w:id="739"/>
    </w:p>
    <w:p w14:paraId="64BFF551">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37059D4D">
      <w:pPr>
        <w:tabs>
          <w:tab w:val="right" w:pos="7320"/>
        </w:tabs>
        <w:autoSpaceDE w:val="0"/>
        <w:autoSpaceDN w:val="0"/>
        <w:adjustRightInd w:val="0"/>
        <w:spacing w:line="360" w:lineRule="auto"/>
        <w:ind w:left="720" w:hanging="720"/>
        <w:rPr>
          <w:rFonts w:hint="eastAsia" w:ascii="宋体" w:hAnsi="宋体" w:eastAsia="宋体" w:cs="宋体"/>
          <w:color w:val="auto"/>
          <w:szCs w:val="30"/>
          <w:highlight w:val="none"/>
        </w:rPr>
      </w:pPr>
    </w:p>
    <w:p w14:paraId="59CF111B">
      <w:pPr>
        <w:tabs>
          <w:tab w:val="left" w:pos="1080"/>
          <w:tab w:val="right" w:pos="7320"/>
        </w:tabs>
        <w:autoSpaceDE w:val="0"/>
        <w:autoSpaceDN w:val="0"/>
        <w:adjustRightInd w:val="0"/>
        <w:spacing w:line="400" w:lineRule="atLeast"/>
        <w:ind w:left="720" w:hanging="720"/>
        <w:rPr>
          <w:rFonts w:hint="eastAsia" w:ascii="宋体" w:hAnsi="宋体" w:eastAsia="宋体" w:cs="宋体"/>
          <w:color w:val="auto"/>
          <w:szCs w:val="30"/>
          <w:highlight w:val="none"/>
        </w:rPr>
      </w:pPr>
    </w:p>
    <w:p w14:paraId="70BEEEFC">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color w:val="auto"/>
          <w:sz w:val="30"/>
          <w:szCs w:val="30"/>
          <w:highlight w:val="none"/>
        </w:rPr>
        <w:br w:type="page"/>
      </w:r>
      <w:bookmarkStart w:id="740" w:name="_Toc27181_WPSOffice_Level1"/>
      <w:r>
        <w:rPr>
          <w:rFonts w:hint="eastAsia" w:ascii="宋体" w:hAnsi="宋体" w:eastAsia="宋体" w:cs="宋体"/>
          <w:color w:val="auto"/>
          <w:sz w:val="28"/>
          <w:szCs w:val="28"/>
          <w:highlight w:val="none"/>
          <w:lang w:val="zh-CN"/>
        </w:rPr>
        <w:t>一、</w:t>
      </w:r>
      <w:r>
        <w:rPr>
          <w:rFonts w:hint="eastAsia" w:ascii="宋体" w:hAnsi="宋体" w:eastAsia="宋体" w:cs="宋体"/>
          <w:b/>
          <w:bCs/>
          <w:color w:val="auto"/>
          <w:sz w:val="28"/>
          <w:szCs w:val="28"/>
          <w:highlight w:val="none"/>
          <w:lang w:val="zh-CN"/>
        </w:rPr>
        <w:t>总则</w:t>
      </w:r>
      <w:bookmarkEnd w:id="740"/>
    </w:p>
    <w:p w14:paraId="6A3D33D4">
      <w:pPr>
        <w:tabs>
          <w:tab w:val="left" w:pos="567"/>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1、一般规定</w:t>
      </w:r>
    </w:p>
    <w:p w14:paraId="53513D61">
      <w:pPr>
        <w:autoSpaceDE w:val="0"/>
        <w:autoSpaceDN w:val="0"/>
        <w:adjustRightInd w:val="0"/>
        <w:spacing w:line="360" w:lineRule="auto"/>
        <w:ind w:left="567" w:hanging="567"/>
        <w:rPr>
          <w:rFonts w:hint="eastAsia" w:ascii="宋体" w:hAnsi="宋体" w:eastAsia="宋体" w:cs="宋体"/>
          <w:color w:val="auto"/>
          <w:kern w:val="0"/>
          <w:szCs w:val="32"/>
          <w:highlight w:val="none"/>
        </w:rPr>
      </w:pPr>
      <w:r>
        <w:rPr>
          <w:rFonts w:hint="eastAsia" w:ascii="宋体" w:hAnsi="宋体" w:eastAsia="宋体" w:cs="宋体"/>
          <w:color w:val="auto"/>
          <w:szCs w:val="21"/>
          <w:highlight w:val="none"/>
          <w:lang w:val="zh-CN"/>
        </w:rPr>
        <w:t>1.1</w:t>
      </w:r>
      <w:r>
        <w:rPr>
          <w:rFonts w:hint="eastAsia" w:ascii="宋体" w:hAnsi="宋体" w:eastAsia="宋体" w:cs="宋体"/>
          <w:color w:val="auto"/>
          <w:szCs w:val="21"/>
          <w:highlight w:val="none"/>
          <w:lang w:val="zh-CN"/>
        </w:rPr>
        <w:tab/>
      </w:r>
      <w:r>
        <w:rPr>
          <w:rFonts w:hint="eastAsia" w:ascii="宋体" w:hAnsi="宋体" w:eastAsia="宋体" w:cs="宋体"/>
          <w:color w:val="auto"/>
          <w:kern w:val="0"/>
          <w:szCs w:val="21"/>
          <w:highlight w:val="none"/>
          <w:lang w:eastAsia="zh-CN"/>
        </w:rPr>
        <w:t>东莞市水务环境投资控股集团供水有限公司2026-2027年度清洁保洁、绿化养护、除“四害”及灭蚁防治服务采购项目</w:t>
      </w:r>
      <w:r>
        <w:rPr>
          <w:rFonts w:hint="eastAsia" w:ascii="宋体" w:hAnsi="宋体" w:eastAsia="宋体" w:cs="宋体"/>
          <w:color w:val="auto"/>
          <w:szCs w:val="21"/>
          <w:highlight w:val="none"/>
          <w:lang w:val="zh-CN"/>
        </w:rPr>
        <w:t>(招标编号：SSSSSZ12600026</w:t>
      </w:r>
      <w:r>
        <w:rPr>
          <w:rFonts w:hint="eastAsia" w:ascii="宋体" w:hAnsi="宋体" w:eastAsia="宋体" w:cs="宋体"/>
          <w:color w:val="auto"/>
          <w:kern w:val="0"/>
          <w:szCs w:val="32"/>
          <w:highlight w:val="none"/>
        </w:rPr>
        <w:t>)的</w:t>
      </w:r>
      <w:r>
        <w:rPr>
          <w:rFonts w:hint="eastAsia" w:ascii="宋体" w:hAnsi="宋体" w:eastAsia="宋体" w:cs="宋体"/>
          <w:color w:val="auto"/>
          <w:szCs w:val="21"/>
          <w:highlight w:val="none"/>
          <w:lang w:val="zh-CN"/>
        </w:rPr>
        <w:t>招标</w:t>
      </w:r>
      <w:r>
        <w:rPr>
          <w:rFonts w:hint="eastAsia" w:ascii="宋体" w:hAnsi="宋体" w:eastAsia="宋体" w:cs="宋体"/>
          <w:color w:val="auto"/>
          <w:kern w:val="0"/>
          <w:szCs w:val="32"/>
          <w:highlight w:val="none"/>
        </w:rPr>
        <w:t>按照《中华人民共和国招标投标法》等有关规定进行。</w:t>
      </w:r>
    </w:p>
    <w:p w14:paraId="07D4E26F">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评标必须遵循公平、公正、诚实信用的原则。</w:t>
      </w:r>
    </w:p>
    <w:p w14:paraId="68E7BE91">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招标代理机构</w:t>
      </w:r>
      <w:r>
        <w:rPr>
          <w:rFonts w:hint="eastAsia" w:ascii="宋体" w:hAnsi="宋体" w:eastAsia="宋体" w:cs="宋体"/>
          <w:color w:val="auto"/>
          <w:kern w:val="0"/>
          <w:szCs w:val="32"/>
          <w:highlight w:val="none"/>
        </w:rPr>
        <w:t>(</w:t>
      </w:r>
      <w:r>
        <w:rPr>
          <w:rFonts w:hint="eastAsia" w:ascii="宋体" w:hAnsi="宋体" w:eastAsia="宋体" w:cs="宋体"/>
          <w:color w:val="auto"/>
          <w:kern w:val="0"/>
          <w:szCs w:val="32"/>
          <w:highlight w:val="none"/>
          <w:lang w:eastAsia="zh-CN"/>
        </w:rPr>
        <w:t>广州宏达工程顾问集团有限公司</w:t>
      </w:r>
      <w:r>
        <w:rPr>
          <w:rFonts w:hint="eastAsia" w:ascii="宋体" w:hAnsi="宋体" w:eastAsia="宋体" w:cs="宋体"/>
          <w:color w:val="auto"/>
          <w:kern w:val="0"/>
          <w:szCs w:val="32"/>
          <w:highlight w:val="none"/>
        </w:rPr>
        <w:t>）组</w:t>
      </w:r>
      <w:r>
        <w:rPr>
          <w:rFonts w:hint="eastAsia" w:ascii="宋体" w:hAnsi="宋体" w:eastAsia="宋体" w:cs="宋体"/>
          <w:color w:val="auto"/>
          <w:szCs w:val="24"/>
          <w:highlight w:val="none"/>
          <w:lang w:val="zh-CN"/>
        </w:rPr>
        <w:t>织评标工作，全过程接受招标人及相关部门的监督、管理和指导。</w:t>
      </w:r>
    </w:p>
    <w:p w14:paraId="3FC7EE74">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评标按照招标文件规定的内容进行，采取综合评分</w:t>
      </w:r>
      <w:r>
        <w:rPr>
          <w:rFonts w:hint="eastAsia" w:ascii="宋体" w:hAnsi="宋体" w:eastAsia="宋体" w:cs="宋体"/>
          <w:color w:val="auto"/>
          <w:szCs w:val="21"/>
          <w:highlight w:val="none"/>
        </w:rPr>
        <w:t>法进行评审</w:t>
      </w:r>
      <w:r>
        <w:rPr>
          <w:rFonts w:hint="eastAsia" w:ascii="宋体" w:hAnsi="宋体" w:eastAsia="宋体" w:cs="宋体"/>
          <w:color w:val="auto"/>
          <w:szCs w:val="24"/>
          <w:highlight w:val="none"/>
          <w:lang w:val="zh-CN"/>
        </w:rPr>
        <w:t>。</w:t>
      </w:r>
    </w:p>
    <w:p w14:paraId="41604BB6">
      <w:pPr>
        <w:numPr>
          <w:ilvl w:val="1"/>
          <w:numId w:val="2"/>
        </w:numPr>
        <w:autoSpaceDE w:val="0"/>
        <w:autoSpaceDN w:val="0"/>
        <w:adjustRightInd w:val="0"/>
        <w:spacing w:line="360" w:lineRule="auto"/>
        <w:ind w:left="565" w:hanging="564" w:hangingChars="269"/>
        <w:jc w:val="left"/>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en-US" w:eastAsia="zh-CN"/>
        </w:rPr>
        <w:t xml:space="preserve"> </w:t>
      </w:r>
      <w:r>
        <w:rPr>
          <w:rFonts w:hint="eastAsia" w:ascii="宋体" w:hAnsi="宋体" w:eastAsia="宋体" w:cs="宋体"/>
          <w:color w:val="auto"/>
          <w:szCs w:val="24"/>
          <w:highlight w:val="none"/>
          <w:lang w:val="zh-CN"/>
        </w:rPr>
        <w:t>本办法的评审对象是指投标人按照招标文件要求提供的有效投标文件，包括投标人应评标委员会要求对原投标文件作出的正式书面澄清文件。</w:t>
      </w:r>
    </w:p>
    <w:p w14:paraId="6ECC16C3">
      <w:pPr>
        <w:autoSpaceDE w:val="0"/>
        <w:autoSpaceDN w:val="0"/>
        <w:adjustRightInd w:val="0"/>
        <w:spacing w:line="360" w:lineRule="auto"/>
        <w:rPr>
          <w:rFonts w:hint="eastAsia" w:ascii="宋体" w:hAnsi="宋体" w:eastAsia="宋体" w:cs="宋体"/>
          <w:color w:val="auto"/>
          <w:sz w:val="24"/>
          <w:szCs w:val="24"/>
          <w:highlight w:val="none"/>
          <w:lang w:val="zh-CN"/>
        </w:rPr>
      </w:pPr>
    </w:p>
    <w:p w14:paraId="707DE6D1">
      <w:pPr>
        <w:tabs>
          <w:tab w:val="left" w:pos="360"/>
          <w:tab w:val="left" w:pos="600"/>
        </w:tabs>
        <w:autoSpaceDE w:val="0"/>
        <w:autoSpaceDN w:val="0"/>
        <w:adjustRightInd w:val="0"/>
        <w:spacing w:line="360" w:lineRule="auto"/>
        <w:ind w:left="600" w:hanging="600"/>
        <w:rPr>
          <w:rFonts w:hint="eastAsia" w:ascii="宋体" w:hAnsi="宋体" w:eastAsia="宋体" w:cs="宋体"/>
          <w:b/>
          <w:bCs/>
          <w:color w:val="auto"/>
          <w:szCs w:val="24"/>
          <w:highlight w:val="none"/>
          <w:lang w:val="zh-CN"/>
        </w:rPr>
      </w:pPr>
      <w:r>
        <w:rPr>
          <w:rFonts w:hint="eastAsia" w:ascii="宋体" w:hAnsi="宋体" w:eastAsia="宋体" w:cs="宋体"/>
          <w:b/>
          <w:bCs/>
          <w:color w:val="auto"/>
          <w:szCs w:val="24"/>
          <w:highlight w:val="none"/>
          <w:lang w:val="zh-CN"/>
        </w:rPr>
        <w:t>2、</w:t>
      </w:r>
      <w:r>
        <w:rPr>
          <w:rFonts w:hint="eastAsia" w:ascii="宋体" w:hAnsi="宋体" w:eastAsia="宋体" w:cs="宋体"/>
          <w:b/>
          <w:bCs/>
          <w:color w:val="auto"/>
          <w:szCs w:val="24"/>
          <w:highlight w:val="none"/>
          <w:lang w:val="zh-CN"/>
        </w:rPr>
        <w:tab/>
      </w:r>
      <w:r>
        <w:rPr>
          <w:rFonts w:hint="eastAsia" w:ascii="宋体" w:hAnsi="宋体" w:eastAsia="宋体" w:cs="宋体"/>
          <w:b/>
          <w:bCs/>
          <w:color w:val="auto"/>
          <w:szCs w:val="24"/>
          <w:highlight w:val="none"/>
          <w:lang w:val="zh-CN"/>
        </w:rPr>
        <w:t>评标组织机构的组成</w:t>
      </w:r>
    </w:p>
    <w:p w14:paraId="5ADE34F8">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2.1</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4"/>
          <w:highlight w:val="none"/>
        </w:rPr>
        <w:t>由招标人和技术、经济等方面的专家组成，成员为</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人以上（含</w:t>
      </w:r>
      <w:r>
        <w:rPr>
          <w:rFonts w:hint="eastAsia" w:ascii="宋体" w:hAnsi="宋体" w:eastAsia="宋体" w:cs="宋体"/>
          <w:b/>
          <w:bCs/>
          <w:color w:val="auto"/>
          <w:kern w:val="0"/>
          <w:szCs w:val="24"/>
          <w:highlight w:val="none"/>
          <w:lang w:val="en-US" w:eastAsia="zh-CN"/>
        </w:rPr>
        <w:t>7</w:t>
      </w:r>
      <w:r>
        <w:rPr>
          <w:rFonts w:hint="eastAsia" w:ascii="宋体" w:hAnsi="宋体" w:eastAsia="宋体" w:cs="宋体"/>
          <w:b/>
          <w:bCs/>
          <w:color w:val="auto"/>
          <w:kern w:val="0"/>
          <w:szCs w:val="24"/>
          <w:highlight w:val="none"/>
        </w:rPr>
        <w:t>人）单数</w:t>
      </w:r>
      <w:r>
        <w:rPr>
          <w:rFonts w:hint="eastAsia" w:ascii="宋体" w:hAnsi="宋体" w:eastAsia="宋体" w:cs="宋体"/>
          <w:color w:val="auto"/>
          <w:kern w:val="0"/>
          <w:szCs w:val="24"/>
          <w:highlight w:val="none"/>
        </w:rPr>
        <w:t>，其中技术、经济等方面的专家不少于成员总数的三分之二。</w:t>
      </w:r>
      <w:r>
        <w:rPr>
          <w:rFonts w:hint="eastAsia" w:ascii="宋体" w:hAnsi="宋体" w:eastAsia="宋体" w:cs="宋体"/>
          <w:color w:val="auto"/>
          <w:szCs w:val="24"/>
          <w:highlight w:val="none"/>
          <w:lang w:val="zh-CN"/>
        </w:rPr>
        <w:t>专家依法从</w:t>
      </w:r>
      <w:r>
        <w:rPr>
          <w:rFonts w:hint="eastAsia" w:ascii="宋体" w:hAnsi="宋体" w:eastAsia="宋体" w:cs="宋体"/>
          <w:color w:val="auto"/>
          <w:kern w:val="0"/>
          <w:szCs w:val="24"/>
          <w:highlight w:val="none"/>
        </w:rPr>
        <w:t>专家库中随机抽取产生。</w:t>
      </w:r>
    </w:p>
    <w:p w14:paraId="3259EA2A">
      <w:pPr>
        <w:tabs>
          <w:tab w:val="left" w:pos="567"/>
          <w:tab w:val="left" w:pos="1145"/>
        </w:tabs>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2.2</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评标工作组由招标人、招标代理机构及有关专家组成，由评标委员会确认，并接受其领导。</w:t>
      </w:r>
    </w:p>
    <w:p w14:paraId="5707C380">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2.3</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评标工作组分成评标委员会、秘书组。</w:t>
      </w:r>
    </w:p>
    <w:p w14:paraId="6F97E91A">
      <w:pPr>
        <w:autoSpaceDE w:val="0"/>
        <w:autoSpaceDN w:val="0"/>
        <w:adjustRightInd w:val="0"/>
        <w:spacing w:line="360" w:lineRule="auto"/>
        <w:ind w:left="600" w:hanging="6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2.4</w:t>
      </w:r>
      <w:r>
        <w:rPr>
          <w:rFonts w:hint="eastAsia" w:ascii="宋体" w:hAnsi="宋体" w:eastAsia="宋体" w:cs="宋体"/>
          <w:color w:val="auto"/>
          <w:szCs w:val="24"/>
          <w:highlight w:val="none"/>
          <w:lang w:val="zh-CN"/>
        </w:rPr>
        <w:tab/>
      </w:r>
      <w:r>
        <w:rPr>
          <w:rFonts w:hint="eastAsia" w:ascii="宋体" w:hAnsi="宋体" w:eastAsia="宋体" w:cs="宋体"/>
          <w:color w:val="auto"/>
          <w:szCs w:val="24"/>
          <w:highlight w:val="none"/>
          <w:lang w:val="zh-CN"/>
        </w:rPr>
        <w:t>评标委员会应相对独立工作，负责评审、撰写评标报告。招标代理机构秘书组负责评标过程中资料的保管、发放及回收，协调技术和评标委员会评标工作的进展和整理、汇总评标资料及复核。</w:t>
      </w:r>
    </w:p>
    <w:p w14:paraId="6C4124DE">
      <w:pPr>
        <w:autoSpaceDE w:val="0"/>
        <w:autoSpaceDN w:val="0"/>
        <w:adjustRightInd w:val="0"/>
        <w:spacing w:line="360" w:lineRule="auto"/>
        <w:rPr>
          <w:rFonts w:hint="eastAsia" w:ascii="宋体" w:hAnsi="宋体" w:eastAsia="宋体" w:cs="宋体"/>
          <w:color w:val="auto"/>
          <w:sz w:val="24"/>
          <w:szCs w:val="24"/>
          <w:highlight w:val="none"/>
          <w:lang w:val="zh-CN"/>
        </w:rPr>
      </w:pPr>
    </w:p>
    <w:p w14:paraId="57D10956">
      <w:pPr>
        <w:autoSpaceDE w:val="0"/>
        <w:autoSpaceDN w:val="0"/>
        <w:adjustRightInd w:val="0"/>
        <w:spacing w:line="360" w:lineRule="auto"/>
        <w:rPr>
          <w:rFonts w:hint="eastAsia" w:ascii="宋体" w:hAnsi="宋体" w:eastAsia="宋体" w:cs="宋体"/>
          <w:color w:val="auto"/>
          <w:sz w:val="24"/>
          <w:szCs w:val="24"/>
          <w:highlight w:val="none"/>
          <w:lang w:val="zh-CN"/>
        </w:rPr>
      </w:pPr>
      <w:r>
        <w:rPr>
          <w:rFonts w:hint="eastAsia" w:ascii="宋体" w:hAnsi="宋体" w:eastAsia="宋体" w:cs="宋体"/>
          <w:b/>
          <w:color w:val="auto"/>
          <w:szCs w:val="21"/>
          <w:highlight w:val="none"/>
          <w:lang w:val="zh-CN"/>
        </w:rPr>
        <w:t>3、</w:t>
      </w:r>
      <w:r>
        <w:rPr>
          <w:rFonts w:hint="eastAsia" w:ascii="宋体" w:hAnsi="宋体" w:eastAsia="宋体" w:cs="宋体"/>
          <w:b/>
          <w:bCs/>
          <w:color w:val="auto"/>
          <w:szCs w:val="21"/>
          <w:highlight w:val="none"/>
          <w:lang w:val="zh-CN"/>
        </w:rPr>
        <w:t>评标</w:t>
      </w:r>
      <w:r>
        <w:rPr>
          <w:rFonts w:hint="eastAsia" w:ascii="宋体" w:hAnsi="宋体" w:eastAsia="宋体" w:cs="宋体"/>
          <w:b/>
          <w:bCs/>
          <w:color w:val="auto"/>
          <w:szCs w:val="24"/>
          <w:highlight w:val="none"/>
          <w:lang w:val="zh-CN"/>
        </w:rPr>
        <w:t>委员会职责</w:t>
      </w:r>
    </w:p>
    <w:p w14:paraId="12E1897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3.1  审查投标文件是否符合招标文件要求，并作出评价；</w:t>
      </w:r>
    </w:p>
    <w:p w14:paraId="57B2D17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3.2  要求投标人对投标文件有关事项作出解释或者澄清；</w:t>
      </w:r>
    </w:p>
    <w:p w14:paraId="32FC2F0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3.3</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推荐中标候选人名单及排序；</w:t>
      </w:r>
    </w:p>
    <w:p w14:paraId="5D62D601">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3.4</w:t>
      </w:r>
      <w:r>
        <w:rPr>
          <w:rFonts w:hint="eastAsia" w:ascii="宋体" w:hAnsi="宋体" w:eastAsia="宋体" w:cs="宋体"/>
          <w:color w:val="auto"/>
          <w:kern w:val="0"/>
          <w:szCs w:val="24"/>
          <w:highlight w:val="none"/>
          <w:lang w:val="zh-CN"/>
        </w:rPr>
        <w:tab/>
      </w:r>
      <w:r>
        <w:rPr>
          <w:rFonts w:hint="eastAsia" w:ascii="宋体" w:hAnsi="宋体" w:eastAsia="宋体" w:cs="宋体"/>
          <w:color w:val="auto"/>
          <w:kern w:val="0"/>
          <w:szCs w:val="24"/>
          <w:highlight w:val="none"/>
          <w:lang w:val="zh-CN"/>
        </w:rPr>
        <w:t xml:space="preserve"> 向招标人、招标代理机构或者有关部门报告非法干预评标工作的行为。</w:t>
      </w:r>
    </w:p>
    <w:p w14:paraId="2120F6BB">
      <w:pPr>
        <w:autoSpaceDE w:val="0"/>
        <w:autoSpaceDN w:val="0"/>
        <w:adjustRightInd w:val="0"/>
        <w:spacing w:line="360" w:lineRule="auto"/>
        <w:jc w:val="left"/>
        <w:rPr>
          <w:rFonts w:hint="eastAsia" w:ascii="宋体" w:hAnsi="宋体" w:eastAsia="宋体" w:cs="宋体"/>
          <w:color w:val="auto"/>
          <w:kern w:val="0"/>
          <w:sz w:val="24"/>
          <w:szCs w:val="24"/>
          <w:highlight w:val="none"/>
          <w:lang w:val="zh-CN"/>
        </w:rPr>
      </w:pPr>
    </w:p>
    <w:p w14:paraId="520DA551">
      <w:pPr>
        <w:tabs>
          <w:tab w:val="left" w:pos="720"/>
        </w:tabs>
        <w:autoSpaceDE w:val="0"/>
        <w:autoSpaceDN w:val="0"/>
        <w:adjustRightInd w:val="0"/>
        <w:spacing w:line="360" w:lineRule="auto"/>
        <w:rPr>
          <w:rFonts w:hint="eastAsia" w:ascii="宋体" w:hAnsi="宋体" w:eastAsia="宋体" w:cs="宋体"/>
          <w:b/>
          <w:bCs/>
          <w:color w:val="auto"/>
          <w:szCs w:val="21"/>
          <w:highlight w:val="none"/>
          <w:lang w:val="zh-CN"/>
        </w:rPr>
      </w:pPr>
      <w:r>
        <w:rPr>
          <w:rFonts w:hint="eastAsia" w:ascii="宋体" w:hAnsi="宋体" w:eastAsia="宋体" w:cs="宋体"/>
          <w:b/>
          <w:bCs/>
          <w:color w:val="auto"/>
          <w:szCs w:val="21"/>
          <w:highlight w:val="none"/>
          <w:lang w:val="zh-CN"/>
        </w:rPr>
        <w:t>4、评标委员会义务</w:t>
      </w:r>
    </w:p>
    <w:p w14:paraId="5907ACB2">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4.1  遵纪守法，客观、公正、廉洁地履行职责；</w:t>
      </w:r>
    </w:p>
    <w:p w14:paraId="1D1462FC">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4.2  按照招标文件规定的评标方法和评标标准进行评审，对评审意见承担个人责任；</w:t>
      </w:r>
    </w:p>
    <w:p w14:paraId="2BB1974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4.3  对评标过程和结果，以及投标人的商业秘密保密；</w:t>
      </w:r>
    </w:p>
    <w:p w14:paraId="37D5D94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4.4  参与评标报告的起草；</w:t>
      </w:r>
    </w:p>
    <w:p w14:paraId="1FC41F0A">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4.5  配合有关部门的投诉处理工作；</w:t>
      </w:r>
    </w:p>
    <w:p w14:paraId="051AEEB3">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4.6  配合招标人、招标代理机构答复投标人提出的质疑、异议。</w:t>
      </w:r>
    </w:p>
    <w:p w14:paraId="683FA41A">
      <w:pPr>
        <w:tabs>
          <w:tab w:val="left" w:pos="720"/>
        </w:tabs>
        <w:autoSpaceDE w:val="0"/>
        <w:autoSpaceDN w:val="0"/>
        <w:adjustRightInd w:val="0"/>
        <w:spacing w:line="360" w:lineRule="auto"/>
        <w:rPr>
          <w:rFonts w:hint="eastAsia" w:ascii="宋体" w:hAnsi="宋体" w:eastAsia="宋体" w:cs="宋体"/>
          <w:color w:val="auto"/>
          <w:sz w:val="24"/>
          <w:szCs w:val="24"/>
          <w:highlight w:val="none"/>
          <w:lang w:val="zh-CN"/>
        </w:rPr>
      </w:pPr>
    </w:p>
    <w:p w14:paraId="55856C32">
      <w:pPr>
        <w:tabs>
          <w:tab w:val="left" w:pos="1547"/>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bCs/>
          <w:color w:val="auto"/>
          <w:szCs w:val="21"/>
          <w:highlight w:val="none"/>
          <w:lang w:val="zh-CN"/>
        </w:rPr>
        <w:t>5、评审程序</w:t>
      </w:r>
    </w:p>
    <w:p w14:paraId="20B20DB0">
      <w:pPr>
        <w:autoSpaceDE w:val="0"/>
        <w:autoSpaceDN w:val="0"/>
        <w:adjustRightInd w:val="0"/>
        <w:spacing w:line="360" w:lineRule="auto"/>
        <w:ind w:left="567" w:hanging="567"/>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公开招标：</w:t>
      </w:r>
    </w:p>
    <w:p w14:paraId="7813DA6B">
      <w:pPr>
        <w:autoSpaceDE w:val="0"/>
        <w:autoSpaceDN w:val="0"/>
        <w:adjustRightInd w:val="0"/>
        <w:spacing w:line="360" w:lineRule="auto"/>
        <w:ind w:left="567" w:hanging="567"/>
        <w:rPr>
          <w:rFonts w:hint="eastAsia" w:ascii="宋体" w:hAnsi="宋体" w:eastAsia="宋体" w:cs="宋体"/>
          <w:bCs/>
          <w:color w:val="auto"/>
          <w:szCs w:val="24"/>
          <w:highlight w:val="none"/>
          <w:lang w:val="zh-CN"/>
        </w:rPr>
      </w:pPr>
      <w:r>
        <w:rPr>
          <w:rFonts w:hint="eastAsia" w:ascii="宋体" w:hAnsi="宋体" w:eastAsia="宋体" w:cs="宋体"/>
          <w:color w:val="auto"/>
          <w:szCs w:val="24"/>
          <w:highlight w:val="none"/>
          <w:lang w:val="zh-CN"/>
        </w:rPr>
        <w:t>5.1</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评审首先由评标委员会对投标人的</w:t>
      </w:r>
      <w:r>
        <w:rPr>
          <w:rFonts w:hint="eastAsia" w:ascii="宋体" w:hAnsi="宋体" w:eastAsia="宋体" w:cs="宋体"/>
          <w:color w:val="auto"/>
          <w:szCs w:val="24"/>
          <w:highlight w:val="none"/>
          <w:lang w:val="zh-CN"/>
        </w:rPr>
        <w:t>投标</w:t>
      </w:r>
      <w:r>
        <w:rPr>
          <w:rFonts w:hint="eastAsia" w:ascii="宋体" w:hAnsi="宋体" w:eastAsia="宋体" w:cs="宋体"/>
          <w:bCs/>
          <w:color w:val="auto"/>
          <w:szCs w:val="24"/>
          <w:highlight w:val="none"/>
          <w:lang w:val="zh-CN"/>
        </w:rPr>
        <w:t>文件做初审，对未能通过初审的投标文件不再进入下一阶段评审。</w:t>
      </w:r>
    </w:p>
    <w:p w14:paraId="43C60ED9">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5.2</w:t>
      </w:r>
      <w:r>
        <w:rPr>
          <w:rFonts w:hint="eastAsia" w:ascii="宋体" w:hAnsi="宋体" w:eastAsia="宋体" w:cs="宋体"/>
          <w:color w:val="auto"/>
          <w:szCs w:val="24"/>
          <w:highlight w:val="none"/>
          <w:lang w:val="zh-CN"/>
        </w:rPr>
        <w:tab/>
      </w:r>
      <w:r>
        <w:rPr>
          <w:rFonts w:hint="eastAsia" w:ascii="宋体" w:hAnsi="宋体" w:eastAsia="宋体" w:cs="宋体"/>
          <w:bCs/>
          <w:color w:val="auto"/>
          <w:szCs w:val="24"/>
          <w:highlight w:val="none"/>
          <w:lang w:val="zh-CN"/>
        </w:rPr>
        <w:t>评标</w:t>
      </w:r>
      <w:r>
        <w:rPr>
          <w:rFonts w:hint="eastAsia" w:ascii="宋体" w:hAnsi="宋体" w:eastAsia="宋体" w:cs="宋体"/>
          <w:color w:val="auto"/>
          <w:szCs w:val="24"/>
          <w:highlight w:val="none"/>
          <w:lang w:val="zh-CN"/>
        </w:rPr>
        <w:t>委员会对通过初审的投标人的投标文件进行详细的比较和评价。如需要，进行必要的澄清工作。</w:t>
      </w:r>
    </w:p>
    <w:p w14:paraId="0C5B7199">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5.3  依据评分标准以及各项权重，各位评标委员会成员单独就每个投标人的商务状况、技术状况进行比较和评价，分别评出其商务得分和技术得分。</w:t>
      </w:r>
    </w:p>
    <w:p w14:paraId="624CD46E">
      <w:pPr>
        <w:autoSpaceDE w:val="0"/>
        <w:autoSpaceDN w:val="0"/>
        <w:adjustRightInd w:val="0"/>
        <w:spacing w:line="360" w:lineRule="auto"/>
        <w:ind w:left="567" w:hanging="5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5.4</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对有效投标人的投标报价进行审查和价格评分。</w:t>
      </w:r>
    </w:p>
    <w:p w14:paraId="3DD206E7">
      <w:pPr>
        <w:autoSpaceDE w:val="0"/>
        <w:autoSpaceDN w:val="0"/>
        <w:adjustRightInd w:val="0"/>
        <w:spacing w:line="360" w:lineRule="auto"/>
        <w:ind w:left="567" w:hanging="567"/>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5.5  将各</w:t>
      </w:r>
      <w:r>
        <w:rPr>
          <w:rFonts w:hint="eastAsia" w:ascii="宋体" w:hAnsi="宋体" w:eastAsia="宋体" w:cs="宋体"/>
          <w:color w:val="auto"/>
          <w:szCs w:val="24"/>
          <w:highlight w:val="none"/>
          <w:lang w:val="zh-CN"/>
        </w:rPr>
        <w:t>评委对</w:t>
      </w:r>
      <w:r>
        <w:rPr>
          <w:rFonts w:hint="eastAsia" w:ascii="宋体" w:hAnsi="宋体" w:eastAsia="宋体" w:cs="宋体"/>
          <w:color w:val="auto"/>
          <w:kern w:val="0"/>
          <w:szCs w:val="24"/>
          <w:highlight w:val="none"/>
          <w:lang w:val="zh-CN"/>
        </w:rPr>
        <w:t>投标人的技术打分的最终综合得分、商务打分的算术平均值和价格得分相加得出投标人的总分。</w:t>
      </w:r>
    </w:p>
    <w:p w14:paraId="3E740A89">
      <w:pPr>
        <w:autoSpaceDE w:val="0"/>
        <w:autoSpaceDN w:val="0"/>
        <w:adjustRightInd w:val="0"/>
        <w:spacing w:line="360" w:lineRule="auto"/>
        <w:ind w:left="567" w:hanging="567"/>
        <w:rPr>
          <w:rFonts w:hint="eastAsia" w:ascii="宋体" w:hAnsi="宋体" w:eastAsia="宋体" w:cs="宋体"/>
          <w:color w:val="auto"/>
          <w:kern w:val="0"/>
          <w:szCs w:val="21"/>
          <w:highlight w:val="none"/>
        </w:rPr>
      </w:pPr>
      <w:r>
        <w:rPr>
          <w:rFonts w:hint="eastAsia" w:ascii="宋体" w:hAnsi="宋体" w:eastAsia="宋体" w:cs="宋体"/>
          <w:bCs/>
          <w:color w:val="auto"/>
          <w:kern w:val="0"/>
          <w:szCs w:val="24"/>
          <w:highlight w:val="none"/>
        </w:rPr>
        <w:t xml:space="preserve">5.6  </w:t>
      </w:r>
      <w:r>
        <w:rPr>
          <w:rFonts w:hint="eastAsia" w:ascii="宋体" w:hAnsi="宋体" w:eastAsia="宋体" w:cs="宋体"/>
          <w:color w:val="auto"/>
          <w:kern w:val="0"/>
          <w:szCs w:val="21"/>
          <w:highlight w:val="none"/>
        </w:rPr>
        <w:t>评标委员会将向招标人推荐评标最后综合得分最高的前二名投标人为中标候选人，并标明排列顺序。</w:t>
      </w:r>
    </w:p>
    <w:p w14:paraId="71735A2A">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5.</w:t>
      </w:r>
      <w:r>
        <w:rPr>
          <w:rFonts w:hint="eastAsia" w:ascii="宋体" w:hAnsi="宋体" w:eastAsia="宋体" w:cs="宋体"/>
          <w:color w:val="auto"/>
          <w:szCs w:val="24"/>
          <w:highlight w:val="none"/>
          <w:lang w:val="zh-CN"/>
        </w:rPr>
        <w:t>7</w:t>
      </w:r>
      <w:r>
        <w:rPr>
          <w:rFonts w:hint="eastAsia" w:ascii="宋体" w:hAnsi="宋体" w:eastAsia="宋体" w:cs="宋体"/>
          <w:color w:val="auto"/>
          <w:szCs w:val="24"/>
          <w:highlight w:val="none"/>
          <w:lang w:val="zh-CN"/>
        </w:rPr>
        <w:tab/>
      </w:r>
      <w:r>
        <w:rPr>
          <w:rFonts w:hint="eastAsia" w:ascii="宋体" w:hAnsi="宋体" w:eastAsia="宋体" w:cs="宋体"/>
          <w:color w:val="auto"/>
          <w:kern w:val="0"/>
          <w:szCs w:val="24"/>
          <w:highlight w:val="none"/>
          <w:lang w:val="zh-CN"/>
        </w:rPr>
        <w:t>评标委员会</w:t>
      </w:r>
      <w:r>
        <w:rPr>
          <w:rFonts w:hint="eastAsia" w:ascii="宋体" w:hAnsi="宋体" w:eastAsia="宋体" w:cs="宋体"/>
          <w:color w:val="auto"/>
          <w:szCs w:val="24"/>
          <w:highlight w:val="none"/>
          <w:lang w:val="zh-CN"/>
        </w:rPr>
        <w:t>根据评审结果编写评标报告。</w:t>
      </w:r>
    </w:p>
    <w:p w14:paraId="22CFF6C3">
      <w:pPr>
        <w:autoSpaceDE w:val="0"/>
        <w:autoSpaceDN w:val="0"/>
        <w:adjustRightInd w:val="0"/>
        <w:spacing w:line="360" w:lineRule="auto"/>
        <w:ind w:left="525" w:hanging="525" w:hangingChars="250"/>
        <w:jc w:val="left"/>
        <w:rPr>
          <w:rFonts w:hint="eastAsia" w:ascii="宋体" w:hAnsi="宋体" w:eastAsia="宋体" w:cs="宋体"/>
          <w:color w:val="auto"/>
          <w:szCs w:val="24"/>
          <w:highlight w:val="none"/>
          <w:lang w:val="zh-CN"/>
        </w:rPr>
      </w:pPr>
    </w:p>
    <w:p w14:paraId="48FBC867">
      <w:pPr>
        <w:tabs>
          <w:tab w:val="left" w:pos="1140"/>
        </w:tabs>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741" w:name="_Toc19435_WPSOffice_Level1"/>
      <w:r>
        <w:rPr>
          <w:rFonts w:hint="eastAsia" w:ascii="宋体" w:hAnsi="宋体" w:eastAsia="宋体" w:cs="宋体"/>
          <w:b/>
          <w:bCs/>
          <w:color w:val="auto"/>
          <w:sz w:val="28"/>
          <w:szCs w:val="28"/>
          <w:highlight w:val="none"/>
          <w:lang w:val="zh-CN"/>
        </w:rPr>
        <w:t>二、投标文件的初审</w:t>
      </w:r>
      <w:bookmarkEnd w:id="741"/>
    </w:p>
    <w:p w14:paraId="327F8ABC">
      <w:pPr>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6、投标文件的初审分为资格性检查和符合性检查。</w:t>
      </w:r>
    </w:p>
    <w:p w14:paraId="32BFECA8">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6.1  资格性检查是指评标委员会依据法律法规和招标文件的规定，对投标文件中的资格证明、投标保证金、投标人（含其不具有独立法人资格的分支机构）信用（由招标代理机构在递交投标文件截止时间当天通过“信用中国”网站对投标人信用进行查询，招标代理机构将查询情况提交评标委员会评审）等进行审查，以确定投标人是否具备投标资格。</w:t>
      </w:r>
    </w:p>
    <w:p w14:paraId="545E7812">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6.2  符合性检查是指评标委员会依据招标文件规定，从投标文件的有效性、完整性和对招标文件的响应程度进行审查，以确定是否对招标文件的实质性要求作出响应。</w:t>
      </w:r>
    </w:p>
    <w:p w14:paraId="2470BD2A">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实质性响应的投标指的是符合招标文件要求的全部“★”条款和验收标准而无任何重大偏离或保留。重大偏离或保留系指实质上影响到合同项下的服务范围、质量，或指与招标文件有实质不一致，限制了合同项下委托人的权利和承包人的义务, 或对该重大偏离的修改对提交实质性响应投标的其他投标人将不公平。</w:t>
      </w:r>
    </w:p>
    <w:p w14:paraId="4D3A92E3">
      <w:pPr>
        <w:autoSpaceDE w:val="0"/>
        <w:autoSpaceDN w:val="0"/>
        <w:adjustRightInd w:val="0"/>
        <w:spacing w:line="360" w:lineRule="auto"/>
        <w:ind w:firstLine="840" w:firstLineChars="4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评标委员会决定投标文件的响应性是基于投标文件的内容本身而不靠外部的证据。</w:t>
      </w:r>
    </w:p>
    <w:p w14:paraId="7967446D">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对是否符合实质性响应招标文件有争议的投标文件,评标委员会成员将以记名方式表决,根据少数服</w:t>
      </w:r>
      <w:r>
        <w:rPr>
          <w:rFonts w:hint="eastAsia" w:ascii="宋体" w:hAnsi="宋体" w:eastAsia="宋体" w:cs="宋体"/>
          <w:b/>
          <w:color w:val="auto"/>
          <w:szCs w:val="24"/>
          <w:highlight w:val="none"/>
          <w:lang w:val="en-US" w:eastAsia="zh-CN"/>
        </w:rPr>
        <w:t>从</w:t>
      </w:r>
      <w:r>
        <w:rPr>
          <w:rFonts w:hint="eastAsia" w:ascii="宋体" w:hAnsi="宋体" w:eastAsia="宋体" w:cs="宋体"/>
          <w:b/>
          <w:color w:val="auto"/>
          <w:szCs w:val="24"/>
          <w:highlight w:val="none"/>
          <w:lang w:val="zh-CN"/>
        </w:rPr>
        <w:t>多数的原则，获多数表决通过的投标人才有资格进入下一阶段的评审,否则将被认定为无效投标文件。</w:t>
      </w:r>
    </w:p>
    <w:p w14:paraId="45F2234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7、投标文件出现下列情况之一的，被认定为无效投标：</w:t>
      </w:r>
    </w:p>
    <w:p w14:paraId="648ECDA4">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742" w:name="_Toc26899"/>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 上传的投标文件损坏或无法读取的；</w:t>
      </w:r>
      <w:bookmarkEnd w:id="742"/>
    </w:p>
    <w:p w14:paraId="4153C798">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.2 经招标人确认，投标人在公共资源交易企业库填报的与本项目密切相关的信息与事实不相符的；</w:t>
      </w:r>
    </w:p>
    <w:p w14:paraId="51E8B292">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.3 投标文件中使用的本项目招标文件版本，与交易系统上发布的本项目招标文件的最新版本不一致的；</w:t>
      </w:r>
    </w:p>
    <w:p w14:paraId="141EAFCE">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投标文件签名使用的数字证书与签到的投标人名称不一致的；</w:t>
      </w:r>
    </w:p>
    <w:p w14:paraId="5AEAFD7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投标人的投标编制MAC信息、投标编制CPU序列号、投标编制硬盘序列号均与其他投标人相同的；</w:t>
      </w:r>
    </w:p>
    <w:p w14:paraId="09F00697">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投标文件附有招标人不能接受的条件的；</w:t>
      </w:r>
    </w:p>
    <w:p w14:paraId="154A217A">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投标人资格不满足第二篇投标人须知第2</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的要求；</w:t>
      </w:r>
    </w:p>
    <w:p w14:paraId="529F3940">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投标人未按招标文件要求交纳投标保证金的；</w:t>
      </w:r>
    </w:p>
    <w:p w14:paraId="72109E82">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 xml:space="preserve">9 </w:t>
      </w:r>
      <w:r>
        <w:rPr>
          <w:rFonts w:hint="eastAsia" w:ascii="宋体" w:hAnsi="宋体" w:eastAsia="宋体" w:cs="宋体"/>
          <w:b/>
          <w:color w:val="auto"/>
          <w:szCs w:val="21"/>
          <w:highlight w:val="none"/>
          <w:lang w:val="zh-CN"/>
        </w:rPr>
        <w:t>投标文件报价信封中未按照招标文件要求填报折扣系数报价的；</w:t>
      </w:r>
    </w:p>
    <w:p w14:paraId="2BF313CD">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w:t>
      </w:r>
      <w:r>
        <w:rPr>
          <w:rFonts w:hint="eastAsia" w:ascii="宋体" w:hAnsi="宋体" w:eastAsia="宋体" w:cs="宋体"/>
          <w:b/>
          <w:color w:val="auto"/>
          <w:szCs w:val="21"/>
          <w:highlight w:val="none"/>
          <w:lang w:val="en-US" w:eastAsia="zh-CN"/>
        </w:rPr>
        <w:t>10</w:t>
      </w:r>
      <w:r>
        <w:rPr>
          <w:rFonts w:hint="eastAsia" w:ascii="宋体" w:hAnsi="宋体" w:eastAsia="宋体" w:cs="宋体"/>
          <w:b/>
          <w:color w:val="auto"/>
          <w:szCs w:val="21"/>
          <w:highlight w:val="none"/>
          <w:lang w:val="zh-CN"/>
        </w:rPr>
        <w:t xml:space="preserve"> 投标人以低于企业成本价报价，且投标人不能合理说明或不能提供相关证明材料；</w:t>
      </w:r>
    </w:p>
    <w:p w14:paraId="025A78E4">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1</w:t>
      </w:r>
      <w:r>
        <w:rPr>
          <w:rFonts w:hint="eastAsia" w:ascii="宋体" w:hAnsi="宋体" w:eastAsia="宋体" w:cs="宋体"/>
          <w:b/>
          <w:color w:val="auto"/>
          <w:szCs w:val="21"/>
          <w:highlight w:val="none"/>
          <w:lang w:val="zh-CN"/>
        </w:rPr>
        <w:t xml:space="preserve"> 投标人递交两份或多份内容不同的投标文件，或在一份投标文件中报有两个或多个报价，且未书面声明哪一个有效；</w:t>
      </w:r>
    </w:p>
    <w:p w14:paraId="6DD0E8B0">
      <w:pPr>
        <w:autoSpaceDE w:val="0"/>
        <w:autoSpaceDN w:val="0"/>
        <w:adjustRightInd w:val="0"/>
        <w:spacing w:line="360" w:lineRule="auto"/>
        <w:outlineLvl w:val="9"/>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2</w:t>
      </w:r>
      <w:r>
        <w:rPr>
          <w:rFonts w:hint="eastAsia" w:ascii="宋体" w:hAnsi="宋体" w:eastAsia="宋体" w:cs="宋体"/>
          <w:b/>
          <w:color w:val="auto"/>
          <w:szCs w:val="21"/>
          <w:highlight w:val="none"/>
          <w:lang w:val="zh-CN"/>
        </w:rPr>
        <w:t xml:space="preserve"> 投标文件未按第二篇投标人须知第17</w:t>
      </w:r>
      <w:r>
        <w:rPr>
          <w:rFonts w:hint="eastAsia" w:ascii="宋体" w:hAnsi="宋体" w:eastAsia="宋体" w:cs="宋体"/>
          <w:b/>
          <w:color w:val="auto"/>
          <w:szCs w:val="21"/>
          <w:highlight w:val="none"/>
          <w:lang w:val="en-US" w:eastAsia="zh-CN"/>
        </w:rPr>
        <w:t>条</w:t>
      </w:r>
      <w:r>
        <w:rPr>
          <w:rFonts w:hint="eastAsia" w:ascii="宋体" w:hAnsi="宋体" w:eastAsia="宋体" w:cs="宋体"/>
          <w:b/>
          <w:color w:val="auto"/>
          <w:szCs w:val="21"/>
          <w:highlight w:val="none"/>
          <w:lang w:val="zh-CN"/>
        </w:rPr>
        <w:t xml:space="preserve">的要求编制、使用企业数字证书或个人数字证书电子签名的； </w:t>
      </w:r>
    </w:p>
    <w:p w14:paraId="655A9D15">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743" w:name="_Toc16046"/>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3</w:t>
      </w:r>
      <w:r>
        <w:rPr>
          <w:rFonts w:hint="eastAsia" w:ascii="宋体" w:hAnsi="宋体" w:eastAsia="宋体" w:cs="宋体"/>
          <w:b/>
          <w:color w:val="auto"/>
          <w:szCs w:val="21"/>
          <w:highlight w:val="none"/>
          <w:lang w:val="zh-CN"/>
        </w:rPr>
        <w:t xml:space="preserve"> 投标有效期限不符合要求；</w:t>
      </w:r>
      <w:bookmarkEnd w:id="743"/>
    </w:p>
    <w:p w14:paraId="4B29D82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4</w:t>
      </w:r>
      <w:r>
        <w:rPr>
          <w:rFonts w:hint="eastAsia" w:ascii="宋体" w:hAnsi="宋体" w:eastAsia="宋体" w:cs="宋体"/>
          <w:b/>
          <w:color w:val="auto"/>
          <w:szCs w:val="21"/>
          <w:highlight w:val="none"/>
          <w:lang w:val="zh-CN"/>
        </w:rPr>
        <w:t xml:space="preserve"> 投标文件未对招标范围内的全部内容进行投标报价或投标方案不是唯一；</w:t>
      </w:r>
    </w:p>
    <w:p w14:paraId="79451671">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5</w:t>
      </w:r>
      <w:r>
        <w:rPr>
          <w:rFonts w:hint="eastAsia" w:ascii="宋体" w:hAnsi="宋体" w:eastAsia="宋体" w:cs="宋体"/>
          <w:b/>
          <w:color w:val="auto"/>
          <w:szCs w:val="21"/>
          <w:highlight w:val="none"/>
          <w:lang w:val="zh-CN"/>
        </w:rPr>
        <w:t xml:space="preserve"> 未提供或虚假填写《合同条款偏离表》，或对《合同条款偏离表》有负偏离的；</w:t>
      </w:r>
    </w:p>
    <w:p w14:paraId="22F24ED0">
      <w:pPr>
        <w:autoSpaceDE w:val="0"/>
        <w:autoSpaceDN w:val="0"/>
        <w:adjustRightInd w:val="0"/>
        <w:spacing w:line="360" w:lineRule="auto"/>
        <w:outlineLvl w:val="9"/>
        <w:rPr>
          <w:rFonts w:hint="eastAsia" w:ascii="宋体" w:hAnsi="宋体" w:eastAsia="宋体" w:cs="宋体"/>
          <w:b/>
          <w:color w:val="auto"/>
          <w:szCs w:val="21"/>
          <w:highlight w:val="none"/>
          <w:lang w:val="zh-CN"/>
        </w:rPr>
      </w:pPr>
      <w:bookmarkStart w:id="744" w:name="_Toc18040"/>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6</w:t>
      </w:r>
      <w:r>
        <w:rPr>
          <w:rFonts w:hint="eastAsia" w:ascii="宋体" w:hAnsi="宋体" w:eastAsia="宋体" w:cs="宋体"/>
          <w:b/>
          <w:color w:val="auto"/>
          <w:szCs w:val="21"/>
          <w:highlight w:val="none"/>
          <w:lang w:val="zh-CN"/>
        </w:rPr>
        <w:t xml:space="preserve"> 未填写或虚假填写《用户需求偏离表》的；</w:t>
      </w:r>
      <w:bookmarkEnd w:id="744"/>
    </w:p>
    <w:p w14:paraId="6A0E928D">
      <w:pPr>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 xml:space="preserve"> 未响应招标文件提出的实质性要求和条件（标注★的条款）；</w:t>
      </w:r>
    </w:p>
    <w:p w14:paraId="26FD6253">
      <w:pPr>
        <w:autoSpaceDE w:val="0"/>
        <w:autoSpaceDN w:val="0"/>
        <w:adjustRightInd w:val="0"/>
        <w:spacing w:line="360" w:lineRule="auto"/>
        <w:ind w:left="315" w:hanging="316" w:hangingChars="150"/>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en-US" w:eastAsia="zh-CN"/>
        </w:rPr>
        <w:t>7</w:t>
      </w:r>
      <w:r>
        <w:rPr>
          <w:rFonts w:hint="eastAsia" w:ascii="宋体" w:hAnsi="宋体" w:eastAsia="宋体" w:cs="宋体"/>
          <w:b/>
          <w:color w:val="auto"/>
          <w:szCs w:val="21"/>
          <w:highlight w:val="none"/>
          <w:lang w:val="zh-CN"/>
        </w:rPr>
        <w:t>.1</w:t>
      </w:r>
      <w:r>
        <w:rPr>
          <w:rFonts w:hint="eastAsia" w:ascii="宋体" w:hAnsi="宋体" w:eastAsia="宋体" w:cs="宋体"/>
          <w:b/>
          <w:color w:val="auto"/>
          <w:szCs w:val="21"/>
          <w:highlight w:val="none"/>
          <w:lang w:val="en-US" w:eastAsia="zh-CN"/>
        </w:rPr>
        <w:t>8</w:t>
      </w:r>
      <w:r>
        <w:rPr>
          <w:rFonts w:hint="eastAsia" w:ascii="宋体" w:hAnsi="宋体" w:eastAsia="宋体" w:cs="宋体"/>
          <w:b/>
          <w:color w:val="auto"/>
          <w:szCs w:val="21"/>
          <w:highlight w:val="none"/>
          <w:lang w:val="zh-CN"/>
        </w:rPr>
        <w:t xml:space="preserve"> 属于招标文件中规定为无效标的；属于法律、法规、规章规定的应作无效投标文件处理的。</w:t>
      </w:r>
    </w:p>
    <w:p w14:paraId="66C681C6">
      <w:pPr>
        <w:autoSpaceDE w:val="0"/>
        <w:autoSpaceDN w:val="0"/>
        <w:adjustRightInd w:val="0"/>
        <w:spacing w:line="360" w:lineRule="auto"/>
        <w:ind w:left="315" w:hanging="315" w:hangingChars="150"/>
        <w:rPr>
          <w:rFonts w:hint="eastAsia" w:ascii="宋体" w:hAnsi="宋体" w:eastAsia="宋体" w:cs="宋体"/>
          <w:color w:val="auto"/>
          <w:kern w:val="0"/>
          <w:szCs w:val="24"/>
          <w:highlight w:val="none"/>
          <w:lang w:val="zh-CN"/>
        </w:rPr>
      </w:pPr>
      <w:r>
        <w:rPr>
          <w:rFonts w:hint="eastAsia" w:ascii="宋体" w:hAnsi="宋体" w:eastAsia="宋体" w:cs="宋体"/>
          <w:bCs/>
          <w:color w:val="auto"/>
          <w:kern w:val="0"/>
          <w:szCs w:val="24"/>
          <w:highlight w:val="none"/>
          <w:lang w:val="zh-CN"/>
        </w:rPr>
        <w:t>8、</w:t>
      </w:r>
      <w:r>
        <w:rPr>
          <w:rFonts w:hint="eastAsia" w:ascii="宋体" w:hAnsi="宋体" w:eastAsia="宋体" w:cs="宋体"/>
          <w:color w:val="auto"/>
          <w:kern w:val="0"/>
          <w:szCs w:val="24"/>
          <w:highlight w:val="none"/>
          <w:lang w:val="zh-CN"/>
        </w:rPr>
        <w:t>评标委员会应当书面要求存在细微偏差的投标人在开标评审结束前予以补正。细微偏差是指投标文件在实质上响应招标文件要求，但在个别地方存在漏项或者提供了不完整的技术方案信息和数据等情况，并且补正这些遗漏或者不完整不会对其他投标人造成不公平的结果。细微偏差不影响投标文件的有效性。</w:t>
      </w:r>
    </w:p>
    <w:p w14:paraId="22F28255">
      <w:pPr>
        <w:spacing w:line="360" w:lineRule="auto"/>
        <w:ind w:left="480"/>
        <w:rPr>
          <w:rFonts w:hint="eastAsia" w:ascii="宋体" w:hAnsi="宋体" w:eastAsia="宋体" w:cs="宋体"/>
          <w:b/>
          <w:color w:val="auto"/>
          <w:kern w:val="0"/>
          <w:szCs w:val="21"/>
          <w:highlight w:val="none"/>
        </w:rPr>
      </w:pPr>
    </w:p>
    <w:p w14:paraId="1D4F05F7">
      <w:pPr>
        <w:tabs>
          <w:tab w:val="left" w:pos="1140"/>
        </w:tabs>
        <w:autoSpaceDE w:val="0"/>
        <w:autoSpaceDN w:val="0"/>
        <w:adjustRightInd w:val="0"/>
        <w:spacing w:line="360" w:lineRule="auto"/>
        <w:ind w:firstLine="3528" w:firstLineChars="1255"/>
        <w:jc w:val="left"/>
        <w:rPr>
          <w:rFonts w:hint="eastAsia" w:ascii="宋体" w:hAnsi="宋体" w:eastAsia="宋体" w:cs="宋体"/>
          <w:b/>
          <w:bCs/>
          <w:color w:val="auto"/>
          <w:sz w:val="28"/>
          <w:szCs w:val="28"/>
          <w:highlight w:val="none"/>
        </w:rPr>
      </w:pPr>
      <w:bookmarkStart w:id="745" w:name="_Toc4109_WPSOffice_Level1"/>
      <w:r>
        <w:rPr>
          <w:rFonts w:hint="eastAsia" w:ascii="宋体" w:hAnsi="宋体" w:eastAsia="宋体" w:cs="宋体"/>
          <w:b/>
          <w:bCs/>
          <w:color w:val="auto"/>
          <w:sz w:val="28"/>
          <w:szCs w:val="28"/>
          <w:highlight w:val="none"/>
          <w:lang w:val="zh-CN"/>
        </w:rPr>
        <w:t>三、澄清有关问题</w:t>
      </w:r>
      <w:bookmarkEnd w:id="745"/>
    </w:p>
    <w:p w14:paraId="2D77FA76">
      <w:pPr>
        <w:autoSpaceDE w:val="0"/>
        <w:autoSpaceDN w:val="0"/>
        <w:adjustRightInd w:val="0"/>
        <w:spacing w:line="360" w:lineRule="auto"/>
        <w:ind w:left="315" w:hanging="315" w:hangingChars="15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9、</w:t>
      </w:r>
      <w:r>
        <w:rPr>
          <w:rFonts w:hint="eastAsia" w:ascii="宋体" w:hAnsi="宋体" w:eastAsia="宋体" w:cs="宋体"/>
          <w:color w:val="auto"/>
          <w:szCs w:val="24"/>
          <w:highlight w:val="none"/>
          <w:lang w:val="zh-CN"/>
        </w:rPr>
        <w:t>在</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的商务、技术资格性检查及符合性检查过程中，</w:t>
      </w:r>
      <w:r>
        <w:rPr>
          <w:rFonts w:hint="eastAsia" w:ascii="宋体" w:hAnsi="宋体" w:eastAsia="宋体" w:cs="宋体"/>
          <w:color w:val="auto"/>
          <w:kern w:val="0"/>
          <w:szCs w:val="24"/>
          <w:highlight w:val="none"/>
          <w:lang w:val="zh-CN"/>
        </w:rPr>
        <w:t>投标人</w:t>
      </w:r>
      <w:r>
        <w:rPr>
          <w:rFonts w:hint="eastAsia" w:ascii="宋体" w:hAnsi="宋体" w:eastAsia="宋体" w:cs="宋体"/>
          <w:color w:val="auto"/>
          <w:szCs w:val="24"/>
          <w:highlight w:val="none"/>
          <w:lang w:val="zh-CN"/>
        </w:rPr>
        <w:t>可应评标委员会要求对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中有关问题进行书面澄清。该书面澄清作为其</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的一部分。</w:t>
      </w:r>
    </w:p>
    <w:p w14:paraId="2D1EF7A1">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9.1  对</w:t>
      </w:r>
      <w:r>
        <w:rPr>
          <w:rFonts w:hint="eastAsia" w:ascii="宋体" w:hAnsi="宋体" w:eastAsia="宋体" w:cs="宋体"/>
          <w:color w:val="auto"/>
          <w:kern w:val="0"/>
          <w:szCs w:val="24"/>
          <w:highlight w:val="none"/>
          <w:lang w:val="zh-CN"/>
        </w:rPr>
        <w:t>投标文件</w:t>
      </w:r>
      <w:r>
        <w:rPr>
          <w:rFonts w:hint="eastAsia" w:ascii="宋体" w:hAnsi="宋体" w:eastAsia="宋体" w:cs="宋体"/>
          <w:color w:val="auto"/>
          <w:szCs w:val="24"/>
          <w:highlight w:val="none"/>
          <w:lang w:val="zh-CN"/>
        </w:rPr>
        <w:t>中含义不明确、同类问题表述不一致或者有明显文字和计算错误的内容，评标委员会可以书面形式（由评标委员会专家签字）要求投标人作出必要的澄清、说明或者纠正。</w:t>
      </w:r>
    </w:p>
    <w:p w14:paraId="47D6F0BC">
      <w:pPr>
        <w:autoSpaceDE w:val="0"/>
        <w:autoSpaceDN w:val="0"/>
        <w:adjustRightInd w:val="0"/>
        <w:spacing w:line="360" w:lineRule="auto"/>
        <w:ind w:left="529"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9.2  投标人的澄清、说明或者纠正应当采用书面形式，经加盖其公章或其合法代表人（法定代表人或法定代表人授权书列明的被授权人）签署方有效，并不得超出投标文件的范围或者改变投标文件的实质性内容。</w:t>
      </w:r>
    </w:p>
    <w:p w14:paraId="038157E5">
      <w:pPr>
        <w:autoSpaceDE w:val="0"/>
        <w:autoSpaceDN w:val="0"/>
        <w:adjustRightInd w:val="0"/>
        <w:spacing w:line="360" w:lineRule="auto"/>
        <w:ind w:left="529" w:right="18" w:hanging="529" w:hangingChars="252"/>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9.3  经过澄清后仍不符合要求，则该项目在下一步评审进行评分调整；若重大（实质性）偏差仍存在，且不可接受，投标人则被认为是“不响应招标文件要求的投标人”，不再进入下一步评审。</w:t>
      </w:r>
    </w:p>
    <w:p w14:paraId="53E94DA6">
      <w:pPr>
        <w:spacing w:line="360" w:lineRule="auto"/>
        <w:ind w:left="424" w:hanging="424" w:hangingChars="202"/>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9.4  投标文件报价计算错误的修正</w:t>
      </w:r>
    </w:p>
    <w:p w14:paraId="7940ABB5">
      <w:pPr>
        <w:spacing w:line="360" w:lineRule="auto"/>
        <w:ind w:left="567" w:hanging="567" w:hangingChars="270"/>
        <w:jc w:val="left"/>
        <w:rPr>
          <w:rFonts w:hint="eastAsia" w:ascii="宋体" w:hAnsi="宋体" w:eastAsia="宋体" w:cs="宋体"/>
          <w:color w:val="auto"/>
          <w:kern w:val="0"/>
          <w:sz w:val="24"/>
          <w:szCs w:val="24"/>
          <w:highlight w:val="none"/>
        </w:rPr>
      </w:pPr>
      <w:r>
        <w:rPr>
          <w:rFonts w:hint="eastAsia" w:ascii="宋体" w:hAnsi="宋体" w:eastAsia="宋体" w:cs="宋体"/>
          <w:color w:val="auto"/>
          <w:kern w:val="0"/>
          <w:szCs w:val="21"/>
          <w:highlight w:val="none"/>
        </w:rPr>
        <w:t>（1）评标委员会将对确定为实质上响应招标文件要求的投标文件进行校核，看其是否有计算或表达上的错误，修正错误的原则为：当以数字表示的报价系数与以文字表示的报价系数不一致时，以文字表示的报价系数为准。经双方确认后，作为投标人的投标报价。</w:t>
      </w:r>
    </w:p>
    <w:p w14:paraId="2025AB08">
      <w:pPr>
        <w:spacing w:line="360" w:lineRule="auto"/>
        <w:ind w:left="567" w:hanging="567" w:hangingChars="270"/>
        <w:rPr>
          <w:rFonts w:hint="eastAsia" w:ascii="宋体" w:hAnsi="宋体" w:eastAsia="宋体" w:cs="宋体"/>
          <w:b/>
          <w:color w:val="auto"/>
          <w:kern w:val="0"/>
          <w:szCs w:val="21"/>
          <w:highlight w:val="none"/>
          <w:lang w:val="zh-CN"/>
        </w:rPr>
      </w:pPr>
      <w:r>
        <w:rPr>
          <w:rFonts w:hint="eastAsia" w:ascii="宋体" w:hAnsi="宋体" w:eastAsia="宋体" w:cs="宋体"/>
          <w:color w:val="auto"/>
          <w:kern w:val="0"/>
          <w:szCs w:val="21"/>
          <w:highlight w:val="none"/>
          <w:lang w:val="zh-CN"/>
        </w:rPr>
        <w:t>（2）</w:t>
      </w:r>
      <w:r>
        <w:rPr>
          <w:rFonts w:hint="eastAsia" w:ascii="宋体" w:hAnsi="宋体" w:eastAsia="宋体" w:cs="宋体"/>
          <w:b/>
          <w:color w:val="auto"/>
          <w:kern w:val="0"/>
          <w:szCs w:val="21"/>
          <w:highlight w:val="none"/>
          <w:u w:val="single"/>
          <w:lang w:val="zh-CN"/>
        </w:rPr>
        <w:t>按上述修正</w:t>
      </w:r>
      <w:r>
        <w:rPr>
          <w:rFonts w:hint="eastAsia" w:ascii="宋体" w:hAnsi="宋体" w:eastAsia="宋体" w:cs="宋体"/>
          <w:b/>
          <w:color w:val="auto"/>
          <w:kern w:val="0"/>
          <w:szCs w:val="21"/>
          <w:highlight w:val="none"/>
          <w:u w:val="single"/>
        </w:rPr>
        <w:t>错误</w:t>
      </w:r>
      <w:r>
        <w:rPr>
          <w:rFonts w:hint="eastAsia" w:ascii="宋体" w:hAnsi="宋体" w:eastAsia="宋体" w:cs="宋体"/>
          <w:b/>
          <w:color w:val="auto"/>
          <w:kern w:val="0"/>
          <w:szCs w:val="21"/>
          <w:highlight w:val="none"/>
          <w:u w:val="single"/>
          <w:lang w:val="zh-CN"/>
        </w:rPr>
        <w:t>的原则及方法调整或修正投标文件的投标报价，调整后的投标报价对投标人起约束作用。如果投标人不接受修正后的报价，则其投标将被拒绝，作为无效投标处理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362247B8">
      <w:pPr>
        <w:spacing w:line="360" w:lineRule="auto"/>
        <w:ind w:left="567" w:hanging="567" w:hangingChars="27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9.5  若投标人出现超低报价，有可能影响服务质量和不能诚信履约的，</w:t>
      </w:r>
      <w:r>
        <w:rPr>
          <w:rFonts w:hint="eastAsia" w:ascii="宋体" w:hAnsi="宋体" w:eastAsia="宋体" w:cs="宋体"/>
          <w:bCs/>
          <w:color w:val="auto"/>
          <w:szCs w:val="21"/>
          <w:highlight w:val="none"/>
          <w:lang w:val="zh-CN"/>
        </w:rPr>
        <w:t>评标委员会将要求该投标人作出书面说明并提供相关证明材料，以确定投标人是否以低于企业成本价报价。</w:t>
      </w:r>
      <w:r>
        <w:rPr>
          <w:rFonts w:hint="eastAsia" w:ascii="宋体" w:hAnsi="宋体" w:eastAsia="宋体" w:cs="宋体"/>
          <w:b/>
          <w:color w:val="auto"/>
          <w:szCs w:val="21"/>
          <w:highlight w:val="none"/>
          <w:lang w:val="zh-CN"/>
        </w:rPr>
        <w:t>若投标人不能合理说明或不能提供相关证明材料的，评标委员会将认定其投标报价低于成本，同时否决其投标。</w:t>
      </w:r>
    </w:p>
    <w:p w14:paraId="0E3D8B2F">
      <w:pPr>
        <w:spacing w:line="360" w:lineRule="auto"/>
        <w:ind w:left="567" w:hanging="567" w:hangingChars="270"/>
        <w:rPr>
          <w:rFonts w:hint="eastAsia" w:ascii="宋体" w:hAnsi="宋体" w:eastAsia="宋体" w:cs="宋体"/>
          <w:color w:val="auto"/>
          <w:kern w:val="0"/>
          <w:szCs w:val="21"/>
          <w:highlight w:val="none"/>
          <w:lang w:val="zh-CN"/>
        </w:rPr>
      </w:pPr>
    </w:p>
    <w:p w14:paraId="25F9D378">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bookmarkStart w:id="746" w:name="_Toc8518_WPSOffice_Level1"/>
    </w:p>
    <w:p w14:paraId="3C269FFD">
      <w:pPr>
        <w:autoSpaceDE w:val="0"/>
        <w:autoSpaceDN w:val="0"/>
        <w:adjustRightInd w:val="0"/>
        <w:spacing w:line="360" w:lineRule="auto"/>
        <w:jc w:val="center"/>
        <w:rPr>
          <w:rFonts w:hint="eastAsia" w:ascii="宋体" w:hAnsi="宋体" w:eastAsia="宋体" w:cs="宋体"/>
          <w:b/>
          <w:bCs/>
          <w:color w:val="auto"/>
          <w:sz w:val="28"/>
          <w:szCs w:val="28"/>
          <w:highlight w:val="none"/>
        </w:rPr>
      </w:pPr>
      <w:r>
        <w:rPr>
          <w:rFonts w:hint="eastAsia" w:ascii="宋体" w:hAnsi="宋体" w:eastAsia="宋体" w:cs="宋体"/>
          <w:b/>
          <w:bCs/>
          <w:color w:val="auto"/>
          <w:sz w:val="28"/>
          <w:szCs w:val="28"/>
          <w:highlight w:val="none"/>
          <w:lang w:val="zh-CN"/>
        </w:rPr>
        <w:t>四、比较和评价</w:t>
      </w:r>
      <w:bookmarkEnd w:id="746"/>
    </w:p>
    <w:p w14:paraId="2A2409B1">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r>
        <w:rPr>
          <w:rFonts w:hint="eastAsia" w:ascii="宋体" w:hAnsi="宋体" w:eastAsia="宋体" w:cs="宋体"/>
          <w:bCs/>
          <w:color w:val="auto"/>
          <w:szCs w:val="24"/>
          <w:highlight w:val="none"/>
          <w:lang w:val="zh-CN"/>
        </w:rPr>
        <w:t>10、</w:t>
      </w:r>
      <w:r>
        <w:rPr>
          <w:rFonts w:hint="eastAsia" w:ascii="宋体" w:hAnsi="宋体" w:eastAsia="宋体" w:cs="宋体"/>
          <w:color w:val="auto"/>
          <w:szCs w:val="24"/>
          <w:highlight w:val="none"/>
          <w:lang w:val="zh-CN"/>
        </w:rPr>
        <w:t>评标委员会按招标文件中规定的评审方法和标准，对资格性检查和符合性检查合格的投标文件进行商务和技术评审、综合比较与评价；评标委员会根据商务和技术评审的结果，采用综合评分法，分别对投标文件的商务、技术、价格等内容进行打分。</w:t>
      </w:r>
    </w:p>
    <w:p w14:paraId="26096475">
      <w:pPr>
        <w:autoSpaceDE w:val="0"/>
        <w:autoSpaceDN w:val="0"/>
        <w:adjustRightInd w:val="0"/>
        <w:spacing w:line="360" w:lineRule="auto"/>
        <w:ind w:left="422" w:leftChars="1" w:hanging="420" w:hangingChars="200"/>
        <w:rPr>
          <w:rFonts w:hint="eastAsia" w:ascii="宋体" w:hAnsi="宋体" w:eastAsia="宋体" w:cs="宋体"/>
          <w:color w:val="auto"/>
          <w:szCs w:val="24"/>
          <w:highlight w:val="none"/>
          <w:lang w:val="zh-CN"/>
        </w:rPr>
      </w:pPr>
    </w:p>
    <w:p w14:paraId="75939641">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11、评委打分办法</w:t>
      </w:r>
    </w:p>
    <w:p w14:paraId="050CF967">
      <w:pPr>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11.1 参加评分的评委应尽力体现客观、实事求是，避免学派偏见和个人偏好。</w:t>
      </w:r>
    </w:p>
    <w:p w14:paraId="680F9950">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11.2 衡量、对比的依据，应以招标文件、投标文件、提供的正式试验数据、开标澄清中的文字为准，口头回答和收集的资料只作为参考。</w:t>
      </w:r>
    </w:p>
    <w:p w14:paraId="3138E6A6">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szCs w:val="24"/>
          <w:highlight w:val="none"/>
          <w:lang w:val="zh-CN"/>
        </w:rPr>
        <w:t>11.3 评分主要是为比较各投标人的商务、技术</w:t>
      </w:r>
      <w:r>
        <w:rPr>
          <w:rFonts w:hint="eastAsia" w:ascii="宋体" w:hAnsi="宋体" w:eastAsia="宋体" w:cs="宋体"/>
          <w:color w:val="auto"/>
          <w:szCs w:val="24"/>
          <w:highlight w:val="none"/>
          <w:lang w:val="en-US" w:eastAsia="zh-CN"/>
        </w:rPr>
        <w:t>和</w:t>
      </w:r>
      <w:r>
        <w:rPr>
          <w:rFonts w:hint="eastAsia" w:ascii="宋体" w:hAnsi="宋体" w:eastAsia="宋体" w:cs="宋体"/>
          <w:color w:val="auto"/>
          <w:szCs w:val="24"/>
          <w:highlight w:val="none"/>
          <w:lang w:val="zh-CN"/>
        </w:rPr>
        <w:t>价格综合排序。</w:t>
      </w:r>
      <w:r>
        <w:rPr>
          <w:rFonts w:hint="eastAsia" w:ascii="宋体" w:hAnsi="宋体" w:eastAsia="宋体" w:cs="宋体"/>
          <w:color w:val="auto"/>
          <w:kern w:val="0"/>
          <w:szCs w:val="21"/>
          <w:highlight w:val="none"/>
        </w:rPr>
        <w:t>评标委员会专家组的每一位评委根据招标文件评分标准对投标文件分别评审，对有效投标人投标文件的商务、技术、报价分别评分。</w:t>
      </w:r>
    </w:p>
    <w:p w14:paraId="3BC00501">
      <w:pPr>
        <w:autoSpaceDE w:val="0"/>
        <w:autoSpaceDN w:val="0"/>
        <w:adjustRightInd w:val="0"/>
        <w:spacing w:line="360" w:lineRule="auto"/>
        <w:ind w:left="565" w:leftChars="-1" w:hanging="567" w:hangingChars="27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1</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评标委员会首先对商务标进行评审，按评标标准打分后，取所有评委评分的平均值得出该投标人的商务评分；</w:t>
      </w:r>
    </w:p>
    <w:p w14:paraId="29C142EF">
      <w:pPr>
        <w:autoSpaceDE w:val="0"/>
        <w:autoSpaceDN w:val="0"/>
        <w:adjustRightInd w:val="0"/>
        <w:spacing w:line="360" w:lineRule="auto"/>
        <w:ind w:left="565" w:leftChars="-1" w:hanging="567" w:hangingChars="270"/>
        <w:rPr>
          <w:rFonts w:hint="eastAsia" w:ascii="宋体" w:hAnsi="宋体" w:eastAsia="宋体" w:cs="宋体"/>
          <w:color w:val="auto"/>
          <w:sz w:val="21"/>
          <w:szCs w:val="21"/>
          <w:highlight w:val="none"/>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2</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然后评标委员会对技术标进行评审，按评标标准打分后</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sz w:val="21"/>
          <w:szCs w:val="21"/>
          <w:highlight w:val="none"/>
        </w:rPr>
        <w:t>当评标委员会为五人时，在所有评委对同一份投标文件技术标评审的总评分中，去掉一个最高分和一个最低分，计算剩余总评分的算术平均值即为该投标人技术部分的</w:t>
      </w:r>
      <w:r>
        <w:rPr>
          <w:rFonts w:hint="eastAsia" w:ascii="宋体" w:hAnsi="宋体" w:eastAsia="宋体" w:cs="宋体"/>
          <w:color w:val="auto"/>
          <w:sz w:val="21"/>
          <w:szCs w:val="21"/>
          <w:highlight w:val="none"/>
          <w:lang w:val="en-US" w:eastAsia="zh-CN"/>
        </w:rPr>
        <w:t>最终综合得分</w:t>
      </w:r>
      <w:r>
        <w:rPr>
          <w:rFonts w:hint="eastAsia" w:ascii="宋体" w:hAnsi="宋体" w:eastAsia="宋体" w:cs="宋体"/>
          <w:color w:val="auto"/>
          <w:sz w:val="21"/>
          <w:szCs w:val="21"/>
          <w:highlight w:val="none"/>
        </w:rPr>
        <w:t>；当评标委员会为七人及以上单数时，在各评委的打分中，同一评委的最高评分减去最低评分，去掉分差最大评委的所有打分（出现分差相同时，按最高评分减去次最低评分进行比较，如此类推），在所有剩余评委对同一份投标文件技术部分评审的总评分中，去掉一个最高分和一个最低分，计算剩余总评分的算术平均值即为该投标人技术部分的最终综合得分；若评标委员会成员对某一项按“优、良、中、差”</w:t>
      </w:r>
      <w:r>
        <w:rPr>
          <w:rFonts w:hint="eastAsia" w:ascii="宋体" w:hAnsi="宋体" w:eastAsia="宋体" w:cs="宋体"/>
          <w:color w:val="auto"/>
          <w:sz w:val="21"/>
          <w:szCs w:val="21"/>
          <w:highlight w:val="none"/>
          <w:lang w:val="en-US" w:eastAsia="zh-CN"/>
        </w:rPr>
        <w:t>区间</w:t>
      </w:r>
      <w:r>
        <w:rPr>
          <w:rFonts w:hint="eastAsia" w:ascii="宋体" w:hAnsi="宋体" w:eastAsia="宋体" w:cs="宋体"/>
          <w:color w:val="auto"/>
          <w:sz w:val="21"/>
          <w:szCs w:val="21"/>
          <w:highlight w:val="none"/>
        </w:rPr>
        <w:t>评审</w:t>
      </w:r>
      <w:r>
        <w:rPr>
          <w:rFonts w:hint="eastAsia" w:ascii="宋体" w:hAnsi="宋体" w:eastAsia="宋体" w:cs="宋体"/>
          <w:color w:val="auto"/>
          <w:sz w:val="21"/>
          <w:szCs w:val="21"/>
          <w:highlight w:val="none"/>
          <w:lang w:val="en-US" w:eastAsia="zh-CN"/>
        </w:rPr>
        <w:t>的</w:t>
      </w:r>
      <w:r>
        <w:rPr>
          <w:rFonts w:hint="eastAsia" w:ascii="宋体" w:hAnsi="宋体" w:eastAsia="宋体" w:cs="宋体"/>
          <w:color w:val="auto"/>
          <w:sz w:val="21"/>
          <w:szCs w:val="21"/>
          <w:highlight w:val="none"/>
        </w:rPr>
        <w:t>评分因素的评分低于权重分值60%的，应在评标报告中作出说明。</w:t>
      </w:r>
    </w:p>
    <w:p w14:paraId="695FC6BD">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lang w:val="en-US" w:eastAsia="zh-CN"/>
        </w:rPr>
        <w:t>3</w:t>
      </w:r>
      <w:r>
        <w:rPr>
          <w:rFonts w:hint="eastAsia" w:ascii="宋体" w:hAnsi="宋体" w:eastAsia="宋体" w:cs="宋体"/>
          <w:color w:val="auto"/>
          <w:kern w:val="0"/>
          <w:szCs w:val="21"/>
          <w:highlight w:val="none"/>
          <w:lang w:eastAsia="zh-CN"/>
        </w:rPr>
        <w:t>）</w:t>
      </w:r>
      <w:r>
        <w:rPr>
          <w:rFonts w:hint="eastAsia" w:ascii="宋体" w:hAnsi="宋体" w:eastAsia="宋体" w:cs="宋体"/>
          <w:color w:val="auto"/>
          <w:kern w:val="0"/>
          <w:szCs w:val="21"/>
          <w:highlight w:val="none"/>
        </w:rPr>
        <w:t>最后评标委员会对报价进行评审，按评标标准计算得出该投标人的报价评分。</w:t>
      </w:r>
    </w:p>
    <w:p w14:paraId="26D8FBB8">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11.4 评标委员会打分采取记名形式。</w:t>
      </w:r>
    </w:p>
    <w:p w14:paraId="45AB4F3C">
      <w:pPr>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11.5 各评委根据秘书组提供的打分表严格按照评标大纲内的评分标准独立自主打分，任何人不得要求评委统一打分或统一确定等次顺序。</w:t>
      </w:r>
    </w:p>
    <w:p w14:paraId="71A27DA7">
      <w:pPr>
        <w:autoSpaceDE w:val="0"/>
        <w:autoSpaceDN w:val="0"/>
        <w:adjustRightInd w:val="0"/>
        <w:spacing w:line="360" w:lineRule="auto"/>
        <w:ind w:left="426" w:hanging="426"/>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11.6 对打分表中的每项条款，各评委应根据投标文件、澄清材料、招标文件要求，按满足的程度给投标人打分。</w:t>
      </w:r>
    </w:p>
    <w:p w14:paraId="3A977140">
      <w:pPr>
        <w:tabs>
          <w:tab w:val="left" w:pos="600"/>
        </w:tabs>
        <w:autoSpaceDE w:val="0"/>
        <w:autoSpaceDN w:val="0"/>
        <w:adjustRightInd w:val="0"/>
        <w:spacing w:line="360" w:lineRule="auto"/>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11.7 评分程序</w:t>
      </w:r>
    </w:p>
    <w:p w14:paraId="72F4F495">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（1）就投标人的投标文件对照整理出商务、技术评标因素对比表、偏差表，并在经过校核的基础上逐项打分。</w:t>
      </w:r>
    </w:p>
    <w:p w14:paraId="39930896">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（2）各评委独立完成打分后，将统计好的评分表交给招标代理机构秘书组复核。</w:t>
      </w:r>
    </w:p>
    <w:p w14:paraId="1BA5207D">
      <w:pPr>
        <w:tabs>
          <w:tab w:val="left" w:pos="1134"/>
        </w:tabs>
        <w:autoSpaceDE w:val="0"/>
        <w:autoSpaceDN w:val="0"/>
        <w:adjustRightInd w:val="0"/>
        <w:spacing w:line="360" w:lineRule="auto"/>
        <w:ind w:left="565" w:leftChars="-1" w:hanging="567" w:hangingChars="27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（3）评分统计表中各投标人技术得分应为最终综合得分，商务和价格得分应为评委打分的算术平均值。</w:t>
      </w:r>
    </w:p>
    <w:p w14:paraId="77800615">
      <w:pPr>
        <w:autoSpaceDE w:val="0"/>
        <w:autoSpaceDN w:val="0"/>
        <w:adjustRightInd w:val="0"/>
        <w:spacing w:line="360" w:lineRule="auto"/>
        <w:rPr>
          <w:rFonts w:hint="eastAsia" w:ascii="宋体" w:hAnsi="宋体" w:eastAsia="宋体" w:cs="宋体"/>
          <w:color w:val="auto"/>
          <w:szCs w:val="24"/>
          <w:highlight w:val="none"/>
          <w:lang w:val="zh-CN"/>
        </w:rPr>
      </w:pPr>
    </w:p>
    <w:p w14:paraId="14B3F890">
      <w:pPr>
        <w:tabs>
          <w:tab w:val="left" w:pos="1701"/>
        </w:tabs>
        <w:autoSpaceDE w:val="0"/>
        <w:autoSpaceDN w:val="0"/>
        <w:adjustRightInd w:val="0"/>
        <w:spacing w:line="360" w:lineRule="auto"/>
        <w:outlineLvl w:val="1"/>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12、评分因素及分值</w:t>
      </w:r>
    </w:p>
    <w:tbl>
      <w:tblPr>
        <w:tblStyle w:val="37"/>
        <w:tblW w:w="5000" w:type="pct"/>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autofit"/>
        <w:tblCellMar>
          <w:top w:w="0" w:type="dxa"/>
          <w:left w:w="108" w:type="dxa"/>
          <w:bottom w:w="0" w:type="dxa"/>
          <w:right w:w="108" w:type="dxa"/>
        </w:tblCellMar>
      </w:tblPr>
      <w:tblGrid>
        <w:gridCol w:w="4850"/>
        <w:gridCol w:w="4826"/>
      </w:tblGrid>
      <w:tr w14:paraId="25B65770">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5DD3A0EE">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评分因素</w:t>
            </w:r>
          </w:p>
        </w:tc>
        <w:tc>
          <w:tcPr>
            <w:tcW w:w="2494" w:type="pct"/>
            <w:tcBorders>
              <w:top w:val="single" w:color="auto" w:sz="4" w:space="0"/>
              <w:left w:val="single" w:color="auto" w:sz="4" w:space="0"/>
              <w:bottom w:val="single" w:color="auto" w:sz="4" w:space="0"/>
              <w:right w:val="single" w:color="auto" w:sz="4" w:space="0"/>
            </w:tcBorders>
            <w:vAlign w:val="center"/>
          </w:tcPr>
          <w:p w14:paraId="7A98E56F">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
                <w:color w:val="auto"/>
                <w:kern w:val="0"/>
                <w:sz w:val="21"/>
                <w:szCs w:val="21"/>
                <w:highlight w:val="none"/>
                <w:lang w:val="zh-CN"/>
              </w:rPr>
            </w:pPr>
            <w:r>
              <w:rPr>
                <w:rFonts w:hint="eastAsia" w:ascii="宋体" w:hAnsi="宋体" w:eastAsia="宋体" w:cs="宋体"/>
                <w:b/>
                <w:color w:val="auto"/>
                <w:kern w:val="0"/>
                <w:sz w:val="21"/>
                <w:szCs w:val="21"/>
                <w:highlight w:val="none"/>
                <w:lang w:val="zh-CN"/>
              </w:rPr>
              <w:t>分值</w:t>
            </w:r>
          </w:p>
        </w:tc>
      </w:tr>
      <w:tr w14:paraId="0518829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213B2AA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1、商务</w:t>
            </w:r>
          </w:p>
        </w:tc>
        <w:tc>
          <w:tcPr>
            <w:tcW w:w="4826" w:type="dxa"/>
            <w:tcBorders>
              <w:top w:val="single" w:color="auto" w:sz="4" w:space="0"/>
              <w:left w:val="single" w:color="auto" w:sz="4" w:space="0"/>
              <w:bottom w:val="single" w:color="auto" w:sz="4" w:space="0"/>
              <w:right w:val="single" w:color="auto" w:sz="4" w:space="0"/>
            </w:tcBorders>
            <w:vAlign w:val="center"/>
          </w:tcPr>
          <w:p w14:paraId="62AC85BD">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szCs w:val="21"/>
                <w:highlight w:val="none"/>
                <w:lang w:val="en-US" w:eastAsia="zh-CN" w:bidi="ar"/>
              </w:rPr>
              <w:t>30</w:t>
            </w:r>
            <w:r>
              <w:rPr>
                <w:rFonts w:hint="eastAsia" w:ascii="宋体" w:hAnsi="宋体" w:eastAsia="宋体" w:cs="宋体"/>
                <w:b/>
                <w:szCs w:val="21"/>
                <w:highlight w:val="none"/>
                <w:lang w:val="zh-CN" w:bidi="ar"/>
              </w:rPr>
              <w:t>分</w:t>
            </w:r>
          </w:p>
        </w:tc>
      </w:tr>
      <w:tr w14:paraId="69D6958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633A0207">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2、技术</w:t>
            </w:r>
          </w:p>
        </w:tc>
        <w:tc>
          <w:tcPr>
            <w:tcW w:w="4826" w:type="dxa"/>
            <w:tcBorders>
              <w:top w:val="single" w:color="auto" w:sz="4" w:space="0"/>
              <w:left w:val="single" w:color="auto" w:sz="4" w:space="0"/>
              <w:bottom w:val="single" w:color="auto" w:sz="4" w:space="0"/>
              <w:right w:val="single" w:color="auto" w:sz="4" w:space="0"/>
            </w:tcBorders>
            <w:vAlign w:val="center"/>
          </w:tcPr>
          <w:p w14:paraId="48FBE7C7">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szCs w:val="21"/>
                <w:highlight w:val="none"/>
                <w:lang w:val="en-US" w:eastAsia="zh-CN" w:bidi="ar"/>
              </w:rPr>
              <w:t>40</w:t>
            </w:r>
            <w:r>
              <w:rPr>
                <w:rFonts w:hint="eastAsia" w:ascii="宋体" w:hAnsi="宋体" w:eastAsia="宋体" w:cs="宋体"/>
                <w:b/>
                <w:szCs w:val="21"/>
                <w:highlight w:val="none"/>
                <w:lang w:val="zh-CN" w:bidi="ar"/>
              </w:rPr>
              <w:t>分</w:t>
            </w:r>
          </w:p>
        </w:tc>
      </w:tr>
      <w:tr w14:paraId="18BCA76B">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7" w:hRule="atLeast"/>
          <w:jc w:val="center"/>
        </w:trPr>
        <w:tc>
          <w:tcPr>
            <w:tcW w:w="2506" w:type="pct"/>
            <w:tcBorders>
              <w:top w:val="single" w:color="auto" w:sz="4" w:space="0"/>
              <w:left w:val="single" w:color="auto" w:sz="4" w:space="0"/>
              <w:bottom w:val="single" w:color="auto" w:sz="4" w:space="0"/>
              <w:right w:val="single" w:color="auto" w:sz="4" w:space="0"/>
            </w:tcBorders>
            <w:vAlign w:val="center"/>
          </w:tcPr>
          <w:p w14:paraId="3FB9A9CA">
            <w:pPr>
              <w:keepNext w:val="0"/>
              <w:keepLines w:val="0"/>
              <w:pageBreakBefore w:val="0"/>
              <w:widowControl w:val="0"/>
              <w:kinsoku/>
              <w:wordWrap/>
              <w:overflowPunct/>
              <w:topLinePunct w:val="0"/>
              <w:autoSpaceDE/>
              <w:autoSpaceDN/>
              <w:bidi w:val="0"/>
              <w:adjustRightInd/>
              <w:snapToGrid/>
              <w:spacing w:line="240" w:lineRule="auto"/>
              <w:jc w:val="center"/>
              <w:textAlignment w:val="auto"/>
              <w:rPr>
                <w:rFonts w:hint="eastAsia" w:ascii="宋体" w:hAnsi="宋体" w:eastAsia="宋体" w:cs="宋体"/>
                <w:bCs/>
                <w:color w:val="auto"/>
                <w:kern w:val="0"/>
                <w:sz w:val="21"/>
                <w:szCs w:val="21"/>
                <w:highlight w:val="none"/>
                <w:lang w:val="zh-CN"/>
              </w:rPr>
            </w:pPr>
            <w:r>
              <w:rPr>
                <w:rFonts w:hint="eastAsia" w:ascii="宋体" w:hAnsi="宋体" w:eastAsia="宋体" w:cs="宋体"/>
                <w:bCs/>
                <w:color w:val="auto"/>
                <w:kern w:val="0"/>
                <w:sz w:val="21"/>
                <w:szCs w:val="21"/>
                <w:highlight w:val="none"/>
                <w:lang w:val="zh-CN"/>
              </w:rPr>
              <w:t>3、价格</w:t>
            </w:r>
          </w:p>
        </w:tc>
        <w:tc>
          <w:tcPr>
            <w:tcW w:w="4826" w:type="dxa"/>
            <w:tcBorders>
              <w:top w:val="single" w:color="auto" w:sz="4" w:space="0"/>
              <w:left w:val="single" w:color="auto" w:sz="4" w:space="0"/>
              <w:bottom w:val="single" w:color="auto" w:sz="4" w:space="0"/>
              <w:right w:val="single" w:color="auto" w:sz="4" w:space="0"/>
            </w:tcBorders>
            <w:vAlign w:val="center"/>
          </w:tcPr>
          <w:p w14:paraId="747F945F">
            <w:pPr>
              <w:autoSpaceDE w:val="0"/>
              <w:autoSpaceDN w:val="0"/>
              <w:adjustRightInd w:val="0"/>
              <w:spacing w:line="400" w:lineRule="exact"/>
              <w:jc w:val="center"/>
              <w:rPr>
                <w:rFonts w:hint="eastAsia" w:ascii="宋体" w:hAnsi="宋体" w:eastAsia="宋体" w:cs="宋体"/>
                <w:bCs/>
                <w:color w:val="auto"/>
                <w:kern w:val="0"/>
                <w:sz w:val="21"/>
                <w:szCs w:val="21"/>
                <w:highlight w:val="none"/>
                <w:lang w:val="zh-CN"/>
              </w:rPr>
            </w:pPr>
            <w:r>
              <w:rPr>
                <w:rFonts w:hint="eastAsia" w:ascii="宋体" w:hAnsi="宋体" w:eastAsia="宋体" w:cs="宋体"/>
                <w:b/>
                <w:szCs w:val="21"/>
                <w:highlight w:val="none"/>
                <w:lang w:val="en-US" w:eastAsia="zh-CN" w:bidi="ar"/>
              </w:rPr>
              <w:t>30</w:t>
            </w:r>
            <w:r>
              <w:rPr>
                <w:rFonts w:hint="eastAsia" w:ascii="宋体" w:hAnsi="宋体" w:eastAsia="宋体" w:cs="宋体"/>
                <w:b/>
                <w:szCs w:val="21"/>
                <w:highlight w:val="none"/>
                <w:lang w:val="zh-CN" w:bidi="ar"/>
              </w:rPr>
              <w:t>分</w:t>
            </w:r>
          </w:p>
        </w:tc>
      </w:tr>
    </w:tbl>
    <w:p w14:paraId="7CAFFA78">
      <w:pPr>
        <w:tabs>
          <w:tab w:val="left" w:pos="585"/>
        </w:tabs>
        <w:autoSpaceDE w:val="0"/>
        <w:autoSpaceDN w:val="0"/>
        <w:adjustRightInd w:val="0"/>
        <w:spacing w:line="360" w:lineRule="auto"/>
        <w:rPr>
          <w:rFonts w:hint="eastAsia" w:ascii="宋体" w:hAnsi="宋体" w:eastAsia="宋体" w:cs="宋体"/>
          <w:b/>
          <w:color w:val="auto"/>
          <w:szCs w:val="21"/>
          <w:highlight w:val="none"/>
        </w:rPr>
      </w:pPr>
      <w:bookmarkStart w:id="747" w:name="_Toc18349_WPSOffice_Level2"/>
    </w:p>
    <w:p w14:paraId="6DA0A979">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rPr>
        <w:t>（1）</w:t>
      </w:r>
      <w:r>
        <w:rPr>
          <w:rFonts w:hint="eastAsia" w:ascii="宋体" w:hAnsi="宋体" w:eastAsia="宋体" w:cs="宋体"/>
          <w:b/>
          <w:color w:val="auto"/>
          <w:szCs w:val="21"/>
          <w:highlight w:val="none"/>
          <w:lang w:val="zh-CN"/>
        </w:rPr>
        <w:t>商务：总分</w:t>
      </w:r>
      <w:r>
        <w:rPr>
          <w:rFonts w:hint="eastAsia" w:ascii="宋体" w:hAnsi="宋体" w:eastAsia="宋体" w:cs="宋体"/>
          <w:b/>
          <w:color w:val="auto"/>
          <w:szCs w:val="21"/>
          <w:highlight w:val="none"/>
          <w:lang w:val="en-US" w:eastAsia="zh-CN"/>
        </w:rPr>
        <w:t>30</w:t>
      </w:r>
      <w:r>
        <w:rPr>
          <w:rFonts w:hint="eastAsia" w:ascii="宋体" w:hAnsi="宋体" w:eastAsia="宋体" w:cs="宋体"/>
          <w:b/>
          <w:color w:val="auto"/>
          <w:szCs w:val="21"/>
          <w:highlight w:val="none"/>
          <w:lang w:val="zh-CN"/>
        </w:rPr>
        <w:t>分</w:t>
      </w:r>
      <w:bookmarkEnd w:id="747"/>
    </w:p>
    <w:tbl>
      <w:tblPr>
        <w:tblStyle w:val="37"/>
        <w:tblW w:w="4998"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4"/>
        <w:gridCol w:w="1057"/>
        <w:gridCol w:w="7147"/>
        <w:gridCol w:w="844"/>
      </w:tblGrid>
      <w:tr w14:paraId="541DE5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71" w:hRule="atLeast"/>
          <w:jc w:val="center"/>
        </w:trPr>
        <w:tc>
          <w:tcPr>
            <w:tcW w:w="323" w:type="pct"/>
            <w:tcBorders>
              <w:top w:val="single" w:color="auto" w:sz="4" w:space="0"/>
              <w:left w:val="single" w:color="auto" w:sz="4" w:space="0"/>
              <w:bottom w:val="single" w:color="auto" w:sz="4" w:space="0"/>
              <w:right w:val="single" w:color="auto" w:sz="4" w:space="0"/>
            </w:tcBorders>
            <w:shd w:val="clear" w:color="auto" w:fill="auto"/>
            <w:vAlign w:val="bottom"/>
          </w:tcPr>
          <w:p w14:paraId="3DFC9A25">
            <w:pPr>
              <w:autoSpaceDE w:val="0"/>
              <w:autoSpaceDN w:val="0"/>
              <w:adjustRightInd w:val="0"/>
              <w:spacing w:line="400" w:lineRule="exact"/>
              <w:jc w:val="center"/>
              <w:rPr>
                <w:rFonts w:ascii="宋体" w:hAnsi="宋体" w:eastAsia="宋体" w:cs="宋体"/>
                <w:b/>
                <w:kern w:val="0"/>
                <w:szCs w:val="21"/>
                <w:highlight w:val="none"/>
              </w:rPr>
            </w:pPr>
            <w:bookmarkStart w:id="748" w:name="_Toc11639_WPSOffice_Level2"/>
            <w:r>
              <w:rPr>
                <w:rFonts w:hint="eastAsia" w:ascii="宋体" w:hAnsi="宋体" w:eastAsia="宋体" w:cs="宋体"/>
                <w:b/>
                <w:kern w:val="0"/>
                <w:szCs w:val="21"/>
                <w:highlight w:val="none"/>
                <w:lang w:bidi="ar"/>
              </w:rPr>
              <w:t>序号</w:t>
            </w:r>
          </w:p>
        </w:tc>
        <w:tc>
          <w:tcPr>
            <w:tcW w:w="546" w:type="pct"/>
            <w:tcBorders>
              <w:top w:val="single" w:color="auto" w:sz="4" w:space="0"/>
              <w:left w:val="single" w:color="auto" w:sz="4" w:space="0"/>
              <w:bottom w:val="single" w:color="auto" w:sz="4" w:space="0"/>
              <w:right w:val="single" w:color="auto" w:sz="4" w:space="0"/>
            </w:tcBorders>
            <w:shd w:val="clear" w:color="auto" w:fill="auto"/>
            <w:vAlign w:val="bottom"/>
          </w:tcPr>
          <w:p w14:paraId="270198F7">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bidi="ar"/>
              </w:rPr>
              <w:t>评审内容</w:t>
            </w:r>
          </w:p>
        </w:tc>
        <w:tc>
          <w:tcPr>
            <w:tcW w:w="3693" w:type="pct"/>
            <w:tcBorders>
              <w:top w:val="single" w:color="auto" w:sz="4" w:space="0"/>
              <w:left w:val="single" w:color="auto" w:sz="4" w:space="0"/>
              <w:bottom w:val="single" w:color="auto" w:sz="4" w:space="0"/>
              <w:right w:val="single" w:color="auto" w:sz="4" w:space="0"/>
            </w:tcBorders>
            <w:shd w:val="clear" w:color="auto" w:fill="auto"/>
            <w:vAlign w:val="center"/>
          </w:tcPr>
          <w:p w14:paraId="1D813387">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评审细则</w:t>
            </w:r>
          </w:p>
        </w:tc>
        <w:tc>
          <w:tcPr>
            <w:tcW w:w="436" w:type="pct"/>
            <w:tcBorders>
              <w:top w:val="single" w:color="auto" w:sz="4" w:space="0"/>
              <w:left w:val="single" w:color="auto" w:sz="4" w:space="0"/>
              <w:bottom w:val="single" w:color="auto" w:sz="4" w:space="0"/>
              <w:right w:val="single" w:color="auto" w:sz="4" w:space="0"/>
            </w:tcBorders>
            <w:shd w:val="clear" w:color="auto" w:fill="auto"/>
            <w:vAlign w:val="bottom"/>
          </w:tcPr>
          <w:p w14:paraId="49B6D7D8">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满分值</w:t>
            </w:r>
          </w:p>
        </w:tc>
      </w:tr>
      <w:tr w14:paraId="35671E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14:paraId="0B24CFF1">
            <w:pPr>
              <w:autoSpaceDE w:val="0"/>
              <w:autoSpaceDN w:val="0"/>
              <w:adjustRightInd w:val="0"/>
              <w:spacing w:line="400" w:lineRule="exact"/>
              <w:jc w:val="center"/>
              <w:rPr>
                <w:rFonts w:ascii="宋体" w:hAnsi="宋体" w:eastAsia="宋体" w:cs="宋体"/>
                <w:highlight w:val="none"/>
              </w:rPr>
            </w:pPr>
            <w:r>
              <w:rPr>
                <w:rFonts w:hint="eastAsia" w:ascii="宋体" w:hAnsi="宋体" w:eastAsia="宋体" w:cs="宋体"/>
                <w:kern w:val="0"/>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A210C88">
            <w:pPr>
              <w:snapToGrid w:val="0"/>
              <w:spacing w:line="360" w:lineRule="auto"/>
              <w:jc w:val="center"/>
              <w:rPr>
                <w:rFonts w:ascii="宋体" w:hAnsi="宋体" w:eastAsia="宋体" w:cs="宋体"/>
                <w:bCs/>
                <w:kern w:val="0"/>
                <w:sz w:val="24"/>
                <w:szCs w:val="21"/>
                <w:highlight w:val="none"/>
              </w:rPr>
            </w:pPr>
            <w:r>
              <w:rPr>
                <w:rFonts w:hint="eastAsia" w:ascii="宋体" w:hAnsi="宋体" w:eastAsia="宋体" w:cs="宋体"/>
                <w:szCs w:val="21"/>
                <w:highlight w:val="none"/>
                <w:lang w:val="zh-CN" w:bidi="ar"/>
              </w:rPr>
              <w:t>财务状况</w:t>
            </w:r>
          </w:p>
        </w:tc>
        <w:tc>
          <w:tcPr>
            <w:tcW w:w="3693" w:type="pct"/>
            <w:tcBorders>
              <w:top w:val="single" w:color="auto" w:sz="4" w:space="0"/>
              <w:left w:val="single" w:color="auto" w:sz="4" w:space="0"/>
              <w:bottom w:val="single" w:color="auto" w:sz="4" w:space="0"/>
              <w:right w:val="single" w:color="auto" w:sz="4" w:space="0"/>
            </w:tcBorders>
            <w:shd w:val="clear" w:color="auto" w:fill="auto"/>
            <w:vAlign w:val="center"/>
          </w:tcPr>
          <w:p w14:paraId="3097FD78">
            <w:pPr>
              <w:snapToGrid w:val="0"/>
              <w:spacing w:line="360" w:lineRule="auto"/>
              <w:rPr>
                <w:rFonts w:ascii="宋体" w:hAnsi="宋体" w:eastAsia="宋体" w:cs="宋体"/>
                <w:szCs w:val="21"/>
                <w:highlight w:val="none"/>
                <w:lang w:val="zh-CN"/>
              </w:rPr>
            </w:pPr>
            <w:r>
              <w:rPr>
                <w:rFonts w:hint="eastAsia" w:ascii="宋体" w:hAnsi="宋体" w:eastAsia="宋体" w:cs="宋体"/>
                <w:szCs w:val="21"/>
                <w:highlight w:val="none"/>
                <w:lang w:bidi="ar"/>
              </w:rPr>
              <w:t>投标人202</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年-202</w:t>
            </w:r>
            <w:r>
              <w:rPr>
                <w:rFonts w:hint="eastAsia" w:ascii="宋体" w:hAnsi="宋体" w:eastAsia="宋体" w:cs="宋体"/>
                <w:szCs w:val="21"/>
                <w:highlight w:val="none"/>
                <w:lang w:val="en-US" w:eastAsia="zh-CN" w:bidi="ar"/>
              </w:rPr>
              <w:t>4</w:t>
            </w:r>
            <w:r>
              <w:rPr>
                <w:rFonts w:hint="eastAsia" w:ascii="宋体" w:hAnsi="宋体" w:eastAsia="宋体" w:cs="宋体"/>
                <w:szCs w:val="21"/>
                <w:highlight w:val="none"/>
                <w:lang w:bidi="ar"/>
              </w:rPr>
              <w:t>年三个年度，每具有1个年度盈利的得1分，满分3分。</w:t>
            </w:r>
          </w:p>
          <w:p w14:paraId="38171B6C">
            <w:pPr>
              <w:snapToGrid w:val="0"/>
              <w:spacing w:line="360" w:lineRule="auto"/>
              <w:rPr>
                <w:rFonts w:ascii="宋体" w:hAnsi="宋体" w:eastAsia="宋体" w:cs="宋体"/>
                <w:b/>
                <w:kern w:val="0"/>
                <w:szCs w:val="21"/>
                <w:highlight w:val="none"/>
                <w:lang w:val="zh-CN"/>
              </w:rPr>
            </w:pPr>
            <w:r>
              <w:rPr>
                <w:rFonts w:hint="eastAsia" w:ascii="宋体" w:hAnsi="宋体" w:eastAsia="宋体" w:cs="宋体"/>
                <w:b/>
                <w:bCs/>
                <w:szCs w:val="21"/>
                <w:highlight w:val="none"/>
                <w:lang w:bidi="ar"/>
              </w:rPr>
              <w:t>备注：盈利指净利润为正数（非零、非负数），投标人应提供202</w:t>
            </w:r>
            <w:r>
              <w:rPr>
                <w:rFonts w:hint="eastAsia" w:ascii="宋体" w:hAnsi="宋体" w:eastAsia="宋体" w:cs="宋体"/>
                <w:b/>
                <w:bCs/>
                <w:szCs w:val="21"/>
                <w:highlight w:val="none"/>
                <w:lang w:val="en-US" w:eastAsia="zh-CN" w:bidi="ar"/>
              </w:rPr>
              <w:t>2</w:t>
            </w:r>
            <w:r>
              <w:rPr>
                <w:rFonts w:hint="eastAsia" w:ascii="宋体" w:hAnsi="宋体" w:eastAsia="宋体" w:cs="宋体"/>
                <w:b/>
                <w:bCs/>
                <w:szCs w:val="21"/>
                <w:highlight w:val="none"/>
                <w:lang w:bidi="ar"/>
              </w:rPr>
              <w:t>年、202</w:t>
            </w:r>
            <w:r>
              <w:rPr>
                <w:rFonts w:hint="eastAsia" w:ascii="宋体" w:hAnsi="宋体" w:eastAsia="宋体" w:cs="宋体"/>
                <w:b/>
                <w:bCs/>
                <w:szCs w:val="21"/>
                <w:highlight w:val="none"/>
                <w:lang w:val="en-US" w:eastAsia="zh-CN" w:bidi="ar"/>
              </w:rPr>
              <w:t>3</w:t>
            </w:r>
            <w:r>
              <w:rPr>
                <w:rFonts w:hint="eastAsia" w:ascii="宋体" w:hAnsi="宋体" w:eastAsia="宋体" w:cs="宋体"/>
                <w:b/>
                <w:bCs/>
                <w:szCs w:val="21"/>
                <w:highlight w:val="none"/>
                <w:lang w:bidi="ar"/>
              </w:rPr>
              <w:t>年、202</w:t>
            </w:r>
            <w:r>
              <w:rPr>
                <w:rFonts w:hint="eastAsia" w:ascii="宋体" w:hAnsi="宋体" w:eastAsia="宋体" w:cs="宋体"/>
                <w:b/>
                <w:bCs/>
                <w:szCs w:val="21"/>
                <w:highlight w:val="none"/>
                <w:lang w:val="en-US" w:eastAsia="zh-CN" w:bidi="ar"/>
              </w:rPr>
              <w:t>4</w:t>
            </w:r>
            <w:r>
              <w:rPr>
                <w:rFonts w:hint="eastAsia" w:ascii="宋体" w:hAnsi="宋体" w:eastAsia="宋体" w:cs="宋体"/>
                <w:b/>
                <w:bCs/>
                <w:szCs w:val="21"/>
                <w:highlight w:val="none"/>
                <w:lang w:bidi="ar"/>
              </w:rPr>
              <w:t>年三个年度的财务报表，净利润以对应年度经审计的财务报表为准，应提供经独立会计师事务所审计过的有效的财务报表</w:t>
            </w:r>
            <w:r>
              <w:rPr>
                <w:rFonts w:hint="eastAsia" w:ascii="宋体" w:hAnsi="宋体" w:eastAsia="宋体" w:cs="宋体"/>
                <w:b/>
                <w:bCs/>
                <w:szCs w:val="21"/>
                <w:highlight w:val="none"/>
                <w:lang w:val="en-US" w:eastAsia="zh-CN" w:bidi="ar"/>
              </w:rPr>
              <w:t>扫描件</w:t>
            </w:r>
            <w:r>
              <w:rPr>
                <w:rFonts w:hint="eastAsia" w:ascii="宋体" w:hAnsi="宋体" w:eastAsia="宋体" w:cs="宋体"/>
                <w:b/>
                <w:bCs/>
                <w:szCs w:val="21"/>
                <w:highlight w:val="none"/>
                <w:lang w:bidi="ar"/>
              </w:rPr>
              <w:t>；未提供前述财务报表或财务报表未能反映净利润的，不得分。</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7DA97F5C">
            <w:pPr>
              <w:snapToGrid w:val="0"/>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bidi="ar"/>
              </w:rPr>
              <w:t>3分</w:t>
            </w:r>
          </w:p>
        </w:tc>
      </w:tr>
      <w:tr w14:paraId="268703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323" w:type="pct"/>
            <w:tcBorders>
              <w:top w:val="single" w:color="auto" w:sz="4" w:space="0"/>
              <w:left w:val="single" w:color="auto" w:sz="4" w:space="0"/>
              <w:bottom w:val="single" w:color="auto" w:sz="4" w:space="0"/>
              <w:right w:val="single" w:color="auto" w:sz="4" w:space="0"/>
            </w:tcBorders>
            <w:shd w:val="clear" w:color="auto" w:fill="auto"/>
            <w:vAlign w:val="center"/>
          </w:tcPr>
          <w:p w14:paraId="52E717EB">
            <w:pPr>
              <w:autoSpaceDE w:val="0"/>
              <w:autoSpaceDN w:val="0"/>
              <w:adjustRightInd w:val="0"/>
              <w:spacing w:line="400" w:lineRule="exact"/>
              <w:jc w:val="center"/>
              <w:rPr>
                <w:rFonts w:ascii="宋体" w:hAnsi="宋体" w:eastAsia="宋体" w:cs="宋体"/>
                <w:kern w:val="0"/>
                <w:szCs w:val="21"/>
                <w:highlight w:val="none"/>
              </w:rPr>
            </w:pPr>
            <w:r>
              <w:rPr>
                <w:rFonts w:hint="eastAsia" w:ascii="宋体" w:hAnsi="宋体" w:eastAsia="宋体" w:cs="宋体"/>
                <w:kern w:val="0"/>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4467817B">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bidi="ar"/>
              </w:rPr>
              <w:t>业绩</w:t>
            </w:r>
          </w:p>
        </w:tc>
        <w:tc>
          <w:tcPr>
            <w:tcW w:w="3693" w:type="pct"/>
            <w:tcBorders>
              <w:top w:val="single" w:color="auto" w:sz="4" w:space="0"/>
              <w:left w:val="single" w:color="auto" w:sz="4" w:space="0"/>
              <w:bottom w:val="single" w:color="auto" w:sz="4" w:space="0"/>
              <w:right w:val="single" w:color="auto" w:sz="4" w:space="0"/>
            </w:tcBorders>
            <w:shd w:val="clear" w:color="auto" w:fill="auto"/>
            <w:vAlign w:val="center"/>
          </w:tcPr>
          <w:p w14:paraId="3085F94E">
            <w:pPr>
              <w:spacing w:line="360" w:lineRule="auto"/>
              <w:rPr>
                <w:rFonts w:ascii="宋体" w:hAnsi="宋体" w:eastAsia="宋体" w:cs="宋体"/>
                <w:szCs w:val="21"/>
                <w:highlight w:val="none"/>
              </w:rPr>
            </w:pPr>
            <w:r>
              <w:rPr>
                <w:rFonts w:hint="eastAsia" w:ascii="宋体" w:hAnsi="宋体" w:eastAsia="宋体" w:cs="宋体"/>
                <w:szCs w:val="21"/>
                <w:highlight w:val="none"/>
                <w:lang w:bidi="ar"/>
              </w:rPr>
              <w:t>投标人202</w:t>
            </w: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val="zh-CN" w:bidi="ar"/>
              </w:rPr>
              <w:t>年1月1日至今（合同签订时间为</w:t>
            </w:r>
            <w:r>
              <w:rPr>
                <w:rFonts w:hint="eastAsia" w:ascii="宋体" w:hAnsi="宋体" w:eastAsia="宋体" w:cs="宋体"/>
                <w:szCs w:val="21"/>
                <w:highlight w:val="none"/>
                <w:lang w:bidi="ar"/>
              </w:rPr>
              <w:t>202</w:t>
            </w: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val="zh-CN" w:bidi="ar"/>
              </w:rPr>
              <w:t>年1月1日</w:t>
            </w:r>
            <w:r>
              <w:rPr>
                <w:rFonts w:hint="eastAsia" w:ascii="宋体" w:hAnsi="宋体" w:eastAsia="宋体" w:cs="宋体"/>
                <w:szCs w:val="21"/>
                <w:highlight w:val="none"/>
                <w:lang w:bidi="ar"/>
              </w:rPr>
              <w:t>或以后</w:t>
            </w:r>
            <w:r>
              <w:rPr>
                <w:rFonts w:hint="eastAsia" w:ascii="宋体" w:hAnsi="宋体" w:eastAsia="宋体" w:cs="宋体"/>
                <w:szCs w:val="21"/>
                <w:highlight w:val="none"/>
                <w:lang w:val="zh-CN" w:bidi="ar"/>
              </w:rPr>
              <w:t>）承接过</w:t>
            </w:r>
            <w:r>
              <w:rPr>
                <w:rFonts w:hint="eastAsia" w:ascii="宋体" w:hAnsi="宋体" w:eastAsia="宋体" w:cs="宋体"/>
                <w:b/>
                <w:szCs w:val="21"/>
                <w:highlight w:val="none"/>
                <w:lang w:val="zh-CN" w:bidi="ar"/>
              </w:rPr>
              <w:t>清洁保洁服务</w:t>
            </w:r>
            <w:r>
              <w:rPr>
                <w:rFonts w:hint="eastAsia" w:ascii="宋体" w:hAnsi="宋体" w:eastAsia="宋体" w:cs="宋体"/>
                <w:b/>
                <w:szCs w:val="21"/>
                <w:highlight w:val="none"/>
                <w:lang w:bidi="ar"/>
              </w:rPr>
              <w:t>或</w:t>
            </w:r>
            <w:r>
              <w:rPr>
                <w:rFonts w:hint="eastAsia" w:ascii="宋体" w:hAnsi="宋体" w:eastAsia="宋体" w:cs="宋体"/>
                <w:b/>
                <w:szCs w:val="21"/>
                <w:highlight w:val="none"/>
                <w:lang w:val="zh-CN" w:bidi="ar"/>
              </w:rPr>
              <w:t>绿化养护服务项目</w:t>
            </w:r>
            <w:r>
              <w:rPr>
                <w:rFonts w:hint="eastAsia" w:ascii="宋体" w:hAnsi="宋体" w:eastAsia="宋体" w:cs="宋体"/>
                <w:szCs w:val="21"/>
                <w:highlight w:val="none"/>
                <w:lang w:val="zh-CN" w:bidi="ar"/>
              </w:rPr>
              <w:t>的业绩，</w:t>
            </w:r>
            <w:r>
              <w:rPr>
                <w:rFonts w:hint="eastAsia" w:ascii="宋体" w:hAnsi="宋体" w:eastAsia="宋体" w:cs="宋体"/>
                <w:szCs w:val="21"/>
                <w:highlight w:val="none"/>
                <w:lang w:bidi="ar"/>
              </w:rPr>
              <w:t>按下列情况评分，</w:t>
            </w:r>
            <w:r>
              <w:rPr>
                <w:rFonts w:hint="eastAsia" w:ascii="宋体" w:hAnsi="宋体" w:eastAsia="宋体" w:cs="宋体"/>
                <w:b/>
                <w:szCs w:val="21"/>
                <w:highlight w:val="none"/>
                <w:lang w:bidi="ar"/>
              </w:rPr>
              <w:t>本项业绩评审满分</w:t>
            </w:r>
            <w:r>
              <w:rPr>
                <w:rFonts w:hint="eastAsia" w:ascii="宋体" w:hAnsi="宋体" w:eastAsia="宋体" w:cs="宋体"/>
                <w:b/>
                <w:szCs w:val="21"/>
                <w:highlight w:val="none"/>
                <w:lang w:val="en-US" w:eastAsia="zh-CN" w:bidi="ar"/>
              </w:rPr>
              <w:t>2</w:t>
            </w:r>
            <w:r>
              <w:rPr>
                <w:rFonts w:hint="eastAsia" w:ascii="宋体" w:hAnsi="宋体" w:eastAsia="宋体" w:cs="宋体"/>
                <w:b/>
                <w:szCs w:val="21"/>
                <w:highlight w:val="none"/>
                <w:lang w:bidi="ar"/>
              </w:rPr>
              <w:t>7分</w:t>
            </w:r>
            <w:r>
              <w:rPr>
                <w:rFonts w:hint="eastAsia" w:ascii="宋体" w:hAnsi="宋体" w:eastAsia="宋体" w:cs="宋体"/>
                <w:szCs w:val="21"/>
                <w:highlight w:val="none"/>
                <w:lang w:bidi="ar"/>
              </w:rPr>
              <w:t>。</w:t>
            </w:r>
          </w:p>
          <w:p w14:paraId="37E4D783">
            <w:pPr>
              <w:spacing w:line="360" w:lineRule="auto"/>
              <w:rPr>
                <w:rFonts w:ascii="宋体" w:hAnsi="宋体" w:eastAsia="宋体" w:cs="宋体"/>
                <w:szCs w:val="21"/>
                <w:highlight w:val="none"/>
              </w:rPr>
            </w:pPr>
            <w:r>
              <w:rPr>
                <w:rFonts w:hint="eastAsia" w:ascii="宋体" w:hAnsi="宋体" w:eastAsia="宋体" w:cs="宋体"/>
                <w:szCs w:val="21"/>
                <w:highlight w:val="none"/>
                <w:lang w:bidi="ar"/>
              </w:rPr>
              <w:t>（1）单项合同金额≥</w:t>
            </w:r>
            <w:r>
              <w:rPr>
                <w:rFonts w:hint="eastAsia" w:ascii="宋体" w:hAnsi="宋体" w:eastAsia="宋体" w:cs="宋体"/>
                <w:szCs w:val="21"/>
                <w:highlight w:val="none"/>
                <w:lang w:val="en-US" w:eastAsia="zh-CN" w:bidi="ar"/>
              </w:rPr>
              <w:t>520</w:t>
            </w:r>
            <w:r>
              <w:rPr>
                <w:rFonts w:hint="eastAsia" w:ascii="宋体" w:hAnsi="宋体" w:eastAsia="宋体" w:cs="宋体"/>
                <w:szCs w:val="21"/>
                <w:highlight w:val="none"/>
                <w:lang w:bidi="ar"/>
              </w:rPr>
              <w:t>万元的前述业绩，每项得</w:t>
            </w:r>
            <w:r>
              <w:rPr>
                <w:rFonts w:hint="eastAsia" w:ascii="宋体" w:hAnsi="宋体" w:eastAsia="宋体" w:cs="宋体"/>
                <w:szCs w:val="21"/>
                <w:highlight w:val="none"/>
                <w:lang w:val="en-US" w:eastAsia="zh-CN" w:bidi="ar"/>
              </w:rPr>
              <w:t>4</w:t>
            </w:r>
            <w:r>
              <w:rPr>
                <w:rFonts w:hint="eastAsia" w:ascii="宋体" w:hAnsi="宋体" w:eastAsia="宋体" w:cs="宋体"/>
                <w:szCs w:val="21"/>
                <w:highlight w:val="none"/>
                <w:lang w:bidi="ar"/>
              </w:rPr>
              <w:t>分。</w:t>
            </w:r>
          </w:p>
          <w:p w14:paraId="3E7F1D8A">
            <w:pPr>
              <w:spacing w:line="360" w:lineRule="auto"/>
              <w:rPr>
                <w:rFonts w:ascii="宋体" w:hAnsi="宋体" w:eastAsia="宋体" w:cs="宋体"/>
                <w:szCs w:val="21"/>
                <w:highlight w:val="none"/>
              </w:rPr>
            </w:pPr>
            <w:r>
              <w:rPr>
                <w:rFonts w:hint="eastAsia" w:ascii="宋体" w:hAnsi="宋体" w:eastAsia="宋体" w:cs="宋体"/>
                <w:szCs w:val="21"/>
                <w:highlight w:val="none"/>
                <w:lang w:bidi="ar"/>
              </w:rPr>
              <w:t>（2）</w:t>
            </w:r>
            <w:r>
              <w:rPr>
                <w:rFonts w:hint="eastAsia" w:ascii="宋体" w:hAnsi="宋体" w:eastAsia="宋体" w:cs="宋体"/>
                <w:szCs w:val="21"/>
                <w:highlight w:val="none"/>
                <w:lang w:val="en-US" w:eastAsia="zh-CN" w:bidi="ar"/>
              </w:rPr>
              <w:t>350</w:t>
            </w:r>
            <w:r>
              <w:rPr>
                <w:rFonts w:hint="eastAsia" w:ascii="宋体" w:hAnsi="宋体" w:eastAsia="宋体" w:cs="宋体"/>
                <w:szCs w:val="21"/>
                <w:highlight w:val="none"/>
                <w:lang w:bidi="ar"/>
              </w:rPr>
              <w:t>万元≤单项合同金额＜</w:t>
            </w:r>
            <w:r>
              <w:rPr>
                <w:rFonts w:hint="eastAsia" w:ascii="宋体" w:hAnsi="宋体" w:eastAsia="宋体" w:cs="宋体"/>
                <w:szCs w:val="21"/>
                <w:highlight w:val="none"/>
                <w:lang w:val="en-US" w:eastAsia="zh-CN" w:bidi="ar"/>
              </w:rPr>
              <w:t>520</w:t>
            </w:r>
            <w:r>
              <w:rPr>
                <w:rFonts w:hint="eastAsia" w:ascii="宋体" w:hAnsi="宋体" w:eastAsia="宋体" w:cs="宋体"/>
                <w:szCs w:val="21"/>
                <w:highlight w:val="none"/>
                <w:lang w:bidi="ar"/>
              </w:rPr>
              <w:t>万元的前述业绩，每项得</w:t>
            </w: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分。</w:t>
            </w:r>
          </w:p>
          <w:p w14:paraId="0EBA7CDB">
            <w:pPr>
              <w:pStyle w:val="33"/>
              <w:widowControl w:val="0"/>
              <w:spacing w:before="0" w:beforeAutospacing="0" w:after="0" w:afterAutospacing="0" w:line="360" w:lineRule="auto"/>
              <w:jc w:val="both"/>
              <w:rPr>
                <w:rFonts w:hint="eastAsia" w:eastAsia="宋体" w:cs="宋体"/>
                <w:sz w:val="21"/>
                <w:szCs w:val="21"/>
                <w:highlight w:val="none"/>
                <w:lang w:bidi="ar"/>
              </w:rPr>
            </w:pPr>
            <w:r>
              <w:rPr>
                <w:rFonts w:hint="eastAsia" w:eastAsia="宋体" w:cs="宋体"/>
                <w:sz w:val="21"/>
                <w:szCs w:val="21"/>
                <w:highlight w:val="none"/>
                <w:lang w:bidi="ar"/>
              </w:rPr>
              <w:t>（3）</w:t>
            </w:r>
            <w:r>
              <w:rPr>
                <w:rFonts w:hint="eastAsia" w:eastAsia="宋体" w:cs="宋体"/>
                <w:sz w:val="21"/>
                <w:szCs w:val="21"/>
                <w:highlight w:val="none"/>
                <w:lang w:val="en-US" w:eastAsia="zh-CN" w:bidi="ar"/>
              </w:rPr>
              <w:t>230</w:t>
            </w:r>
            <w:r>
              <w:rPr>
                <w:rFonts w:hint="eastAsia" w:eastAsia="宋体" w:cs="宋体"/>
                <w:sz w:val="21"/>
                <w:szCs w:val="21"/>
                <w:highlight w:val="none"/>
                <w:lang w:bidi="ar"/>
              </w:rPr>
              <w:t>万元≤单项合同金额＜</w:t>
            </w:r>
            <w:r>
              <w:rPr>
                <w:rFonts w:hint="eastAsia" w:eastAsia="宋体" w:cs="宋体"/>
                <w:sz w:val="21"/>
                <w:szCs w:val="21"/>
                <w:highlight w:val="none"/>
                <w:lang w:val="en-US" w:eastAsia="zh-CN" w:bidi="ar"/>
              </w:rPr>
              <w:t>350</w:t>
            </w:r>
            <w:r>
              <w:rPr>
                <w:rFonts w:hint="eastAsia" w:eastAsia="宋体" w:cs="宋体"/>
                <w:sz w:val="21"/>
                <w:szCs w:val="21"/>
                <w:highlight w:val="none"/>
                <w:lang w:bidi="ar"/>
              </w:rPr>
              <w:t>万元的前述业绩，每项得</w:t>
            </w:r>
            <w:r>
              <w:rPr>
                <w:rFonts w:hint="eastAsia" w:eastAsia="宋体" w:cs="宋体"/>
                <w:sz w:val="21"/>
                <w:szCs w:val="21"/>
                <w:highlight w:val="none"/>
                <w:lang w:val="en-US" w:eastAsia="zh-CN" w:bidi="ar"/>
              </w:rPr>
              <w:t>2</w:t>
            </w:r>
            <w:r>
              <w:rPr>
                <w:rFonts w:hint="eastAsia" w:eastAsia="宋体" w:cs="宋体"/>
                <w:sz w:val="21"/>
                <w:szCs w:val="21"/>
                <w:highlight w:val="none"/>
                <w:lang w:bidi="ar"/>
              </w:rPr>
              <w:t>分，</w:t>
            </w:r>
            <w:r>
              <w:rPr>
                <w:rFonts w:hint="eastAsia" w:eastAsia="宋体" w:cs="宋体"/>
                <w:b/>
                <w:sz w:val="21"/>
                <w:szCs w:val="21"/>
                <w:highlight w:val="none"/>
                <w:lang w:bidi="ar"/>
              </w:rPr>
              <w:t>本子项满分</w:t>
            </w:r>
            <w:r>
              <w:rPr>
                <w:rFonts w:hint="eastAsia" w:eastAsia="宋体" w:cs="宋体"/>
                <w:b/>
                <w:sz w:val="21"/>
                <w:szCs w:val="21"/>
                <w:highlight w:val="none"/>
                <w:lang w:val="en-US" w:eastAsia="zh-CN" w:bidi="ar"/>
              </w:rPr>
              <w:t>10</w:t>
            </w:r>
            <w:r>
              <w:rPr>
                <w:rFonts w:hint="eastAsia" w:eastAsia="宋体" w:cs="宋体"/>
                <w:b/>
                <w:sz w:val="21"/>
                <w:szCs w:val="21"/>
                <w:highlight w:val="none"/>
                <w:lang w:bidi="ar"/>
              </w:rPr>
              <w:t>分</w:t>
            </w:r>
            <w:r>
              <w:rPr>
                <w:rFonts w:hint="eastAsia" w:eastAsia="宋体" w:cs="宋体"/>
                <w:sz w:val="21"/>
                <w:szCs w:val="21"/>
                <w:highlight w:val="none"/>
                <w:lang w:bidi="ar"/>
              </w:rPr>
              <w:t>。</w:t>
            </w:r>
          </w:p>
          <w:p w14:paraId="6EE0A4E2">
            <w:pPr>
              <w:pStyle w:val="33"/>
              <w:widowControl w:val="0"/>
              <w:spacing w:before="0" w:beforeAutospacing="0" w:after="0" w:afterAutospacing="0" w:line="360" w:lineRule="auto"/>
              <w:jc w:val="both"/>
              <w:rPr>
                <w:rFonts w:cs="宋体"/>
                <w:b/>
                <w:szCs w:val="21"/>
                <w:highlight w:val="none"/>
                <w:lang w:val="zh-CN"/>
              </w:rPr>
            </w:pPr>
            <w:r>
              <w:rPr>
                <w:rFonts w:hint="eastAsia" w:eastAsia="宋体" w:cs="宋体"/>
                <w:b/>
                <w:sz w:val="21"/>
                <w:szCs w:val="21"/>
                <w:highlight w:val="none"/>
                <w:lang w:val="zh-CN" w:bidi="ar"/>
              </w:rPr>
              <w:t>备注：</w:t>
            </w:r>
          </w:p>
          <w:p w14:paraId="604F9205">
            <w:pPr>
              <w:spacing w:line="360" w:lineRule="auto"/>
              <w:rPr>
                <w:rFonts w:ascii="宋体" w:hAnsi="宋体" w:eastAsia="宋体" w:cs="宋体"/>
                <w:b/>
                <w:szCs w:val="21"/>
                <w:highlight w:val="none"/>
              </w:rPr>
            </w:pPr>
            <w:r>
              <w:rPr>
                <w:rFonts w:hint="eastAsia" w:ascii="宋体" w:hAnsi="宋体" w:eastAsia="宋体" w:cs="宋体"/>
                <w:b/>
                <w:szCs w:val="21"/>
                <w:highlight w:val="none"/>
                <w:lang w:bidi="ar"/>
              </w:rPr>
              <w:t>1）业绩须附合同</w:t>
            </w:r>
            <w:r>
              <w:rPr>
                <w:rFonts w:hint="eastAsia" w:ascii="宋体" w:hAnsi="宋体" w:eastAsia="宋体" w:cs="宋体"/>
                <w:b/>
                <w:szCs w:val="21"/>
                <w:highlight w:val="none"/>
                <w:lang w:val="en-US" w:eastAsia="zh-CN" w:bidi="ar"/>
              </w:rPr>
              <w:t>扫描件</w:t>
            </w:r>
            <w:r>
              <w:rPr>
                <w:rFonts w:hint="eastAsia" w:ascii="宋体" w:hAnsi="宋体" w:eastAsia="宋体" w:cs="宋体"/>
                <w:b/>
                <w:szCs w:val="21"/>
                <w:highlight w:val="none"/>
                <w:lang w:bidi="ar"/>
              </w:rPr>
              <w:t>（合同服务提供方为投标人）及</w:t>
            </w:r>
            <w:r>
              <w:rPr>
                <w:rFonts w:hint="eastAsia" w:ascii="宋体" w:hAnsi="宋体" w:eastAsia="宋体" w:cs="宋体"/>
                <w:b/>
                <w:bCs/>
                <w:color w:val="auto"/>
                <w:szCs w:val="24"/>
                <w:highlight w:val="none"/>
                <w:lang w:val="zh-CN" w:eastAsia="zh-CN"/>
              </w:rPr>
              <w:t>已</w:t>
            </w:r>
            <w:r>
              <w:rPr>
                <w:rFonts w:hint="eastAsia" w:ascii="宋体" w:hAnsi="宋体" w:eastAsia="宋体" w:cs="宋体"/>
                <w:b/>
                <w:bCs/>
                <w:color w:val="auto"/>
                <w:szCs w:val="24"/>
                <w:highlight w:val="none"/>
                <w:lang w:val="en-US" w:eastAsia="zh-CN"/>
              </w:rPr>
              <w:t>服务</w:t>
            </w:r>
            <w:r>
              <w:rPr>
                <w:rFonts w:hint="eastAsia" w:ascii="宋体" w:hAnsi="宋体" w:eastAsia="宋体" w:cs="宋体"/>
                <w:b/>
                <w:bCs/>
                <w:color w:val="auto"/>
                <w:szCs w:val="24"/>
                <w:highlight w:val="none"/>
                <w:lang w:val="zh-CN" w:eastAsia="zh-CN"/>
              </w:rPr>
              <w:t>的</w:t>
            </w:r>
            <w:r>
              <w:rPr>
                <w:rFonts w:hint="eastAsia" w:ascii="宋体" w:hAnsi="宋体" w:eastAsia="宋体" w:cs="宋体"/>
                <w:b/>
                <w:bCs/>
                <w:color w:val="auto"/>
                <w:szCs w:val="24"/>
                <w:highlight w:val="none"/>
                <w:lang w:val="zh-CN"/>
              </w:rPr>
              <w:t>任意一张发票</w:t>
            </w:r>
            <w:r>
              <w:rPr>
                <w:rFonts w:hint="eastAsia" w:ascii="宋体" w:hAnsi="宋体" w:eastAsia="宋体" w:cs="宋体"/>
                <w:b/>
                <w:bCs/>
                <w:color w:val="auto"/>
                <w:szCs w:val="24"/>
                <w:highlight w:val="none"/>
                <w:lang w:val="en-US" w:eastAsia="zh-CN"/>
              </w:rPr>
              <w:t>扫描</w:t>
            </w:r>
            <w:r>
              <w:rPr>
                <w:rFonts w:hint="eastAsia" w:ascii="宋体" w:hAnsi="宋体" w:eastAsia="宋体" w:cs="宋体"/>
                <w:b/>
                <w:bCs/>
                <w:color w:val="auto"/>
                <w:szCs w:val="24"/>
                <w:highlight w:val="none"/>
                <w:lang w:val="zh-CN" w:eastAsia="zh-CN"/>
              </w:rPr>
              <w:t>件</w:t>
            </w:r>
            <w:r>
              <w:rPr>
                <w:rFonts w:hint="eastAsia" w:ascii="宋体" w:hAnsi="宋体" w:eastAsia="宋体" w:cs="宋体"/>
                <w:b/>
                <w:bCs/>
                <w:color w:val="auto"/>
                <w:szCs w:val="24"/>
                <w:highlight w:val="none"/>
                <w:lang w:val="zh-CN"/>
              </w:rPr>
              <w:t>(发票开具日期须在本项目招标公告发布之日前)</w:t>
            </w:r>
            <w:r>
              <w:rPr>
                <w:rFonts w:hint="eastAsia" w:ascii="宋体" w:hAnsi="宋体" w:eastAsia="宋体" w:cs="宋体"/>
                <w:b/>
                <w:szCs w:val="21"/>
                <w:highlight w:val="none"/>
                <w:lang w:bidi="ar"/>
              </w:rPr>
              <w:t>，否则不得分；</w:t>
            </w:r>
          </w:p>
          <w:p w14:paraId="558FC3E9">
            <w:pPr>
              <w:spacing w:line="360" w:lineRule="auto"/>
              <w:rPr>
                <w:rFonts w:ascii="宋体" w:hAnsi="宋体" w:eastAsia="宋体" w:cs="宋体"/>
                <w:b/>
                <w:szCs w:val="21"/>
                <w:highlight w:val="none"/>
              </w:rPr>
            </w:pPr>
            <w:r>
              <w:rPr>
                <w:rFonts w:hint="eastAsia" w:ascii="宋体" w:hAnsi="宋体" w:eastAsia="宋体" w:cs="宋体"/>
                <w:b/>
                <w:szCs w:val="21"/>
                <w:highlight w:val="none"/>
                <w:lang w:bidi="ar"/>
              </w:rPr>
              <w:t>2）若合同及证明文件无法反映评分条件（合同签订日期为202</w:t>
            </w:r>
            <w:r>
              <w:rPr>
                <w:rFonts w:hint="eastAsia" w:ascii="宋体" w:hAnsi="宋体" w:eastAsia="宋体" w:cs="宋体"/>
                <w:b/>
                <w:szCs w:val="21"/>
                <w:highlight w:val="none"/>
                <w:lang w:val="en-US" w:eastAsia="zh-CN" w:bidi="ar"/>
              </w:rPr>
              <w:t>3</w:t>
            </w:r>
            <w:r>
              <w:rPr>
                <w:rFonts w:hint="eastAsia" w:ascii="宋体" w:hAnsi="宋体" w:eastAsia="宋体" w:cs="宋体"/>
                <w:b/>
                <w:szCs w:val="21"/>
                <w:highlight w:val="none"/>
                <w:lang w:bidi="ar"/>
              </w:rPr>
              <w:t>年1月1日或以后、合同服务内容必须具有清洁保洁服务或绿化养护服务、合同金额）的，还需提供服务购买方出具的书面补充说明文件扫描件作为辅助证明（补充说明</w:t>
            </w:r>
            <w:r>
              <w:rPr>
                <w:rFonts w:hint="eastAsia" w:ascii="宋体" w:hAnsi="宋体" w:eastAsia="宋体" w:cs="宋体"/>
                <w:b/>
                <w:szCs w:val="21"/>
                <w:highlight w:val="none"/>
                <w:lang w:val="en-US" w:eastAsia="zh-CN" w:bidi="ar"/>
              </w:rPr>
              <w:t>文件</w:t>
            </w:r>
            <w:r>
              <w:rPr>
                <w:rFonts w:hint="eastAsia" w:ascii="宋体" w:hAnsi="宋体" w:eastAsia="宋体" w:cs="宋体"/>
                <w:b/>
                <w:szCs w:val="21"/>
                <w:highlight w:val="none"/>
                <w:lang w:bidi="ar"/>
              </w:rPr>
              <w:t>扫描件能显示服务购买方公章），否则不得分；</w:t>
            </w:r>
          </w:p>
          <w:p w14:paraId="4DE8D26A">
            <w:pPr>
              <w:tabs>
                <w:tab w:val="left" w:pos="134"/>
              </w:tabs>
              <w:spacing w:line="360" w:lineRule="auto"/>
              <w:rPr>
                <w:rFonts w:ascii="宋体" w:hAnsi="宋体" w:eastAsia="宋体" w:cs="宋体"/>
                <w:b/>
                <w:szCs w:val="21"/>
                <w:highlight w:val="none"/>
              </w:rPr>
            </w:pPr>
            <w:r>
              <w:rPr>
                <w:rFonts w:hint="eastAsia" w:ascii="宋体" w:hAnsi="宋体" w:eastAsia="宋体" w:cs="宋体"/>
                <w:b/>
                <w:szCs w:val="21"/>
                <w:highlight w:val="none"/>
                <w:lang w:bidi="ar"/>
              </w:rPr>
              <w:t>3）投标人符合评审细则的同一个项目业绩同时包含清洁保洁服务</w:t>
            </w:r>
            <w:r>
              <w:rPr>
                <w:rFonts w:hint="eastAsia" w:ascii="宋体" w:hAnsi="宋体" w:eastAsia="宋体" w:cs="宋体"/>
                <w:b/>
                <w:szCs w:val="21"/>
                <w:highlight w:val="none"/>
                <w:lang w:eastAsia="zh-CN" w:bidi="ar"/>
              </w:rPr>
              <w:t>、</w:t>
            </w:r>
            <w:r>
              <w:rPr>
                <w:rFonts w:hint="eastAsia" w:ascii="宋体" w:hAnsi="宋体" w:eastAsia="宋体" w:cs="宋体"/>
                <w:b/>
                <w:szCs w:val="21"/>
                <w:highlight w:val="none"/>
                <w:lang w:bidi="ar"/>
              </w:rPr>
              <w:t>绿化养护服务时，只按其中一类业绩计分（即不重复计分）；</w:t>
            </w:r>
          </w:p>
          <w:p w14:paraId="7B802214">
            <w:pPr>
              <w:tabs>
                <w:tab w:val="left" w:pos="134"/>
              </w:tabs>
              <w:spacing w:line="360" w:lineRule="auto"/>
              <w:rPr>
                <w:rFonts w:ascii="宋体" w:hAnsi="宋体" w:eastAsia="宋体" w:cs="宋体"/>
                <w:b/>
                <w:szCs w:val="21"/>
                <w:highlight w:val="none"/>
              </w:rPr>
            </w:pPr>
            <w:r>
              <w:rPr>
                <w:rFonts w:hint="eastAsia" w:ascii="宋体" w:hAnsi="宋体" w:eastAsia="宋体" w:cs="宋体"/>
                <w:b/>
                <w:szCs w:val="21"/>
                <w:highlight w:val="none"/>
                <w:lang w:bidi="ar"/>
              </w:rPr>
              <w:t>4）若业绩为框架式协议或资格入围</w:t>
            </w:r>
            <w:r>
              <w:rPr>
                <w:rFonts w:hint="eastAsia" w:ascii="宋体" w:hAnsi="宋体" w:eastAsia="宋体" w:cs="宋体"/>
                <w:b/>
                <w:szCs w:val="21"/>
                <w:highlight w:val="none"/>
                <w:lang w:val="en-US" w:eastAsia="zh-CN" w:bidi="ar"/>
              </w:rPr>
              <w:t>等</w:t>
            </w:r>
            <w:r>
              <w:rPr>
                <w:rFonts w:hint="eastAsia" w:ascii="宋体" w:hAnsi="宋体" w:eastAsia="宋体" w:cs="宋体"/>
                <w:b/>
                <w:szCs w:val="21"/>
                <w:highlight w:val="none"/>
                <w:lang w:bidi="ar"/>
              </w:rPr>
              <w:t>无明确金额的合同，必须同时提供合同期限内已服务发票金额统计表和发票扫描件；</w:t>
            </w:r>
          </w:p>
          <w:p w14:paraId="034EC42C">
            <w:pPr>
              <w:tabs>
                <w:tab w:val="left" w:pos="134"/>
              </w:tabs>
              <w:spacing w:line="360" w:lineRule="auto"/>
              <w:rPr>
                <w:rFonts w:ascii="宋体" w:hAnsi="宋体" w:eastAsia="宋体" w:cs="宋体"/>
                <w:b/>
                <w:kern w:val="0"/>
                <w:szCs w:val="21"/>
                <w:highlight w:val="none"/>
              </w:rPr>
            </w:pPr>
            <w:r>
              <w:rPr>
                <w:rFonts w:hint="eastAsia" w:ascii="宋体" w:hAnsi="宋体" w:eastAsia="宋体" w:cs="宋体"/>
                <w:b/>
                <w:szCs w:val="21"/>
                <w:highlight w:val="none"/>
                <w:lang w:bidi="ar"/>
              </w:rPr>
              <w:t>5）未按上述要求提供证明材料的业绩，或所附材料无法证明填报项目符合本项评分要求的业绩，在评标时将不予考虑。</w:t>
            </w:r>
          </w:p>
        </w:tc>
        <w:tc>
          <w:tcPr>
            <w:tcW w:w="436" w:type="pct"/>
            <w:tcBorders>
              <w:top w:val="single" w:color="auto" w:sz="4" w:space="0"/>
              <w:left w:val="single" w:color="auto" w:sz="4" w:space="0"/>
              <w:bottom w:val="single" w:color="auto" w:sz="4" w:space="0"/>
              <w:right w:val="single" w:color="auto" w:sz="4" w:space="0"/>
            </w:tcBorders>
            <w:shd w:val="clear" w:color="auto" w:fill="auto"/>
            <w:vAlign w:val="center"/>
          </w:tcPr>
          <w:p w14:paraId="77DA6082">
            <w:pPr>
              <w:spacing w:line="360" w:lineRule="auto"/>
              <w:jc w:val="center"/>
              <w:rPr>
                <w:rFonts w:ascii="宋体" w:hAnsi="宋体" w:eastAsia="宋体" w:cs="宋体"/>
                <w:szCs w:val="24"/>
                <w:highlight w:val="none"/>
              </w:rPr>
            </w:pP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7分</w:t>
            </w:r>
          </w:p>
        </w:tc>
      </w:tr>
    </w:tbl>
    <w:p w14:paraId="5143008E">
      <w:pPr>
        <w:autoSpaceDE w:val="0"/>
        <w:autoSpaceDN w:val="0"/>
        <w:adjustRightInd w:val="0"/>
        <w:ind w:right="-26" w:firstLine="480"/>
        <w:jc w:val="center"/>
        <w:rPr>
          <w:rFonts w:hint="eastAsia" w:ascii="宋体" w:hAnsi="宋体" w:eastAsia="宋体" w:cs="宋体"/>
          <w:b/>
          <w:bCs/>
          <w:color w:val="auto"/>
          <w:kern w:val="0"/>
          <w:sz w:val="24"/>
          <w:szCs w:val="24"/>
          <w:highlight w:val="none"/>
        </w:rPr>
      </w:pPr>
    </w:p>
    <w:p w14:paraId="24174A5D">
      <w:pPr>
        <w:tabs>
          <w:tab w:val="left" w:pos="585"/>
        </w:tabs>
        <w:autoSpaceDE w:val="0"/>
        <w:autoSpaceDN w:val="0"/>
        <w:adjustRightInd w:val="0"/>
        <w:spacing w:line="360" w:lineRule="auto"/>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w:t>
      </w:r>
      <w:r>
        <w:rPr>
          <w:rFonts w:hint="eastAsia" w:ascii="宋体" w:hAnsi="宋体" w:eastAsia="宋体" w:cs="宋体"/>
          <w:b/>
          <w:color w:val="auto"/>
          <w:szCs w:val="24"/>
          <w:highlight w:val="none"/>
        </w:rPr>
        <w:t>2）</w:t>
      </w:r>
      <w:r>
        <w:rPr>
          <w:rFonts w:hint="eastAsia" w:ascii="宋体" w:hAnsi="宋体" w:eastAsia="宋体" w:cs="宋体"/>
          <w:b/>
          <w:color w:val="auto"/>
          <w:szCs w:val="24"/>
          <w:highlight w:val="none"/>
          <w:lang w:val="zh-CN"/>
        </w:rPr>
        <w:t>技术：</w:t>
      </w:r>
      <w:r>
        <w:rPr>
          <w:rFonts w:hint="eastAsia" w:ascii="宋体" w:hAnsi="宋体" w:eastAsia="宋体" w:cs="宋体"/>
          <w:b/>
          <w:color w:val="auto"/>
          <w:szCs w:val="21"/>
          <w:highlight w:val="none"/>
          <w:lang w:val="zh-CN"/>
        </w:rPr>
        <w:t>总分</w:t>
      </w:r>
      <w:r>
        <w:rPr>
          <w:rFonts w:hint="eastAsia" w:ascii="宋体" w:hAnsi="宋体" w:eastAsia="宋体" w:cs="宋体"/>
          <w:b/>
          <w:color w:val="auto"/>
          <w:szCs w:val="21"/>
          <w:highlight w:val="none"/>
          <w:lang w:val="en-US" w:eastAsia="zh-CN"/>
        </w:rPr>
        <w:t>40</w:t>
      </w:r>
      <w:r>
        <w:rPr>
          <w:rFonts w:hint="eastAsia" w:ascii="宋体" w:hAnsi="宋体" w:eastAsia="宋体" w:cs="宋体"/>
          <w:b/>
          <w:color w:val="auto"/>
          <w:szCs w:val="21"/>
          <w:highlight w:val="none"/>
          <w:lang w:val="zh-CN"/>
        </w:rPr>
        <w:t>分</w:t>
      </w:r>
      <w:bookmarkEnd w:id="748"/>
    </w:p>
    <w:tbl>
      <w:tblPr>
        <w:tblStyle w:val="37"/>
        <w:tblW w:w="499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2"/>
        <w:gridCol w:w="1056"/>
        <w:gridCol w:w="7143"/>
        <w:gridCol w:w="845"/>
      </w:tblGrid>
      <w:tr w14:paraId="1FB54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5A6E46A9">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序号</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3C20B8C0">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szCs w:val="21"/>
                <w:highlight w:val="none"/>
                <w:lang w:val="zh-CN" w:bidi="ar"/>
              </w:rPr>
              <w:t>评审内容</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14:paraId="542218A1">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评审细则</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29327F0A">
            <w:pPr>
              <w:autoSpaceDE w:val="0"/>
              <w:autoSpaceDN w:val="0"/>
              <w:adjustRightInd w:val="0"/>
              <w:spacing w:line="400" w:lineRule="exact"/>
              <w:jc w:val="center"/>
              <w:rPr>
                <w:rFonts w:ascii="宋体" w:hAnsi="宋体" w:eastAsia="宋体" w:cs="宋体"/>
                <w:b/>
                <w:kern w:val="0"/>
                <w:szCs w:val="21"/>
                <w:highlight w:val="none"/>
              </w:rPr>
            </w:pPr>
            <w:r>
              <w:rPr>
                <w:rFonts w:hint="eastAsia" w:ascii="宋体" w:hAnsi="宋体" w:eastAsia="宋体" w:cs="宋体"/>
                <w:b/>
                <w:kern w:val="0"/>
                <w:szCs w:val="21"/>
                <w:highlight w:val="none"/>
                <w:lang w:bidi="ar"/>
              </w:rPr>
              <w:t>满分值</w:t>
            </w:r>
          </w:p>
        </w:tc>
      </w:tr>
      <w:tr w14:paraId="06FF62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64CB32F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highlight w:val="none"/>
              </w:rPr>
            </w:pPr>
            <w:r>
              <w:rPr>
                <w:rFonts w:hint="eastAsia" w:ascii="宋体" w:hAnsi="宋体" w:eastAsia="宋体" w:cs="宋体"/>
                <w:kern w:val="0"/>
                <w:szCs w:val="21"/>
                <w:highlight w:val="none"/>
                <w:lang w:bidi="ar"/>
              </w:rPr>
              <w:t>1</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429F756">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val="zh-CN" w:bidi="ar"/>
              </w:rPr>
              <w:t>用户需求的响应程度</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14:paraId="7F878A9B">
            <w:pPr>
              <w:spacing w:line="360" w:lineRule="auto"/>
              <w:rPr>
                <w:rFonts w:ascii="宋体" w:hAnsi="宋体" w:eastAsia="宋体" w:cs="宋体"/>
                <w:kern w:val="0"/>
                <w:szCs w:val="21"/>
                <w:highlight w:val="none"/>
              </w:rPr>
            </w:pPr>
            <w:r>
              <w:rPr>
                <w:rFonts w:hint="eastAsia" w:ascii="宋体" w:hAnsi="宋体" w:eastAsia="宋体" w:cs="宋体"/>
                <w:szCs w:val="21"/>
                <w:highlight w:val="none"/>
                <w:lang w:val="zh-CN" w:bidi="ar"/>
              </w:rPr>
              <w:t>对用户需求偏离表的偏离情况进行评审计分，完全满足用户需求书的要求得满分；每一处负偏离，扣2分；同时参照其投标文件中技术资料内容进行对比，每发现一处投标人填写为无偏离或正偏离，但评标委员会评审认定其为负偏离的，每处扣</w:t>
            </w: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val="zh-CN" w:bidi="ar"/>
              </w:rPr>
              <w:t>分；本项最低分为0分。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40121360">
            <w:pPr>
              <w:spacing w:line="360" w:lineRule="auto"/>
              <w:jc w:val="center"/>
              <w:rPr>
                <w:rFonts w:ascii="宋体" w:hAnsi="宋体" w:eastAsia="宋体" w:cs="宋体"/>
                <w:kern w:val="0"/>
                <w:szCs w:val="21"/>
                <w:highlight w:val="none"/>
              </w:rPr>
            </w:pPr>
            <w:r>
              <w:rPr>
                <w:rFonts w:hint="default" w:ascii="宋体" w:hAnsi="宋体" w:eastAsia="宋体" w:cs="宋体"/>
                <w:szCs w:val="21"/>
                <w:highlight w:val="none"/>
                <w:lang w:val="en-US" w:eastAsia="zh-CN" w:bidi="ar"/>
              </w:rPr>
              <w:t>6</w:t>
            </w:r>
            <w:r>
              <w:rPr>
                <w:rFonts w:hint="eastAsia" w:ascii="宋体" w:hAnsi="宋体" w:eastAsia="宋体" w:cs="宋体"/>
                <w:szCs w:val="21"/>
                <w:highlight w:val="none"/>
                <w:lang w:bidi="ar"/>
              </w:rPr>
              <w:t>分</w:t>
            </w:r>
          </w:p>
        </w:tc>
      </w:tr>
      <w:tr w14:paraId="7AEEE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62D02DF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rPr>
            </w:pPr>
            <w:r>
              <w:rPr>
                <w:rFonts w:hint="eastAsia" w:ascii="宋体" w:hAnsi="宋体" w:eastAsia="宋体" w:cs="宋体"/>
                <w:kern w:val="0"/>
                <w:szCs w:val="21"/>
                <w:highlight w:val="none"/>
                <w:lang w:bidi="ar"/>
              </w:rPr>
              <w:t>2</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0BF40DB7">
            <w:pPr>
              <w:spacing w:line="360" w:lineRule="auto"/>
              <w:jc w:val="center"/>
              <w:rPr>
                <w:rFonts w:ascii="宋体" w:hAnsi="宋体" w:eastAsia="宋体" w:cs="宋体"/>
                <w:szCs w:val="21"/>
                <w:highlight w:val="none"/>
                <w:lang w:val="zh-CN"/>
              </w:rPr>
            </w:pPr>
            <w:r>
              <w:rPr>
                <w:rFonts w:ascii="宋体" w:hAnsi="宋体" w:eastAsia="宋体" w:cs="宋体"/>
                <w:szCs w:val="21"/>
                <w:highlight w:val="none"/>
                <w:lang w:val="zh-CN"/>
              </w:rPr>
              <w:t>拟投入的设备情况</w:t>
            </w:r>
          </w:p>
        </w:tc>
        <w:tc>
          <w:tcPr>
            <w:tcW w:w="3694" w:type="pct"/>
            <w:tcBorders>
              <w:top w:val="single" w:color="auto" w:sz="4" w:space="0"/>
              <w:left w:val="single" w:color="auto" w:sz="4" w:space="0"/>
              <w:bottom w:val="single" w:color="auto" w:sz="4" w:space="0"/>
              <w:right w:val="single" w:color="auto" w:sz="4" w:space="0"/>
            </w:tcBorders>
            <w:shd w:val="clear" w:color="auto" w:fill="auto"/>
          </w:tcPr>
          <w:p w14:paraId="4E633609">
            <w:pPr>
              <w:spacing w:line="360" w:lineRule="auto"/>
              <w:rPr>
                <w:rFonts w:hint="eastAsia" w:ascii="宋体" w:hAnsi="宋体" w:eastAsia="宋体" w:cs="宋体"/>
                <w:bCs/>
                <w:szCs w:val="21"/>
                <w:highlight w:val="none"/>
                <w:lang w:val="en-US" w:eastAsia="zh-CN" w:bidi="ar"/>
              </w:rPr>
            </w:pPr>
            <w:r>
              <w:rPr>
                <w:rFonts w:hint="eastAsia" w:ascii="宋体" w:hAnsi="宋体" w:eastAsia="宋体" w:cs="宋体"/>
                <w:bCs/>
                <w:szCs w:val="21"/>
                <w:highlight w:val="none"/>
                <w:lang w:val="en-US" w:eastAsia="zh-CN" w:bidi="ar"/>
              </w:rPr>
              <w:t>1、拟为本项目投入的花、草、树木修剪设备（如剪草机、剪灌机等）数量累计达到5台的，得1分；在上述基础上，每增加投入1台的加0.5分，本子项满分3分。</w:t>
            </w:r>
          </w:p>
          <w:p w14:paraId="155EAC49">
            <w:pPr>
              <w:spacing w:line="360" w:lineRule="auto"/>
              <w:rPr>
                <w:rFonts w:hint="eastAsia" w:ascii="宋体" w:hAnsi="宋体" w:eastAsia="宋体" w:cs="宋体"/>
                <w:bCs/>
                <w:szCs w:val="21"/>
                <w:highlight w:val="none"/>
                <w:lang w:val="en-US" w:eastAsia="zh-CN" w:bidi="ar"/>
              </w:rPr>
            </w:pPr>
            <w:r>
              <w:rPr>
                <w:rFonts w:hint="eastAsia" w:ascii="宋体" w:hAnsi="宋体" w:eastAsia="宋体" w:cs="宋体"/>
                <w:bCs/>
                <w:szCs w:val="21"/>
                <w:highlight w:val="none"/>
                <w:lang w:val="en-US" w:eastAsia="zh-CN" w:bidi="ar"/>
              </w:rPr>
              <w:t>2、拟为本项目投入的洗地设备（如高压清洗机、清洗车等）数量累计达到5台的，得1分；在上述基础上，每增加投入1台的加0.5分，本子项满分3分。</w:t>
            </w:r>
          </w:p>
          <w:p w14:paraId="5E1D4E45">
            <w:pPr>
              <w:spacing w:line="360" w:lineRule="auto"/>
              <w:rPr>
                <w:rFonts w:hint="default" w:ascii="宋体" w:hAnsi="宋体" w:eastAsia="宋体" w:cs="宋体"/>
                <w:bCs/>
                <w:szCs w:val="21"/>
                <w:highlight w:val="none"/>
                <w:lang w:val="en-US" w:eastAsia="zh-CN" w:bidi="ar"/>
              </w:rPr>
            </w:pPr>
            <w:r>
              <w:rPr>
                <w:rFonts w:hint="eastAsia" w:ascii="宋体" w:hAnsi="宋体" w:eastAsia="宋体" w:cs="宋体"/>
                <w:bCs/>
                <w:szCs w:val="21"/>
                <w:highlight w:val="none"/>
                <w:lang w:val="en-US" w:eastAsia="zh-CN" w:bidi="ar"/>
              </w:rPr>
              <w:t>3、拟为本项目投入的密封式垃圾清运车（不限吨数）数量累计达到3台的得1分，在上述基础上：</w:t>
            </w:r>
          </w:p>
          <w:p w14:paraId="4548CB2B">
            <w:pPr>
              <w:spacing w:line="360" w:lineRule="auto"/>
              <w:rPr>
                <w:rFonts w:hint="eastAsia" w:ascii="宋体" w:hAnsi="宋体" w:eastAsia="宋体" w:cs="宋体"/>
                <w:bCs/>
                <w:szCs w:val="21"/>
                <w:highlight w:val="none"/>
                <w:lang w:val="en-US" w:eastAsia="zh-CN" w:bidi="ar"/>
              </w:rPr>
            </w:pPr>
            <w:r>
              <w:rPr>
                <w:rFonts w:hint="eastAsia" w:ascii="宋体" w:hAnsi="宋体" w:eastAsia="宋体" w:cs="宋体"/>
                <w:bCs/>
                <w:szCs w:val="21"/>
                <w:highlight w:val="none"/>
                <w:lang w:val="en-US" w:eastAsia="zh-CN" w:bidi="ar"/>
              </w:rPr>
              <w:t>①每增加投入1台密封式垃圾清运车（总质量5吨以下（不含5吨））的加0.5分，最多加1分；</w:t>
            </w:r>
          </w:p>
          <w:p w14:paraId="23C0D733">
            <w:pPr>
              <w:spacing w:line="360" w:lineRule="auto"/>
              <w:rPr>
                <w:rFonts w:hint="eastAsia" w:ascii="宋体" w:hAnsi="宋体" w:eastAsia="宋体" w:cs="宋体"/>
                <w:bCs/>
                <w:szCs w:val="21"/>
                <w:highlight w:val="none"/>
                <w:lang w:val="en-US" w:eastAsia="zh-CN" w:bidi="ar"/>
              </w:rPr>
            </w:pPr>
            <w:r>
              <w:rPr>
                <w:rFonts w:hint="eastAsia" w:ascii="宋体" w:hAnsi="宋体" w:eastAsia="宋体" w:cs="宋体"/>
                <w:bCs/>
                <w:szCs w:val="21"/>
                <w:highlight w:val="none"/>
                <w:lang w:val="en-US" w:eastAsia="zh-CN" w:bidi="ar"/>
              </w:rPr>
              <w:t>②每增加投入1台密封式垃圾清运车（总质量5吨或以上）的加1分；</w:t>
            </w:r>
          </w:p>
          <w:p w14:paraId="5EA2697C">
            <w:pPr>
              <w:spacing w:line="360" w:lineRule="auto"/>
              <w:rPr>
                <w:rFonts w:hint="default" w:ascii="宋体" w:hAnsi="宋体" w:eastAsia="宋体" w:cs="宋体"/>
                <w:b/>
                <w:szCs w:val="21"/>
                <w:highlight w:val="none"/>
                <w:lang w:val="en-US" w:eastAsia="zh-CN" w:bidi="ar"/>
              </w:rPr>
            </w:pPr>
            <w:r>
              <w:rPr>
                <w:rFonts w:hint="eastAsia" w:ascii="宋体" w:hAnsi="宋体" w:eastAsia="宋体" w:cs="宋体"/>
                <w:b w:val="0"/>
                <w:bCs/>
                <w:szCs w:val="21"/>
                <w:highlight w:val="none"/>
                <w:lang w:val="en-US" w:eastAsia="zh-CN" w:bidi="ar"/>
              </w:rPr>
              <w:t>③本子项满分3分。</w:t>
            </w:r>
          </w:p>
          <w:p w14:paraId="495F0D1B">
            <w:pPr>
              <w:spacing w:line="360" w:lineRule="auto"/>
              <w:rPr>
                <w:rFonts w:ascii="宋体" w:hAnsi="宋体" w:eastAsia="宋体" w:cs="宋体"/>
                <w:b/>
                <w:szCs w:val="21"/>
                <w:highlight w:val="none"/>
                <w:lang w:bidi="ar"/>
              </w:rPr>
            </w:pPr>
            <w:r>
              <w:rPr>
                <w:rFonts w:hint="eastAsia" w:ascii="宋体" w:hAnsi="宋体" w:eastAsia="宋体" w:cs="宋体"/>
                <w:b/>
                <w:szCs w:val="21"/>
                <w:highlight w:val="none"/>
                <w:lang w:bidi="ar"/>
              </w:rPr>
              <w:t>备注：</w:t>
            </w:r>
          </w:p>
          <w:p w14:paraId="5D243903">
            <w:pPr>
              <w:spacing w:line="360" w:lineRule="auto"/>
              <w:rPr>
                <w:rFonts w:ascii="宋体" w:hAnsi="宋体" w:eastAsia="宋体" w:cs="宋体"/>
                <w:b/>
                <w:szCs w:val="21"/>
                <w:highlight w:val="none"/>
                <w:lang w:bidi="ar"/>
              </w:rPr>
            </w:pPr>
            <w:r>
              <w:rPr>
                <w:rFonts w:hint="eastAsia" w:ascii="宋体" w:hAnsi="宋体" w:eastAsia="宋体" w:cs="宋体"/>
                <w:b/>
                <w:szCs w:val="21"/>
                <w:highlight w:val="none"/>
                <w:lang w:bidi="ar"/>
              </w:rPr>
              <w:t>1）须按投标文件格式填写设备清单</w:t>
            </w:r>
            <w:r>
              <w:rPr>
                <w:rFonts w:hint="eastAsia" w:ascii="宋体" w:hAnsi="宋体" w:eastAsia="宋体" w:cs="宋体"/>
                <w:b/>
                <w:szCs w:val="21"/>
                <w:highlight w:val="none"/>
                <w:lang w:eastAsia="zh-CN" w:bidi="ar"/>
              </w:rPr>
              <w:t>，</w:t>
            </w:r>
            <w:r>
              <w:rPr>
                <w:rFonts w:hint="eastAsia" w:ascii="宋体" w:hAnsi="宋体" w:eastAsia="宋体" w:cs="宋体"/>
                <w:b/>
                <w:szCs w:val="21"/>
                <w:highlight w:val="none"/>
                <w:lang w:val="en-US" w:eastAsia="zh-CN" w:bidi="ar"/>
              </w:rPr>
              <w:t>评标委员会评审密封式垃圾清运车时，按照其总质量由小到大的顺序进行评审，并按上述评分标准进行打分</w:t>
            </w:r>
            <w:r>
              <w:rPr>
                <w:rFonts w:hint="eastAsia" w:ascii="宋体" w:hAnsi="宋体" w:eastAsia="宋体" w:cs="宋体"/>
                <w:b/>
                <w:szCs w:val="21"/>
                <w:highlight w:val="none"/>
                <w:lang w:bidi="ar"/>
              </w:rPr>
              <w:t>。</w:t>
            </w:r>
          </w:p>
          <w:p w14:paraId="47FC0F34">
            <w:pPr>
              <w:spacing w:line="360" w:lineRule="auto"/>
              <w:rPr>
                <w:rFonts w:ascii="宋体" w:hAnsi="宋体" w:eastAsia="宋体" w:cs="宋体"/>
                <w:b/>
                <w:szCs w:val="21"/>
                <w:highlight w:val="none"/>
                <w:lang w:bidi="ar"/>
              </w:rPr>
            </w:pPr>
            <w:r>
              <w:rPr>
                <w:rFonts w:hint="eastAsia" w:ascii="宋体" w:hAnsi="宋体" w:eastAsia="宋体" w:cs="宋体"/>
                <w:b/>
                <w:szCs w:val="21"/>
                <w:highlight w:val="none"/>
                <w:lang w:bidi="ar"/>
              </w:rPr>
              <w:t>2）自有设备的须提供：①购买发票扫描件；②设备照片/图片扫描件（照片/图片须清晰显示拍摄时间为2025年1</w:t>
            </w:r>
            <w:r>
              <w:rPr>
                <w:rFonts w:hint="eastAsia" w:ascii="宋体" w:hAnsi="宋体" w:eastAsia="宋体" w:cs="宋体"/>
                <w:b/>
                <w:szCs w:val="21"/>
                <w:highlight w:val="none"/>
                <w:lang w:val="en-US" w:eastAsia="zh-CN" w:bidi="ar"/>
              </w:rPr>
              <w:t>2</w:t>
            </w:r>
            <w:r>
              <w:rPr>
                <w:rFonts w:hint="eastAsia" w:ascii="宋体" w:hAnsi="宋体" w:eastAsia="宋体" w:cs="宋体"/>
                <w:b/>
                <w:szCs w:val="21"/>
                <w:highlight w:val="none"/>
                <w:lang w:bidi="ar"/>
              </w:rPr>
              <w:t>月1日或以后）</w:t>
            </w:r>
            <w:r>
              <w:rPr>
                <w:rFonts w:hint="eastAsia" w:ascii="宋体" w:hAnsi="宋体" w:eastAsia="宋体" w:cs="宋体"/>
                <w:b/>
                <w:szCs w:val="21"/>
                <w:highlight w:val="none"/>
                <w:lang w:eastAsia="zh-CN" w:bidi="ar"/>
              </w:rPr>
              <w:t>；</w:t>
            </w:r>
            <w:r>
              <w:rPr>
                <w:rFonts w:hint="eastAsia" w:ascii="宋体" w:hAnsi="宋体" w:eastAsia="宋体" w:cs="宋体"/>
                <w:b/>
                <w:szCs w:val="21"/>
                <w:highlight w:val="none"/>
                <w:lang w:val="en-US" w:eastAsia="zh-CN" w:bidi="ar"/>
              </w:rPr>
              <w:t>③密封式垃圾清运车还须提供机动车行驶证扫描件（证件上显示的所有人应为投标人，并以证件上的</w:t>
            </w:r>
            <w:r>
              <w:rPr>
                <w:rFonts w:hint="eastAsia" w:ascii="宋体" w:hAnsi="宋体" w:eastAsia="宋体" w:cs="宋体"/>
                <w:b/>
                <w:color w:val="auto"/>
                <w:kern w:val="0"/>
                <w:szCs w:val="21"/>
                <w:highlight w:val="none"/>
                <w:lang w:val="en-US" w:eastAsia="zh-CN" w:bidi="ar"/>
              </w:rPr>
              <w:t>总质量数据作为评审依据</w:t>
            </w:r>
            <w:r>
              <w:rPr>
                <w:rFonts w:hint="eastAsia" w:ascii="宋体" w:hAnsi="宋体" w:eastAsia="宋体" w:cs="宋体"/>
                <w:b/>
                <w:szCs w:val="21"/>
                <w:highlight w:val="none"/>
                <w:lang w:val="en-US" w:eastAsia="zh-CN" w:bidi="ar"/>
              </w:rPr>
              <w:t>）</w:t>
            </w:r>
            <w:r>
              <w:rPr>
                <w:rFonts w:hint="eastAsia" w:ascii="宋体" w:hAnsi="宋体" w:eastAsia="宋体" w:cs="宋体"/>
                <w:b/>
                <w:szCs w:val="21"/>
                <w:highlight w:val="none"/>
                <w:lang w:bidi="ar"/>
              </w:rPr>
              <w:t>。</w:t>
            </w:r>
          </w:p>
          <w:p w14:paraId="1F9443AF">
            <w:pPr>
              <w:spacing w:line="360" w:lineRule="auto"/>
              <w:rPr>
                <w:rFonts w:ascii="宋体" w:hAnsi="宋体" w:eastAsia="宋体" w:cs="宋体"/>
                <w:b/>
                <w:szCs w:val="21"/>
                <w:highlight w:val="none"/>
                <w:lang w:bidi="ar"/>
              </w:rPr>
            </w:pPr>
            <w:r>
              <w:rPr>
                <w:rFonts w:hint="eastAsia" w:ascii="宋体" w:hAnsi="宋体" w:eastAsia="宋体" w:cs="宋体"/>
                <w:b/>
                <w:szCs w:val="21"/>
                <w:highlight w:val="none"/>
                <w:lang w:bidi="ar"/>
              </w:rPr>
              <w:t>3）租赁设备的须提供：①租赁合同扫描件(合同有效期须至2027年6月30日或以后)；②设备照片/图片扫描件（照片/图片须清晰显示拍摄时间为2025年1</w:t>
            </w:r>
            <w:r>
              <w:rPr>
                <w:rFonts w:hint="eastAsia" w:ascii="宋体" w:hAnsi="宋体" w:eastAsia="宋体" w:cs="宋体"/>
                <w:b/>
                <w:szCs w:val="21"/>
                <w:highlight w:val="none"/>
                <w:lang w:val="en-US" w:eastAsia="zh-CN" w:bidi="ar"/>
              </w:rPr>
              <w:t>2</w:t>
            </w:r>
            <w:r>
              <w:rPr>
                <w:rFonts w:hint="eastAsia" w:ascii="宋体" w:hAnsi="宋体" w:eastAsia="宋体" w:cs="宋体"/>
                <w:b/>
                <w:szCs w:val="21"/>
                <w:highlight w:val="none"/>
                <w:lang w:bidi="ar"/>
              </w:rPr>
              <w:t>月1日或以后）</w:t>
            </w:r>
            <w:r>
              <w:rPr>
                <w:rFonts w:hint="eastAsia" w:ascii="宋体" w:hAnsi="宋体" w:eastAsia="宋体" w:cs="宋体"/>
                <w:b/>
                <w:szCs w:val="21"/>
                <w:highlight w:val="none"/>
                <w:lang w:eastAsia="zh-CN" w:bidi="ar"/>
              </w:rPr>
              <w:t>；</w:t>
            </w:r>
            <w:r>
              <w:rPr>
                <w:rFonts w:hint="eastAsia" w:ascii="宋体" w:hAnsi="宋体" w:eastAsia="宋体" w:cs="宋体"/>
                <w:b/>
                <w:szCs w:val="21"/>
                <w:highlight w:val="none"/>
                <w:lang w:val="en-US" w:eastAsia="zh-CN" w:bidi="ar"/>
              </w:rPr>
              <w:t>③密封式垃圾清运车还须提供机动车行驶证扫描件（证件上显示的所有人应为租赁合同中的出租方，并以证件上的</w:t>
            </w:r>
            <w:r>
              <w:rPr>
                <w:rFonts w:hint="eastAsia" w:ascii="宋体" w:hAnsi="宋体" w:eastAsia="宋体" w:cs="宋体"/>
                <w:b/>
                <w:color w:val="auto"/>
                <w:kern w:val="0"/>
                <w:szCs w:val="21"/>
                <w:highlight w:val="none"/>
                <w:lang w:val="en-US" w:eastAsia="zh-CN" w:bidi="ar"/>
              </w:rPr>
              <w:t>总质量数据作为评审依据</w:t>
            </w:r>
            <w:r>
              <w:rPr>
                <w:rFonts w:hint="eastAsia" w:ascii="宋体" w:hAnsi="宋体" w:eastAsia="宋体" w:cs="宋体"/>
                <w:b/>
                <w:szCs w:val="21"/>
                <w:highlight w:val="none"/>
                <w:lang w:val="en-US" w:eastAsia="zh-CN" w:bidi="ar"/>
              </w:rPr>
              <w:t>）</w:t>
            </w:r>
            <w:r>
              <w:rPr>
                <w:rFonts w:hint="eastAsia" w:ascii="宋体" w:hAnsi="宋体" w:eastAsia="宋体" w:cs="宋体"/>
                <w:b/>
                <w:szCs w:val="21"/>
                <w:highlight w:val="none"/>
                <w:lang w:bidi="ar"/>
              </w:rPr>
              <w:t xml:space="preserve">。 </w:t>
            </w:r>
          </w:p>
          <w:p w14:paraId="241ED174">
            <w:pPr>
              <w:spacing w:line="360" w:lineRule="auto"/>
              <w:rPr>
                <w:rFonts w:ascii="宋体" w:hAnsi="宋体" w:eastAsia="宋体" w:cs="宋体"/>
                <w:szCs w:val="21"/>
                <w:highlight w:val="none"/>
                <w:lang w:val="zh-CN"/>
              </w:rPr>
            </w:pPr>
            <w:r>
              <w:rPr>
                <w:rFonts w:hint="default" w:ascii="宋体" w:hAnsi="宋体" w:eastAsia="宋体" w:cs="宋体"/>
                <w:b/>
                <w:szCs w:val="21"/>
                <w:highlight w:val="none"/>
                <w:lang w:val="en-US" w:bidi="ar"/>
              </w:rPr>
              <w:t>4</w:t>
            </w:r>
            <w:r>
              <w:rPr>
                <w:rFonts w:hint="eastAsia" w:ascii="宋体" w:hAnsi="宋体" w:eastAsia="宋体" w:cs="宋体"/>
                <w:b/>
                <w:szCs w:val="21"/>
                <w:highlight w:val="none"/>
                <w:lang w:bidi="ar"/>
              </w:rPr>
              <w:t>）未按上述要求提供证明材料的不得分。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7FEA8F0A">
            <w:pPr>
              <w:spacing w:line="360" w:lineRule="auto"/>
              <w:jc w:val="center"/>
              <w:rPr>
                <w:rFonts w:ascii="宋体" w:hAnsi="宋体" w:eastAsia="宋体" w:cs="宋体"/>
                <w:szCs w:val="21"/>
                <w:highlight w:val="none"/>
              </w:rPr>
            </w:pPr>
            <w:r>
              <w:rPr>
                <w:rFonts w:hint="eastAsia" w:ascii="宋体" w:hAnsi="宋体" w:eastAsia="宋体" w:cs="宋体"/>
                <w:szCs w:val="21"/>
                <w:highlight w:val="none"/>
                <w:lang w:val="en-US" w:eastAsia="zh-CN" w:bidi="ar"/>
              </w:rPr>
              <w:t>9</w:t>
            </w:r>
            <w:r>
              <w:rPr>
                <w:rFonts w:hint="eastAsia" w:ascii="宋体" w:hAnsi="宋体" w:eastAsia="宋体" w:cs="宋体"/>
                <w:szCs w:val="21"/>
                <w:highlight w:val="none"/>
                <w:lang w:bidi="ar"/>
              </w:rPr>
              <w:t>分</w:t>
            </w:r>
          </w:p>
        </w:tc>
      </w:tr>
      <w:tr w14:paraId="0B112E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2873A940">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ascii="宋体" w:hAnsi="宋体" w:eastAsia="宋体" w:cs="宋体"/>
                <w:kern w:val="0"/>
                <w:szCs w:val="21"/>
                <w:highlight w:val="none"/>
                <w:lang w:bidi="ar"/>
              </w:rPr>
            </w:pPr>
            <w:r>
              <w:rPr>
                <w:rFonts w:hint="eastAsia" w:ascii="宋体" w:hAnsi="宋体" w:eastAsia="宋体" w:cs="宋体"/>
                <w:kern w:val="0"/>
                <w:szCs w:val="21"/>
                <w:highlight w:val="none"/>
                <w:lang w:bidi="ar"/>
              </w:rPr>
              <w:t>3</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2B9E7CF1">
            <w:pPr>
              <w:spacing w:line="360" w:lineRule="auto"/>
              <w:jc w:val="center"/>
              <w:rPr>
                <w:rFonts w:ascii="宋体" w:hAnsi="宋体" w:eastAsia="宋体" w:cs="宋体"/>
                <w:szCs w:val="21"/>
                <w:highlight w:val="none"/>
                <w:lang w:bidi="ar"/>
              </w:rPr>
            </w:pPr>
            <w:r>
              <w:rPr>
                <w:rFonts w:hint="eastAsia" w:ascii="宋体" w:hAnsi="宋体" w:eastAsia="宋体" w:cs="宋体"/>
                <w:szCs w:val="21"/>
                <w:highlight w:val="none"/>
                <w:lang w:bidi="ar"/>
              </w:rPr>
              <w:t>投标人服务团队实力</w:t>
            </w:r>
          </w:p>
        </w:tc>
        <w:tc>
          <w:tcPr>
            <w:tcW w:w="3694" w:type="pct"/>
            <w:tcBorders>
              <w:top w:val="single" w:color="auto" w:sz="4" w:space="0"/>
              <w:left w:val="single" w:color="auto" w:sz="4" w:space="0"/>
              <w:bottom w:val="single" w:color="auto" w:sz="4" w:space="0"/>
              <w:right w:val="single" w:color="auto" w:sz="4" w:space="0"/>
            </w:tcBorders>
            <w:shd w:val="clear" w:color="auto" w:fill="auto"/>
          </w:tcPr>
          <w:p w14:paraId="4178BAE6">
            <w:pPr>
              <w:spacing w:line="360" w:lineRule="auto"/>
              <w:rPr>
                <w:rFonts w:ascii="宋体" w:hAnsi="宋体" w:eastAsia="宋体" w:cs="宋体"/>
                <w:b/>
                <w:szCs w:val="21"/>
                <w:highlight w:val="none"/>
                <w:lang w:bidi="ar"/>
              </w:rPr>
            </w:pPr>
            <w:r>
              <w:rPr>
                <w:rFonts w:hint="eastAsia" w:ascii="宋体" w:hAnsi="宋体" w:eastAsia="宋体" w:cs="宋体"/>
                <w:b/>
                <w:szCs w:val="21"/>
                <w:highlight w:val="none"/>
                <w:lang w:bidi="ar"/>
              </w:rPr>
              <w:t>（1）拟投入本项目的项目经理（仅一人）：</w:t>
            </w:r>
          </w:p>
          <w:p w14:paraId="5E7A69AD">
            <w:pPr>
              <w:spacing w:line="360" w:lineRule="auto"/>
              <w:rPr>
                <w:rFonts w:ascii="宋体" w:hAnsi="宋体" w:eastAsia="宋体" w:cs="宋体"/>
                <w:bCs/>
                <w:szCs w:val="21"/>
                <w:highlight w:val="none"/>
                <w:lang w:bidi="ar"/>
              </w:rPr>
            </w:pPr>
            <w:r>
              <w:rPr>
                <w:rFonts w:hint="eastAsia" w:ascii="宋体" w:hAnsi="宋体" w:eastAsia="宋体" w:cs="宋体"/>
                <w:bCs/>
                <w:szCs w:val="21"/>
                <w:highlight w:val="none"/>
                <w:lang w:bidi="ar"/>
              </w:rPr>
              <w:t>①项目负责人具有园林专业本科或以上学历的，得1分，</w:t>
            </w:r>
            <w:r>
              <w:rPr>
                <w:rFonts w:hint="eastAsia" w:ascii="宋体" w:hAnsi="宋体" w:eastAsia="宋体" w:cs="宋体"/>
                <w:b/>
                <w:bCs w:val="0"/>
                <w:szCs w:val="21"/>
                <w:highlight w:val="none"/>
                <w:lang w:bidi="ar"/>
              </w:rPr>
              <w:t>本子项满分1分。</w:t>
            </w:r>
            <w:r>
              <w:rPr>
                <w:rFonts w:hint="eastAsia" w:ascii="宋体" w:hAnsi="宋体" w:eastAsia="宋体" w:cs="宋体"/>
                <w:bCs/>
                <w:szCs w:val="21"/>
                <w:highlight w:val="none"/>
                <w:lang w:bidi="ar"/>
              </w:rPr>
              <w:t>②项目负责人具有园林专业中级工程师或以上职称的，得2分，</w:t>
            </w:r>
            <w:r>
              <w:rPr>
                <w:rFonts w:hint="eastAsia" w:ascii="宋体" w:hAnsi="宋体" w:eastAsia="宋体" w:cs="宋体"/>
                <w:b/>
                <w:bCs w:val="0"/>
                <w:szCs w:val="21"/>
                <w:highlight w:val="none"/>
                <w:lang w:bidi="ar"/>
              </w:rPr>
              <w:t>本子项满分2分。</w:t>
            </w:r>
          </w:p>
          <w:p w14:paraId="2A572F8E">
            <w:pPr>
              <w:spacing w:line="360" w:lineRule="auto"/>
              <w:rPr>
                <w:rFonts w:ascii="宋体" w:hAnsi="宋体" w:eastAsia="宋体" w:cs="宋体"/>
                <w:b/>
                <w:szCs w:val="21"/>
                <w:highlight w:val="none"/>
                <w:lang w:bidi="ar"/>
              </w:rPr>
            </w:pPr>
            <w:r>
              <w:rPr>
                <w:rFonts w:hint="eastAsia" w:ascii="宋体" w:hAnsi="宋体" w:eastAsia="宋体" w:cs="宋体"/>
                <w:b/>
                <w:szCs w:val="21"/>
                <w:highlight w:val="none"/>
                <w:lang w:bidi="ar"/>
              </w:rPr>
              <w:t>（2）投标人服务团队人员（不含项目经理）：</w:t>
            </w:r>
          </w:p>
          <w:p w14:paraId="17D268C8">
            <w:pPr>
              <w:spacing w:line="360" w:lineRule="auto"/>
              <w:rPr>
                <w:rFonts w:ascii="宋体" w:hAnsi="宋体" w:eastAsia="宋体" w:cs="宋体"/>
                <w:bCs/>
                <w:szCs w:val="21"/>
                <w:highlight w:val="none"/>
                <w:lang w:bidi="ar"/>
              </w:rPr>
            </w:pPr>
            <w:r>
              <w:rPr>
                <w:rFonts w:hint="eastAsia" w:ascii="宋体" w:hAnsi="宋体" w:eastAsia="宋体" w:cs="宋体"/>
                <w:bCs/>
                <w:szCs w:val="21"/>
                <w:highlight w:val="none"/>
                <w:lang w:bidi="ar"/>
              </w:rPr>
              <w:t>投标人的服务团队中，每具有一个园林专业中级职称或以上职称的，得1分，</w:t>
            </w:r>
            <w:r>
              <w:rPr>
                <w:rFonts w:hint="eastAsia" w:ascii="宋体" w:hAnsi="宋体" w:eastAsia="宋体" w:cs="宋体"/>
                <w:b/>
                <w:szCs w:val="21"/>
                <w:highlight w:val="none"/>
                <w:lang w:bidi="ar"/>
              </w:rPr>
              <w:t>本子项满分</w:t>
            </w:r>
            <w:r>
              <w:rPr>
                <w:rFonts w:hint="eastAsia" w:ascii="宋体" w:hAnsi="宋体" w:eastAsia="宋体" w:cs="宋体"/>
                <w:b/>
                <w:szCs w:val="21"/>
                <w:highlight w:val="none"/>
                <w:lang w:val="en-US" w:eastAsia="zh-CN" w:bidi="ar"/>
              </w:rPr>
              <w:t>3</w:t>
            </w:r>
            <w:r>
              <w:rPr>
                <w:rFonts w:hint="eastAsia" w:ascii="宋体" w:hAnsi="宋体" w:eastAsia="宋体" w:cs="宋体"/>
                <w:b/>
                <w:szCs w:val="21"/>
                <w:highlight w:val="none"/>
                <w:lang w:bidi="ar"/>
              </w:rPr>
              <w:t>分</w:t>
            </w:r>
            <w:r>
              <w:rPr>
                <w:rFonts w:hint="eastAsia" w:ascii="宋体" w:hAnsi="宋体" w:eastAsia="宋体" w:cs="宋体"/>
                <w:bCs/>
                <w:szCs w:val="21"/>
                <w:highlight w:val="none"/>
                <w:lang w:bidi="ar"/>
              </w:rPr>
              <w:t>。</w:t>
            </w:r>
          </w:p>
          <w:p w14:paraId="5E782882">
            <w:pPr>
              <w:spacing w:line="360" w:lineRule="auto"/>
              <w:rPr>
                <w:rFonts w:ascii="宋体" w:hAnsi="宋体" w:eastAsia="宋体" w:cs="宋体"/>
                <w:b/>
                <w:szCs w:val="21"/>
                <w:highlight w:val="none"/>
                <w:lang w:bidi="ar"/>
              </w:rPr>
            </w:pPr>
            <w:r>
              <w:rPr>
                <w:rFonts w:hint="eastAsia" w:ascii="宋体" w:hAnsi="宋体" w:eastAsia="宋体" w:cs="宋体"/>
                <w:b/>
                <w:szCs w:val="21"/>
                <w:highlight w:val="none"/>
                <w:lang w:bidi="ar"/>
              </w:rPr>
              <w:t>备注：</w:t>
            </w:r>
          </w:p>
          <w:p w14:paraId="688B60B5">
            <w:pPr>
              <w:spacing w:line="360" w:lineRule="auto"/>
              <w:rPr>
                <w:rFonts w:ascii="宋体" w:hAnsi="宋体" w:eastAsia="宋体" w:cs="宋体"/>
                <w:b/>
                <w:szCs w:val="21"/>
                <w:highlight w:val="none"/>
                <w:lang w:bidi="ar"/>
              </w:rPr>
            </w:pPr>
            <w:r>
              <w:rPr>
                <w:rFonts w:hint="eastAsia" w:ascii="宋体" w:hAnsi="宋体" w:eastAsia="宋体" w:cs="宋体"/>
                <w:b/>
                <w:szCs w:val="21"/>
                <w:highlight w:val="none"/>
                <w:lang w:bidi="ar"/>
              </w:rPr>
              <w:t>应提供上述人员身份证明、资格证书（或注册/执业/岗位证书/学历/技术职称）以及人力资源和社会保障部门（或税务部门）出具的202</w:t>
            </w:r>
            <w:r>
              <w:rPr>
                <w:rFonts w:hint="eastAsia" w:ascii="宋体" w:hAnsi="宋体" w:eastAsia="宋体" w:cs="宋体"/>
                <w:b/>
                <w:szCs w:val="21"/>
                <w:highlight w:val="none"/>
                <w:lang w:val="en-US" w:eastAsia="zh-CN" w:bidi="ar"/>
              </w:rPr>
              <w:t>5</w:t>
            </w:r>
            <w:r>
              <w:rPr>
                <w:rFonts w:hint="eastAsia" w:ascii="宋体" w:hAnsi="宋体" w:eastAsia="宋体" w:cs="宋体"/>
                <w:b/>
                <w:szCs w:val="21"/>
                <w:highlight w:val="none"/>
                <w:lang w:bidi="ar"/>
              </w:rPr>
              <w:t>年7月至12月连续六个月的社保缴纳证明扫描件，否则不得分。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04B472E8">
            <w:pPr>
              <w:spacing w:line="360" w:lineRule="auto"/>
              <w:jc w:val="center"/>
              <w:rPr>
                <w:rFonts w:ascii="宋体" w:hAnsi="宋体" w:eastAsia="宋体" w:cs="宋体"/>
                <w:szCs w:val="21"/>
                <w:highlight w:val="none"/>
                <w:lang w:bidi="ar"/>
              </w:rPr>
            </w:pPr>
            <w:r>
              <w:rPr>
                <w:rFonts w:hint="eastAsia" w:ascii="宋体" w:hAnsi="宋体" w:eastAsia="宋体" w:cs="宋体"/>
                <w:szCs w:val="21"/>
                <w:highlight w:val="none"/>
                <w:lang w:val="en-US" w:eastAsia="zh-CN" w:bidi="ar"/>
              </w:rPr>
              <w:t>6</w:t>
            </w:r>
            <w:r>
              <w:rPr>
                <w:rFonts w:hint="eastAsia" w:ascii="宋体" w:hAnsi="宋体" w:eastAsia="宋体" w:cs="宋体"/>
                <w:szCs w:val="21"/>
                <w:highlight w:val="none"/>
                <w:lang w:bidi="ar"/>
              </w:rPr>
              <w:t>分</w:t>
            </w:r>
          </w:p>
        </w:tc>
      </w:tr>
      <w:tr w14:paraId="3308FB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30E42902">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bidi="ar"/>
              </w:rPr>
              <w:t>4</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0F21908A">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bidi="ar"/>
              </w:rPr>
              <w:t>清洁管理方案</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14:paraId="18F26EB9">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bidi="ar"/>
              </w:rPr>
              <w:t>对各投标人清洁管理方案，根据方案的详尽度、清晰度、合理性及适应性进行评审：</w:t>
            </w:r>
          </w:p>
          <w:p w14:paraId="1A95E5F9">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bidi="ar"/>
              </w:rPr>
              <w:t>优：清洁管理方案详尽、清晰，完整涵盖环卫保洁全流程细节</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合理性强，人员配置、设备选型与项目区域面积、作业难度精准匹配</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能结合项目区域人流特点、植物品种特性制定针对性措施，得</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2,3</w:t>
            </w:r>
            <w:r>
              <w:rPr>
                <w:rFonts w:hint="eastAsia" w:ascii="宋体" w:hAnsi="宋体" w:eastAsia="宋体" w:cs="宋体"/>
                <w:szCs w:val="21"/>
                <w:highlight w:val="none"/>
                <w:lang w:bidi="ar"/>
              </w:rPr>
              <w:t>]分；</w:t>
            </w:r>
          </w:p>
          <w:p w14:paraId="71B16B49">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bidi="ar"/>
              </w:rPr>
              <w:t>良：清洁管理方案</w:t>
            </w:r>
            <w:r>
              <w:rPr>
                <w:rFonts w:hint="eastAsia" w:ascii="宋体" w:hAnsi="宋体" w:eastAsia="宋体" w:cs="宋体"/>
                <w:szCs w:val="21"/>
                <w:highlight w:val="none"/>
                <w:lang w:val="en-US" w:eastAsia="zh-CN" w:bidi="ar"/>
              </w:rPr>
              <w:t>较</w:t>
            </w:r>
            <w:r>
              <w:rPr>
                <w:rFonts w:hint="eastAsia" w:ascii="宋体" w:hAnsi="宋体" w:eastAsia="宋体" w:cs="宋体"/>
                <w:szCs w:val="21"/>
                <w:highlight w:val="none"/>
                <w:lang w:bidi="ar"/>
              </w:rPr>
              <w:t>详尽、清晰，完整涵盖环卫保洁全流程细节</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合理性</w:t>
            </w:r>
            <w:r>
              <w:rPr>
                <w:rFonts w:hint="eastAsia" w:ascii="宋体" w:hAnsi="宋体" w:eastAsia="宋体" w:cs="宋体"/>
                <w:szCs w:val="21"/>
                <w:highlight w:val="none"/>
                <w:lang w:val="en-US" w:eastAsia="zh-CN" w:bidi="ar"/>
              </w:rPr>
              <w:t>较</w:t>
            </w:r>
            <w:r>
              <w:rPr>
                <w:rFonts w:hint="eastAsia" w:ascii="宋体" w:hAnsi="宋体" w:eastAsia="宋体" w:cs="宋体"/>
                <w:szCs w:val="21"/>
                <w:highlight w:val="none"/>
                <w:lang w:bidi="ar"/>
              </w:rPr>
              <w:t>强，人员配置、设备选型与项目区域面积、作业难度</w:t>
            </w:r>
            <w:r>
              <w:rPr>
                <w:rFonts w:hint="eastAsia" w:ascii="宋体" w:hAnsi="宋体" w:eastAsia="宋体" w:cs="宋体"/>
                <w:szCs w:val="21"/>
                <w:highlight w:val="none"/>
                <w:lang w:val="en-US" w:eastAsia="zh-CN" w:bidi="ar"/>
              </w:rPr>
              <w:t>较为</w:t>
            </w:r>
            <w:r>
              <w:rPr>
                <w:rFonts w:hint="eastAsia" w:ascii="宋体" w:hAnsi="宋体" w:eastAsia="宋体" w:cs="宋体"/>
                <w:szCs w:val="21"/>
                <w:highlight w:val="none"/>
                <w:lang w:bidi="ar"/>
              </w:rPr>
              <w:t>匹配</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能结合项目区域人流特点、植物品种特性制定</w:t>
            </w:r>
            <w:r>
              <w:rPr>
                <w:rFonts w:hint="eastAsia" w:ascii="宋体" w:hAnsi="宋体" w:eastAsia="宋体" w:cs="宋体"/>
                <w:szCs w:val="21"/>
                <w:highlight w:val="none"/>
                <w:lang w:val="en-US" w:eastAsia="zh-CN" w:bidi="ar"/>
              </w:rPr>
              <w:t>较</w:t>
            </w:r>
            <w:r>
              <w:rPr>
                <w:rFonts w:hint="eastAsia" w:ascii="宋体" w:hAnsi="宋体" w:eastAsia="宋体" w:cs="宋体"/>
                <w:szCs w:val="21"/>
                <w:highlight w:val="none"/>
                <w:lang w:bidi="ar"/>
              </w:rPr>
              <w:t>针对</w:t>
            </w:r>
            <w:r>
              <w:rPr>
                <w:rFonts w:hint="eastAsia" w:ascii="宋体" w:hAnsi="宋体" w:eastAsia="宋体" w:cs="宋体"/>
                <w:szCs w:val="21"/>
                <w:highlight w:val="none"/>
                <w:lang w:val="en-US" w:eastAsia="zh-CN" w:bidi="ar"/>
              </w:rPr>
              <w:t>的</w:t>
            </w:r>
            <w:r>
              <w:rPr>
                <w:rFonts w:hint="eastAsia" w:ascii="宋体" w:hAnsi="宋体" w:eastAsia="宋体" w:cs="宋体"/>
                <w:szCs w:val="21"/>
                <w:highlight w:val="none"/>
                <w:lang w:bidi="ar"/>
              </w:rPr>
              <w:t>措施，得（</w:t>
            </w:r>
            <w:r>
              <w:rPr>
                <w:rFonts w:hint="eastAsia" w:ascii="宋体" w:hAnsi="宋体" w:eastAsia="宋体" w:cs="宋体"/>
                <w:szCs w:val="21"/>
                <w:highlight w:val="none"/>
                <w:lang w:val="en-US" w:eastAsia="zh-CN" w:bidi="ar"/>
              </w:rPr>
              <w:t>1,2</w:t>
            </w:r>
            <w:r>
              <w:rPr>
                <w:rFonts w:hint="eastAsia" w:ascii="宋体" w:hAnsi="宋体" w:eastAsia="宋体" w:cs="宋体"/>
                <w:szCs w:val="21"/>
                <w:highlight w:val="none"/>
                <w:lang w:bidi="ar"/>
              </w:rPr>
              <w:t>]分；</w:t>
            </w:r>
          </w:p>
          <w:p w14:paraId="6FCFD37E">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bidi="ar"/>
              </w:rPr>
              <w:t>中：清洁管理方案</w:t>
            </w:r>
            <w:r>
              <w:rPr>
                <w:rFonts w:hint="eastAsia" w:ascii="宋体" w:hAnsi="宋体" w:eastAsia="宋体" w:cs="宋体"/>
                <w:szCs w:val="21"/>
                <w:highlight w:val="none"/>
                <w:lang w:val="en-US" w:eastAsia="zh-CN" w:bidi="ar"/>
              </w:rPr>
              <w:t>一般</w:t>
            </w:r>
            <w:r>
              <w:rPr>
                <w:rFonts w:hint="eastAsia" w:ascii="宋体" w:hAnsi="宋体" w:eastAsia="宋体" w:cs="宋体"/>
                <w:szCs w:val="21"/>
                <w:highlight w:val="none"/>
                <w:lang w:bidi="ar"/>
              </w:rPr>
              <w:t>，环卫保洁仅明确主要区域清洁范围，未细化边角区域清洁要求</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部分内容表述模糊，如未明确清洁工具使用规范</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合理性</w:t>
            </w:r>
            <w:r>
              <w:rPr>
                <w:rFonts w:hint="eastAsia" w:ascii="宋体" w:hAnsi="宋体" w:eastAsia="宋体" w:cs="宋体"/>
                <w:szCs w:val="21"/>
                <w:highlight w:val="none"/>
                <w:lang w:val="en-US" w:eastAsia="zh-CN" w:bidi="ar"/>
              </w:rPr>
              <w:t>一</w:t>
            </w:r>
            <w:r>
              <w:rPr>
                <w:rFonts w:hint="eastAsia" w:ascii="宋体" w:hAnsi="宋体" w:eastAsia="宋体" w:cs="宋体"/>
                <w:szCs w:val="21"/>
                <w:highlight w:val="none"/>
                <w:lang w:bidi="ar"/>
              </w:rPr>
              <w:t>般，人员排班或设备调度存在少量冗余</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能覆盖核心清洁需求，但对项目特殊场景考虑不足，得（</w:t>
            </w:r>
            <w:r>
              <w:rPr>
                <w:rFonts w:hint="eastAsia" w:ascii="宋体" w:hAnsi="宋体" w:eastAsia="宋体" w:cs="宋体"/>
                <w:szCs w:val="21"/>
                <w:highlight w:val="none"/>
                <w:lang w:val="en-US" w:eastAsia="zh-CN" w:bidi="ar"/>
              </w:rPr>
              <w:t>0.5,1</w:t>
            </w:r>
            <w:r>
              <w:rPr>
                <w:rFonts w:hint="eastAsia" w:ascii="宋体" w:hAnsi="宋体" w:eastAsia="宋体" w:cs="宋体"/>
                <w:szCs w:val="21"/>
                <w:highlight w:val="none"/>
                <w:lang w:bidi="ar"/>
              </w:rPr>
              <w:t>]分；</w:t>
            </w:r>
          </w:p>
          <w:p w14:paraId="0F974D35">
            <w:pPr>
              <w:spacing w:line="360" w:lineRule="auto"/>
              <w:ind w:right="-34"/>
              <w:rPr>
                <w:rFonts w:hint="eastAsia" w:ascii="宋体" w:hAnsi="宋体" w:eastAsia="宋体" w:cs="宋体"/>
                <w:szCs w:val="21"/>
                <w:highlight w:val="none"/>
                <w:lang w:bidi="ar"/>
              </w:rPr>
            </w:pPr>
            <w:r>
              <w:rPr>
                <w:rFonts w:hint="eastAsia" w:ascii="宋体" w:hAnsi="宋体" w:eastAsia="宋体" w:cs="宋体"/>
                <w:szCs w:val="21"/>
                <w:highlight w:val="none"/>
                <w:lang w:bidi="ar"/>
              </w:rPr>
              <w:t>差：清洁管理方案</w:t>
            </w:r>
            <w:r>
              <w:rPr>
                <w:rFonts w:hint="eastAsia" w:ascii="宋体" w:hAnsi="宋体" w:eastAsia="宋体" w:cs="宋体"/>
                <w:szCs w:val="21"/>
                <w:highlight w:val="none"/>
                <w:lang w:val="en-US" w:eastAsia="zh-CN" w:bidi="ar"/>
              </w:rPr>
              <w:t>基础</w:t>
            </w:r>
            <w:r>
              <w:rPr>
                <w:rFonts w:hint="eastAsia" w:ascii="宋体" w:hAnsi="宋体" w:eastAsia="宋体" w:cs="宋体"/>
                <w:szCs w:val="21"/>
                <w:highlight w:val="none"/>
                <w:lang w:bidi="ar"/>
              </w:rPr>
              <w:t>简单，未明确环卫保洁频次具体措施</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作业流程或责任分工</w:t>
            </w:r>
            <w:r>
              <w:rPr>
                <w:rFonts w:hint="eastAsia" w:ascii="宋体" w:hAnsi="宋体" w:eastAsia="宋体" w:cs="宋体"/>
                <w:szCs w:val="21"/>
                <w:highlight w:val="none"/>
                <w:lang w:val="en-US" w:eastAsia="zh-CN" w:bidi="ar"/>
              </w:rPr>
              <w:t>基本满足需求</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合理性</w:t>
            </w:r>
            <w:r>
              <w:rPr>
                <w:rFonts w:hint="eastAsia" w:ascii="宋体" w:hAnsi="宋体" w:eastAsia="宋体" w:cs="宋体"/>
                <w:szCs w:val="21"/>
                <w:highlight w:val="none"/>
                <w:lang w:val="en-US" w:eastAsia="zh-CN" w:bidi="ar"/>
              </w:rPr>
              <w:t>一般</w:t>
            </w:r>
            <w:r>
              <w:rPr>
                <w:rFonts w:hint="eastAsia" w:ascii="宋体" w:hAnsi="宋体" w:eastAsia="宋体" w:cs="宋体"/>
                <w:szCs w:val="21"/>
                <w:highlight w:val="none"/>
                <w:lang w:bidi="ar"/>
              </w:rPr>
              <w:t>，人员、设备配置与</w:t>
            </w:r>
            <w:r>
              <w:rPr>
                <w:rFonts w:hint="eastAsia" w:ascii="宋体" w:hAnsi="宋体" w:eastAsia="宋体" w:cs="宋体"/>
                <w:szCs w:val="21"/>
                <w:highlight w:val="none"/>
                <w:lang w:val="en-US" w:eastAsia="zh-CN" w:bidi="ar"/>
              </w:rPr>
              <w:t>基本满足</w:t>
            </w:r>
            <w:r>
              <w:rPr>
                <w:rFonts w:hint="eastAsia" w:ascii="宋体" w:hAnsi="宋体" w:eastAsia="宋体" w:cs="宋体"/>
                <w:szCs w:val="21"/>
                <w:highlight w:val="none"/>
                <w:lang w:bidi="ar"/>
              </w:rPr>
              <w:t>项目实际需求</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项目区域环境、植物类型制定</w:t>
            </w:r>
            <w:r>
              <w:rPr>
                <w:rFonts w:hint="eastAsia" w:ascii="宋体" w:hAnsi="宋体" w:eastAsia="宋体" w:cs="宋体"/>
                <w:szCs w:val="21"/>
                <w:highlight w:val="none"/>
                <w:lang w:val="en-US" w:eastAsia="zh-CN" w:bidi="ar"/>
              </w:rPr>
              <w:t>基础</w:t>
            </w:r>
            <w:r>
              <w:rPr>
                <w:rFonts w:hint="eastAsia" w:ascii="宋体" w:hAnsi="宋体" w:eastAsia="宋体" w:cs="宋体"/>
                <w:szCs w:val="21"/>
                <w:highlight w:val="none"/>
                <w:lang w:bidi="ar"/>
              </w:rPr>
              <w:t>方案，基本</w:t>
            </w:r>
            <w:r>
              <w:rPr>
                <w:rFonts w:hint="eastAsia" w:ascii="宋体" w:hAnsi="宋体" w:eastAsia="宋体" w:cs="宋体"/>
                <w:szCs w:val="21"/>
                <w:highlight w:val="none"/>
                <w:lang w:val="en-US" w:eastAsia="zh-CN" w:bidi="ar"/>
              </w:rPr>
              <w:t>满足</w:t>
            </w:r>
            <w:r>
              <w:rPr>
                <w:rFonts w:hint="eastAsia" w:ascii="宋体" w:hAnsi="宋体" w:eastAsia="宋体" w:cs="宋体"/>
                <w:szCs w:val="21"/>
                <w:highlight w:val="none"/>
                <w:lang w:bidi="ar"/>
              </w:rPr>
              <w:t>清洁要求，得（</w:t>
            </w:r>
            <w:r>
              <w:rPr>
                <w:rFonts w:hint="eastAsia" w:ascii="宋体" w:hAnsi="宋体" w:eastAsia="宋体" w:cs="宋体"/>
                <w:szCs w:val="21"/>
                <w:highlight w:val="none"/>
                <w:lang w:val="en-US" w:eastAsia="zh-CN" w:bidi="ar"/>
              </w:rPr>
              <w:t>0,0.5</w:t>
            </w:r>
            <w:r>
              <w:rPr>
                <w:rFonts w:hint="eastAsia" w:ascii="宋体" w:hAnsi="宋体" w:eastAsia="宋体" w:cs="宋体"/>
                <w:szCs w:val="21"/>
                <w:highlight w:val="none"/>
                <w:lang w:bidi="ar"/>
              </w:rPr>
              <w:t>]分。</w:t>
            </w:r>
          </w:p>
          <w:p w14:paraId="762C34DE">
            <w:pPr>
              <w:spacing w:line="360" w:lineRule="auto"/>
              <w:ind w:right="-34"/>
              <w:rPr>
                <w:highlight w:val="none"/>
              </w:rPr>
            </w:pPr>
            <w:r>
              <w:rPr>
                <w:rFonts w:hint="eastAsia" w:ascii="宋体" w:hAnsi="宋体" w:eastAsia="宋体" w:cs="宋体"/>
                <w:b/>
                <w:bCs/>
                <w:szCs w:val="21"/>
                <w:highlight w:val="none"/>
                <w:lang w:val="en-US" w:eastAsia="zh-CN" w:bidi="ar"/>
              </w:rPr>
              <w:t>未提供清洁管理方案的不得分。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45E58065">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分</w:t>
            </w:r>
          </w:p>
        </w:tc>
      </w:tr>
      <w:tr w14:paraId="64D18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75F4CF1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bidi="ar"/>
              </w:rPr>
              <w:t>5</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22691F6">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bidi="ar"/>
              </w:rPr>
              <w:t>绿化管理方案</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14:paraId="6E75C9E4">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bidi="ar"/>
              </w:rPr>
              <w:t>对各投标人绿化管理方案，根据方案的详尽度、清晰度、合理性及适应性进行评审：</w:t>
            </w:r>
          </w:p>
          <w:p w14:paraId="4B68D3CB">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bidi="ar"/>
              </w:rPr>
              <w:t>优：绿化管理方案</w:t>
            </w:r>
            <w:r>
              <w:rPr>
                <w:rFonts w:hint="eastAsia" w:ascii="宋体" w:hAnsi="宋体" w:eastAsia="宋体" w:cs="宋体"/>
                <w:szCs w:val="21"/>
                <w:highlight w:val="none"/>
                <w:lang w:val="en-US" w:eastAsia="zh-CN" w:bidi="ar"/>
              </w:rPr>
              <w:t>十分</w:t>
            </w:r>
            <w:r>
              <w:rPr>
                <w:rFonts w:hint="eastAsia" w:ascii="宋体" w:hAnsi="宋体" w:eastAsia="宋体" w:cs="宋体"/>
                <w:szCs w:val="21"/>
                <w:highlight w:val="none"/>
                <w:lang w:bidi="ar"/>
              </w:rPr>
              <w:t>详尽、清晰，完整</w:t>
            </w:r>
            <w:r>
              <w:rPr>
                <w:rFonts w:hint="eastAsia" w:ascii="宋体" w:hAnsi="宋体" w:eastAsia="宋体" w:cs="宋体"/>
                <w:szCs w:val="21"/>
                <w:highlight w:val="none"/>
                <w:lang w:val="en-US" w:eastAsia="zh-CN" w:bidi="ar"/>
              </w:rPr>
              <w:t>覆</w:t>
            </w:r>
            <w:r>
              <w:rPr>
                <w:rFonts w:hint="eastAsia" w:ascii="宋体" w:hAnsi="宋体" w:eastAsia="宋体" w:cs="宋体"/>
                <w:szCs w:val="21"/>
                <w:highlight w:val="none"/>
                <w:lang w:bidi="ar"/>
              </w:rPr>
              <w:t>盖绿化养护全流程细节</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合理性强，人员配置、设备选型与项目绿化面积、植物品类、作业难度精准匹配</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能结合项目区域气候特点、植物生长周期、景观需求制定针对性措施，得</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2,3</w:t>
            </w:r>
            <w:r>
              <w:rPr>
                <w:rFonts w:hint="eastAsia" w:ascii="宋体" w:hAnsi="宋体" w:eastAsia="宋体" w:cs="宋体"/>
                <w:szCs w:val="21"/>
                <w:highlight w:val="none"/>
                <w:lang w:bidi="ar"/>
              </w:rPr>
              <w:t>]分；</w:t>
            </w:r>
          </w:p>
          <w:p w14:paraId="746B32EE">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bidi="ar"/>
              </w:rPr>
              <w:t>良：绿化管理方案</w:t>
            </w:r>
            <w:r>
              <w:rPr>
                <w:rFonts w:hint="eastAsia" w:ascii="宋体" w:hAnsi="宋体" w:eastAsia="宋体" w:cs="宋体"/>
                <w:szCs w:val="21"/>
                <w:highlight w:val="none"/>
                <w:lang w:val="en-US" w:eastAsia="zh-CN" w:bidi="ar"/>
              </w:rPr>
              <w:t>较</w:t>
            </w:r>
            <w:r>
              <w:rPr>
                <w:rFonts w:hint="eastAsia" w:ascii="宋体" w:hAnsi="宋体" w:eastAsia="宋体" w:cs="宋体"/>
                <w:szCs w:val="21"/>
                <w:highlight w:val="none"/>
                <w:lang w:bidi="ar"/>
              </w:rPr>
              <w:t>详尽、清晰，完整</w:t>
            </w:r>
            <w:r>
              <w:rPr>
                <w:rFonts w:hint="eastAsia" w:ascii="宋体" w:hAnsi="宋体" w:eastAsia="宋体" w:cs="宋体"/>
                <w:szCs w:val="21"/>
                <w:highlight w:val="none"/>
                <w:lang w:val="en-US" w:eastAsia="zh-CN" w:bidi="ar"/>
              </w:rPr>
              <w:t>覆盖</w:t>
            </w:r>
            <w:r>
              <w:rPr>
                <w:rFonts w:hint="eastAsia" w:ascii="宋体" w:hAnsi="宋体" w:eastAsia="宋体" w:cs="宋体"/>
                <w:szCs w:val="21"/>
                <w:highlight w:val="none"/>
                <w:lang w:bidi="ar"/>
              </w:rPr>
              <w:t>绿化养护全流程</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合理性</w:t>
            </w:r>
            <w:r>
              <w:rPr>
                <w:rFonts w:hint="eastAsia" w:ascii="宋体" w:hAnsi="宋体" w:eastAsia="宋体" w:cs="宋体"/>
                <w:szCs w:val="21"/>
                <w:highlight w:val="none"/>
                <w:lang w:val="en-US" w:eastAsia="zh-CN" w:bidi="ar"/>
              </w:rPr>
              <w:t>较</w:t>
            </w:r>
            <w:r>
              <w:rPr>
                <w:rFonts w:hint="eastAsia" w:ascii="宋体" w:hAnsi="宋体" w:eastAsia="宋体" w:cs="宋体"/>
                <w:szCs w:val="21"/>
                <w:highlight w:val="none"/>
                <w:lang w:bidi="ar"/>
              </w:rPr>
              <w:t>强，人员配置、设备选型与项目绿化面积、植物品类、作业难度</w:t>
            </w:r>
            <w:r>
              <w:rPr>
                <w:rFonts w:hint="eastAsia" w:ascii="宋体" w:hAnsi="宋体" w:eastAsia="宋体" w:cs="宋体"/>
                <w:szCs w:val="21"/>
                <w:highlight w:val="none"/>
                <w:lang w:val="en-US" w:eastAsia="zh-CN" w:bidi="ar"/>
              </w:rPr>
              <w:t>合理</w:t>
            </w:r>
            <w:r>
              <w:rPr>
                <w:rFonts w:hint="eastAsia" w:ascii="宋体" w:hAnsi="宋体" w:eastAsia="宋体" w:cs="宋体"/>
                <w:szCs w:val="21"/>
                <w:highlight w:val="none"/>
                <w:lang w:bidi="ar"/>
              </w:rPr>
              <w:t>匹配</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能结合项目区域气候特点、植物生长周期、景观需求制定针对性措施，得（</w:t>
            </w:r>
            <w:r>
              <w:rPr>
                <w:rFonts w:hint="eastAsia" w:ascii="宋体" w:hAnsi="宋体" w:eastAsia="宋体" w:cs="宋体"/>
                <w:szCs w:val="21"/>
                <w:highlight w:val="none"/>
                <w:lang w:val="en-US" w:eastAsia="zh-CN" w:bidi="ar"/>
              </w:rPr>
              <w:t>1,2</w:t>
            </w:r>
            <w:r>
              <w:rPr>
                <w:rFonts w:hint="eastAsia" w:ascii="宋体" w:hAnsi="宋体" w:eastAsia="宋体" w:cs="宋体"/>
                <w:szCs w:val="21"/>
                <w:highlight w:val="none"/>
                <w:lang w:bidi="ar"/>
              </w:rPr>
              <w:t>]分；</w:t>
            </w:r>
          </w:p>
          <w:p w14:paraId="34449000">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bidi="ar"/>
              </w:rPr>
              <w:t>中：绿化管理方案</w:t>
            </w:r>
            <w:r>
              <w:rPr>
                <w:rFonts w:hint="eastAsia" w:ascii="宋体" w:hAnsi="宋体" w:eastAsia="宋体" w:cs="宋体"/>
                <w:szCs w:val="21"/>
                <w:highlight w:val="none"/>
                <w:lang w:val="en-US" w:eastAsia="zh-CN" w:bidi="ar"/>
              </w:rPr>
              <w:t>一般</w:t>
            </w:r>
            <w:r>
              <w:rPr>
                <w:rFonts w:hint="eastAsia" w:ascii="宋体" w:hAnsi="宋体" w:eastAsia="宋体" w:cs="宋体"/>
                <w:szCs w:val="21"/>
                <w:highlight w:val="none"/>
                <w:lang w:bidi="ar"/>
              </w:rPr>
              <w:t>，仅明确主要绿化区域养护范围，未细化特殊植物养护要求，未区分季节性作业重点</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部分内容表述模糊，如未明确病虫害防治、修剪工具操作规范</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合理性一般，人员排班或设备调度存在少量冗余</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能覆盖核心养护需求，但对项目特殊场景考虑不足，得（</w:t>
            </w:r>
            <w:r>
              <w:rPr>
                <w:rFonts w:hint="eastAsia" w:ascii="宋体" w:hAnsi="宋体" w:eastAsia="宋体" w:cs="宋体"/>
                <w:szCs w:val="21"/>
                <w:highlight w:val="none"/>
                <w:lang w:val="en-US" w:eastAsia="zh-CN" w:bidi="ar"/>
              </w:rPr>
              <w:t>0.5,1</w:t>
            </w:r>
            <w:r>
              <w:rPr>
                <w:rFonts w:hint="eastAsia" w:ascii="宋体" w:hAnsi="宋体" w:eastAsia="宋体" w:cs="宋体"/>
                <w:szCs w:val="21"/>
                <w:highlight w:val="none"/>
                <w:lang w:bidi="ar"/>
              </w:rPr>
              <w:t>]分；</w:t>
            </w:r>
          </w:p>
          <w:p w14:paraId="153C3A8C">
            <w:pPr>
              <w:spacing w:line="360" w:lineRule="auto"/>
              <w:ind w:right="-34"/>
              <w:rPr>
                <w:rFonts w:hint="eastAsia" w:ascii="宋体" w:hAnsi="宋体" w:eastAsia="宋体" w:cs="宋体"/>
                <w:szCs w:val="21"/>
                <w:highlight w:val="none"/>
                <w:lang w:bidi="ar"/>
              </w:rPr>
            </w:pPr>
            <w:r>
              <w:rPr>
                <w:rFonts w:hint="eastAsia" w:ascii="宋体" w:hAnsi="宋体" w:eastAsia="宋体" w:cs="宋体"/>
                <w:szCs w:val="21"/>
                <w:highlight w:val="none"/>
                <w:lang w:bidi="ar"/>
              </w:rPr>
              <w:t>差：绿化管理方案</w:t>
            </w:r>
            <w:r>
              <w:rPr>
                <w:rFonts w:hint="eastAsia" w:ascii="宋体" w:hAnsi="宋体" w:eastAsia="宋体" w:cs="宋体"/>
                <w:szCs w:val="21"/>
                <w:highlight w:val="none"/>
                <w:lang w:val="en-US" w:eastAsia="zh-CN" w:bidi="ar"/>
              </w:rPr>
              <w:t>基础</w:t>
            </w:r>
            <w:r>
              <w:rPr>
                <w:rFonts w:hint="eastAsia" w:ascii="宋体" w:hAnsi="宋体" w:eastAsia="宋体" w:cs="宋体"/>
                <w:szCs w:val="21"/>
                <w:highlight w:val="none"/>
                <w:lang w:bidi="ar"/>
              </w:rPr>
              <w:t>简单，植物养护、殊植物养护</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病虫害防治</w:t>
            </w:r>
            <w:r>
              <w:rPr>
                <w:rFonts w:hint="eastAsia" w:ascii="宋体" w:hAnsi="宋体" w:eastAsia="宋体" w:cs="宋体"/>
                <w:szCs w:val="21"/>
                <w:highlight w:val="none"/>
                <w:lang w:val="en-US" w:eastAsia="zh-CN" w:bidi="ar"/>
              </w:rPr>
              <w:t>基本满足需求</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作业流程或责任分工</w:t>
            </w:r>
            <w:r>
              <w:rPr>
                <w:rFonts w:hint="eastAsia" w:ascii="宋体" w:hAnsi="宋体" w:eastAsia="宋体" w:cs="宋体"/>
                <w:szCs w:val="21"/>
                <w:highlight w:val="none"/>
                <w:lang w:val="en-US" w:eastAsia="zh-CN" w:bidi="ar"/>
              </w:rPr>
              <w:t>基础</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合理性</w:t>
            </w:r>
            <w:r>
              <w:rPr>
                <w:rFonts w:hint="eastAsia" w:ascii="宋体" w:hAnsi="宋体" w:eastAsia="宋体" w:cs="宋体"/>
                <w:szCs w:val="21"/>
                <w:highlight w:val="none"/>
                <w:lang w:val="en-US" w:eastAsia="zh-CN" w:bidi="ar"/>
              </w:rPr>
              <w:t>一般</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人员、设备配置</w:t>
            </w:r>
            <w:r>
              <w:rPr>
                <w:rFonts w:hint="eastAsia" w:ascii="宋体" w:hAnsi="宋体" w:eastAsia="宋体" w:cs="宋体"/>
                <w:szCs w:val="21"/>
                <w:highlight w:val="none"/>
                <w:lang w:val="en-US" w:eastAsia="zh-CN" w:bidi="ar"/>
              </w:rPr>
              <w:t>基本满足项目需求；</w:t>
            </w:r>
            <w:r>
              <w:rPr>
                <w:rFonts w:hint="eastAsia" w:ascii="宋体" w:hAnsi="宋体" w:eastAsia="宋体" w:cs="宋体"/>
                <w:szCs w:val="21"/>
                <w:highlight w:val="none"/>
                <w:lang w:bidi="ar"/>
              </w:rPr>
              <w:t>项目区域气候、植物类型方案</w:t>
            </w:r>
            <w:r>
              <w:rPr>
                <w:rFonts w:hint="eastAsia" w:ascii="宋体" w:hAnsi="宋体" w:eastAsia="宋体" w:cs="宋体"/>
                <w:szCs w:val="21"/>
                <w:highlight w:val="none"/>
                <w:lang w:val="en-US" w:eastAsia="zh-CN" w:bidi="ar"/>
              </w:rPr>
              <w:t>较基础</w:t>
            </w:r>
            <w:r>
              <w:rPr>
                <w:rFonts w:hint="eastAsia" w:ascii="宋体" w:hAnsi="宋体" w:eastAsia="宋体" w:cs="宋体"/>
                <w:szCs w:val="21"/>
                <w:highlight w:val="none"/>
                <w:lang w:bidi="ar"/>
              </w:rPr>
              <w:t>，基本</w:t>
            </w:r>
            <w:r>
              <w:rPr>
                <w:rFonts w:hint="eastAsia" w:ascii="宋体" w:hAnsi="宋体" w:eastAsia="宋体" w:cs="宋体"/>
                <w:szCs w:val="21"/>
                <w:highlight w:val="none"/>
                <w:lang w:val="en-US" w:eastAsia="zh-CN" w:bidi="ar"/>
              </w:rPr>
              <w:t>满足</w:t>
            </w:r>
            <w:r>
              <w:rPr>
                <w:rFonts w:hint="eastAsia" w:ascii="宋体" w:hAnsi="宋体" w:eastAsia="宋体" w:cs="宋体"/>
                <w:szCs w:val="21"/>
                <w:highlight w:val="none"/>
                <w:lang w:bidi="ar"/>
              </w:rPr>
              <w:t>绿化养护要求，得（0</w:t>
            </w:r>
            <w:r>
              <w:rPr>
                <w:rFonts w:hint="eastAsia" w:ascii="宋体" w:hAnsi="宋体" w:eastAsia="宋体" w:cs="宋体"/>
                <w:szCs w:val="21"/>
                <w:highlight w:val="none"/>
                <w:lang w:val="en-US" w:eastAsia="zh-CN" w:bidi="ar"/>
              </w:rPr>
              <w:t>,0.5</w:t>
            </w:r>
            <w:r>
              <w:rPr>
                <w:rFonts w:hint="eastAsia" w:ascii="宋体" w:hAnsi="宋体" w:eastAsia="宋体" w:cs="宋体"/>
                <w:szCs w:val="21"/>
                <w:highlight w:val="none"/>
                <w:lang w:bidi="ar"/>
              </w:rPr>
              <w:t>]分。</w:t>
            </w:r>
          </w:p>
          <w:p w14:paraId="27E9A9C1">
            <w:pPr>
              <w:spacing w:line="360" w:lineRule="auto"/>
              <w:ind w:right="-34"/>
              <w:rPr>
                <w:highlight w:val="none"/>
              </w:rPr>
            </w:pPr>
            <w:r>
              <w:rPr>
                <w:rFonts w:hint="eastAsia" w:ascii="宋体" w:hAnsi="宋体" w:eastAsia="宋体" w:cs="宋体"/>
                <w:b/>
                <w:bCs/>
                <w:szCs w:val="21"/>
                <w:highlight w:val="none"/>
                <w:lang w:val="en-US" w:eastAsia="zh-CN" w:bidi="ar"/>
              </w:rPr>
              <w:t>未提供绿化管理方案的不得分。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4E34C51D">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分</w:t>
            </w:r>
          </w:p>
        </w:tc>
      </w:tr>
      <w:tr w14:paraId="04D0F1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63D99A6C">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eastAsia" w:ascii="宋体" w:hAnsi="宋体" w:eastAsia="宋体" w:cs="宋体"/>
                <w:kern w:val="0"/>
                <w:szCs w:val="21"/>
                <w:highlight w:val="none"/>
                <w:lang w:eastAsia="zh-CN"/>
              </w:rPr>
            </w:pPr>
            <w:r>
              <w:rPr>
                <w:rFonts w:hint="eastAsia" w:ascii="宋体" w:hAnsi="宋体" w:eastAsia="宋体" w:cs="宋体"/>
                <w:kern w:val="0"/>
                <w:szCs w:val="21"/>
                <w:highlight w:val="none"/>
                <w:lang w:val="en-US" w:eastAsia="zh-CN" w:bidi="ar"/>
              </w:rPr>
              <w:t>6</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5A27597A">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ascii="宋体" w:hAnsi="宋体" w:eastAsia="宋体" w:cs="宋体"/>
                <w:kern w:val="0"/>
                <w:szCs w:val="21"/>
                <w:highlight w:val="none"/>
              </w:rPr>
            </w:pPr>
            <w:r>
              <w:rPr>
                <w:rFonts w:hint="eastAsia" w:ascii="宋体" w:hAnsi="宋体" w:eastAsia="宋体" w:cs="宋体"/>
                <w:szCs w:val="21"/>
                <w:highlight w:val="none"/>
                <w:lang w:bidi="ar"/>
              </w:rPr>
              <w:t>除四害及白蚁防治管理方案</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14:paraId="39650ED4">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bidi="ar"/>
              </w:rPr>
              <w:t>对各投标人除四害及白蚁防治管理方案，根据方案的详尽度、清晰度、合理性及适应性进行评审：</w:t>
            </w:r>
          </w:p>
          <w:p w14:paraId="29AC38DF">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bidi="ar"/>
              </w:rPr>
              <w:t>优：除四害及自蚁防治管理方案</w:t>
            </w:r>
            <w:r>
              <w:rPr>
                <w:rFonts w:hint="eastAsia" w:ascii="宋体" w:hAnsi="宋体" w:eastAsia="宋体" w:cs="宋体"/>
                <w:szCs w:val="21"/>
                <w:highlight w:val="none"/>
                <w:lang w:val="en-US" w:eastAsia="zh-CN" w:bidi="ar"/>
              </w:rPr>
              <w:t>十分</w:t>
            </w:r>
            <w:r>
              <w:rPr>
                <w:rFonts w:hint="eastAsia" w:ascii="宋体" w:hAnsi="宋体" w:eastAsia="宋体" w:cs="宋体"/>
                <w:szCs w:val="21"/>
                <w:highlight w:val="none"/>
                <w:lang w:bidi="ar"/>
              </w:rPr>
              <w:t>详尽、清晰，完整覆盖除四害及白蚁防治全流程细节，药剂选用明确，作业频次与监测周期清晰可追溯</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合理性强，人员配置、设备选型与项目面积、害虫密度、环境类型精准匹配</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能结合项目区域特点、季节</w:t>
            </w:r>
            <w:r>
              <w:rPr>
                <w:rFonts w:hint="eastAsia" w:ascii="宋体" w:hAnsi="宋体" w:eastAsia="宋体" w:cs="宋体"/>
                <w:szCs w:val="21"/>
                <w:highlight w:val="none"/>
                <w:lang w:val="en-US" w:eastAsia="zh-CN" w:bidi="ar"/>
              </w:rPr>
              <w:t>虫</w:t>
            </w:r>
            <w:r>
              <w:rPr>
                <w:rFonts w:hint="eastAsia" w:ascii="宋体" w:hAnsi="宋体" w:eastAsia="宋体" w:cs="宋体"/>
                <w:szCs w:val="21"/>
                <w:highlight w:val="none"/>
                <w:lang w:bidi="ar"/>
              </w:rPr>
              <w:t>害规律制定针对性措施，得</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2,3</w:t>
            </w:r>
            <w:r>
              <w:rPr>
                <w:rFonts w:hint="eastAsia" w:ascii="宋体" w:hAnsi="宋体" w:eastAsia="宋体" w:cs="宋体"/>
                <w:szCs w:val="21"/>
                <w:highlight w:val="none"/>
                <w:lang w:bidi="ar"/>
              </w:rPr>
              <w:t>分]；</w:t>
            </w:r>
          </w:p>
          <w:p w14:paraId="011BE4F2">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bidi="ar"/>
              </w:rPr>
              <w:t>良：除四害及自蚁防治管理方案</w:t>
            </w:r>
            <w:r>
              <w:rPr>
                <w:rFonts w:hint="eastAsia" w:ascii="宋体" w:hAnsi="宋体" w:eastAsia="宋体" w:cs="宋体"/>
                <w:szCs w:val="21"/>
                <w:highlight w:val="none"/>
                <w:lang w:val="en-US" w:eastAsia="zh-CN" w:bidi="ar"/>
              </w:rPr>
              <w:t>较</w:t>
            </w:r>
            <w:r>
              <w:rPr>
                <w:rFonts w:hint="eastAsia" w:ascii="宋体" w:hAnsi="宋体" w:eastAsia="宋体" w:cs="宋体"/>
                <w:szCs w:val="21"/>
                <w:highlight w:val="none"/>
                <w:lang w:bidi="ar"/>
              </w:rPr>
              <w:t>详尽、清晰，完整覆盖除四害及白蚁防治全流程，药剂选用明确，作业频次与监测周期清晰可追溯</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合理性</w:t>
            </w:r>
            <w:r>
              <w:rPr>
                <w:rFonts w:hint="eastAsia" w:ascii="宋体" w:hAnsi="宋体" w:eastAsia="宋体" w:cs="宋体"/>
                <w:szCs w:val="21"/>
                <w:highlight w:val="none"/>
                <w:lang w:val="en-US" w:eastAsia="zh-CN" w:bidi="ar"/>
              </w:rPr>
              <w:t>较</w:t>
            </w:r>
            <w:r>
              <w:rPr>
                <w:rFonts w:hint="eastAsia" w:ascii="宋体" w:hAnsi="宋体" w:eastAsia="宋体" w:cs="宋体"/>
                <w:szCs w:val="21"/>
                <w:highlight w:val="none"/>
                <w:lang w:bidi="ar"/>
              </w:rPr>
              <w:t>强，人员配置、设备选型与项目面积、害虫密度、环境类型</w:t>
            </w:r>
            <w:r>
              <w:rPr>
                <w:rFonts w:hint="eastAsia" w:ascii="宋体" w:hAnsi="宋体" w:eastAsia="宋体" w:cs="宋体"/>
                <w:szCs w:val="21"/>
                <w:highlight w:val="none"/>
                <w:lang w:val="en-US" w:eastAsia="zh-CN" w:bidi="ar"/>
              </w:rPr>
              <w:t>合理</w:t>
            </w:r>
            <w:r>
              <w:rPr>
                <w:rFonts w:hint="eastAsia" w:ascii="宋体" w:hAnsi="宋体" w:eastAsia="宋体" w:cs="宋体"/>
                <w:szCs w:val="21"/>
                <w:highlight w:val="none"/>
                <w:lang w:bidi="ar"/>
              </w:rPr>
              <w:t>匹配</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能结合项目区域特点、季节</w:t>
            </w:r>
            <w:r>
              <w:rPr>
                <w:rFonts w:hint="eastAsia" w:ascii="宋体" w:hAnsi="宋体" w:eastAsia="宋体" w:cs="宋体"/>
                <w:szCs w:val="21"/>
                <w:highlight w:val="none"/>
                <w:lang w:val="en-US" w:eastAsia="zh-CN" w:bidi="ar"/>
              </w:rPr>
              <w:t>虫</w:t>
            </w:r>
            <w:r>
              <w:rPr>
                <w:rFonts w:hint="eastAsia" w:ascii="宋体" w:hAnsi="宋体" w:eastAsia="宋体" w:cs="宋体"/>
                <w:szCs w:val="21"/>
                <w:highlight w:val="none"/>
                <w:lang w:bidi="ar"/>
              </w:rPr>
              <w:t>害规律制定针对性措施，得（</w:t>
            </w:r>
            <w:r>
              <w:rPr>
                <w:rFonts w:hint="eastAsia" w:ascii="宋体" w:hAnsi="宋体" w:eastAsia="宋体" w:cs="宋体"/>
                <w:szCs w:val="21"/>
                <w:highlight w:val="none"/>
                <w:lang w:val="en-US" w:eastAsia="zh-CN" w:bidi="ar"/>
              </w:rPr>
              <w:t>1,2</w:t>
            </w:r>
            <w:r>
              <w:rPr>
                <w:rFonts w:hint="eastAsia" w:ascii="宋体" w:hAnsi="宋体" w:eastAsia="宋体" w:cs="宋体"/>
                <w:szCs w:val="21"/>
                <w:highlight w:val="none"/>
                <w:lang w:bidi="ar"/>
              </w:rPr>
              <w:t>分]；</w:t>
            </w:r>
          </w:p>
          <w:p w14:paraId="22A685D2">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bidi="ar"/>
              </w:rPr>
              <w:t>中：除四害及白蚁防治管理方案</w:t>
            </w:r>
            <w:r>
              <w:rPr>
                <w:rFonts w:hint="eastAsia" w:ascii="宋体" w:hAnsi="宋体" w:eastAsia="宋体" w:cs="宋体"/>
                <w:szCs w:val="21"/>
                <w:highlight w:val="none"/>
                <w:lang w:val="en-US" w:eastAsia="zh-CN" w:bidi="ar"/>
              </w:rPr>
              <w:t>一般</w:t>
            </w:r>
            <w:r>
              <w:rPr>
                <w:rFonts w:hint="eastAsia" w:ascii="宋体" w:hAnsi="宋体" w:eastAsia="宋体" w:cs="宋体"/>
                <w:szCs w:val="21"/>
                <w:highlight w:val="none"/>
                <w:lang w:bidi="ar"/>
              </w:rPr>
              <w:t>，仅明确主要害虫防治范围，未细化特殊场景防治要点，未区分季节性虫害差异</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部分内容表述模糊，如未明确药剂具体</w:t>
            </w:r>
            <w:r>
              <w:rPr>
                <w:rFonts w:hint="eastAsia" w:ascii="宋体" w:hAnsi="宋体" w:eastAsia="宋体" w:cs="宋体"/>
                <w:szCs w:val="21"/>
                <w:highlight w:val="none"/>
                <w:lang w:val="en-US" w:eastAsia="zh-CN" w:bidi="ar"/>
              </w:rPr>
              <w:t>使用要求及</w:t>
            </w:r>
            <w:r>
              <w:rPr>
                <w:rFonts w:hint="eastAsia" w:ascii="宋体" w:hAnsi="宋体" w:eastAsia="宋体" w:cs="宋体"/>
                <w:szCs w:val="21"/>
                <w:highlight w:val="none"/>
                <w:lang w:bidi="ar"/>
              </w:rPr>
              <w:t>白蚁监测点</w:t>
            </w:r>
            <w:r>
              <w:rPr>
                <w:rFonts w:hint="eastAsia" w:ascii="宋体" w:hAnsi="宋体" w:eastAsia="宋体" w:cs="宋体"/>
                <w:szCs w:val="21"/>
                <w:highlight w:val="none"/>
                <w:lang w:val="en-US" w:eastAsia="zh-CN" w:bidi="ar"/>
              </w:rPr>
              <w:t>布设密度</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合理性一般，人员排班或设备调度存在少量冗余</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能覆盖核心防治需求，但对项目特殊场景考虑不足，得（</w:t>
            </w:r>
            <w:r>
              <w:rPr>
                <w:rFonts w:hint="eastAsia" w:ascii="宋体" w:hAnsi="宋体" w:eastAsia="宋体" w:cs="宋体"/>
                <w:szCs w:val="21"/>
                <w:highlight w:val="none"/>
                <w:lang w:val="en-US" w:eastAsia="zh-CN" w:bidi="ar"/>
              </w:rPr>
              <w:t>0.5,1</w:t>
            </w:r>
            <w:r>
              <w:rPr>
                <w:rFonts w:hint="eastAsia" w:ascii="宋体" w:hAnsi="宋体" w:eastAsia="宋体" w:cs="宋体"/>
                <w:szCs w:val="21"/>
                <w:highlight w:val="none"/>
                <w:lang w:bidi="ar"/>
              </w:rPr>
              <w:t>分]；</w:t>
            </w:r>
          </w:p>
          <w:p w14:paraId="03308252">
            <w:pPr>
              <w:spacing w:line="360" w:lineRule="auto"/>
              <w:ind w:right="-34"/>
              <w:rPr>
                <w:rFonts w:hint="eastAsia" w:ascii="宋体" w:hAnsi="宋体" w:eastAsia="宋体" w:cs="宋体"/>
                <w:szCs w:val="21"/>
                <w:highlight w:val="none"/>
                <w:lang w:bidi="ar"/>
              </w:rPr>
            </w:pPr>
            <w:r>
              <w:rPr>
                <w:rFonts w:hint="eastAsia" w:ascii="宋体" w:hAnsi="宋体" w:eastAsia="宋体" w:cs="宋体"/>
                <w:szCs w:val="21"/>
                <w:highlight w:val="none"/>
                <w:lang w:bidi="ar"/>
              </w:rPr>
              <w:t>差：除四害及白蚁防治管理方案</w:t>
            </w:r>
            <w:r>
              <w:rPr>
                <w:rFonts w:hint="eastAsia" w:ascii="宋体" w:hAnsi="宋体" w:eastAsia="宋体" w:cs="宋体"/>
                <w:szCs w:val="21"/>
                <w:highlight w:val="none"/>
                <w:lang w:val="en-US" w:eastAsia="zh-CN" w:bidi="ar"/>
              </w:rPr>
              <w:t>基础</w:t>
            </w:r>
            <w:r>
              <w:rPr>
                <w:rFonts w:hint="eastAsia" w:ascii="宋体" w:hAnsi="宋体" w:eastAsia="宋体" w:cs="宋体"/>
                <w:szCs w:val="21"/>
                <w:highlight w:val="none"/>
                <w:lang w:bidi="ar"/>
              </w:rPr>
              <w:t>简单，害虫识别方法防治具体措施、作业频次与监测标准</w:t>
            </w:r>
            <w:r>
              <w:rPr>
                <w:rFonts w:hint="eastAsia" w:ascii="宋体" w:hAnsi="宋体" w:eastAsia="宋体" w:cs="宋体"/>
                <w:szCs w:val="21"/>
                <w:highlight w:val="none"/>
                <w:lang w:val="en-US" w:eastAsia="zh-CN" w:bidi="ar"/>
              </w:rPr>
              <w:t>基本满足需求</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合理性</w:t>
            </w:r>
            <w:r>
              <w:rPr>
                <w:rFonts w:hint="eastAsia" w:ascii="宋体" w:hAnsi="宋体" w:eastAsia="宋体" w:cs="宋体"/>
                <w:szCs w:val="21"/>
                <w:highlight w:val="none"/>
                <w:lang w:val="en-US" w:eastAsia="zh-CN" w:bidi="ar"/>
              </w:rPr>
              <w:t>一般</w:t>
            </w:r>
            <w:r>
              <w:rPr>
                <w:rFonts w:hint="eastAsia" w:ascii="宋体" w:hAnsi="宋体" w:eastAsia="宋体" w:cs="宋体"/>
                <w:szCs w:val="21"/>
                <w:highlight w:val="none"/>
                <w:lang w:bidi="ar"/>
              </w:rPr>
              <w:t>，人员、设备配置</w:t>
            </w:r>
            <w:r>
              <w:rPr>
                <w:rFonts w:hint="eastAsia" w:ascii="宋体" w:hAnsi="宋体" w:eastAsia="宋体" w:cs="宋体"/>
                <w:szCs w:val="21"/>
                <w:highlight w:val="none"/>
                <w:lang w:val="en-US" w:eastAsia="zh-CN" w:bidi="ar"/>
              </w:rPr>
              <w:t>基本满足项目需求</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项目区域环境、建筑类型方案</w:t>
            </w:r>
            <w:r>
              <w:rPr>
                <w:rFonts w:hint="eastAsia" w:ascii="宋体" w:hAnsi="宋体" w:eastAsia="宋体" w:cs="宋体"/>
                <w:szCs w:val="21"/>
                <w:highlight w:val="none"/>
                <w:lang w:val="en-US" w:eastAsia="zh-CN" w:bidi="ar"/>
              </w:rPr>
              <w:t>较基础</w:t>
            </w:r>
            <w:r>
              <w:rPr>
                <w:rFonts w:hint="eastAsia" w:ascii="宋体" w:hAnsi="宋体" w:eastAsia="宋体" w:cs="宋体"/>
                <w:szCs w:val="21"/>
                <w:highlight w:val="none"/>
                <w:lang w:bidi="ar"/>
              </w:rPr>
              <w:t>，</w:t>
            </w:r>
            <w:r>
              <w:rPr>
                <w:rFonts w:hint="eastAsia" w:ascii="宋体" w:hAnsi="宋体" w:eastAsia="宋体" w:cs="宋体"/>
                <w:szCs w:val="21"/>
                <w:highlight w:val="none"/>
                <w:lang w:val="en-US" w:eastAsia="zh-CN" w:bidi="ar"/>
              </w:rPr>
              <w:t>基本</w:t>
            </w:r>
            <w:r>
              <w:rPr>
                <w:rFonts w:hint="eastAsia" w:ascii="宋体" w:hAnsi="宋体" w:eastAsia="宋体" w:cs="宋体"/>
                <w:szCs w:val="21"/>
                <w:highlight w:val="none"/>
                <w:lang w:bidi="ar"/>
              </w:rPr>
              <w:t>满足除四害及白蚁防治要求，得（0</w:t>
            </w:r>
            <w:r>
              <w:rPr>
                <w:rFonts w:hint="eastAsia" w:ascii="宋体" w:hAnsi="宋体" w:eastAsia="宋体" w:cs="宋体"/>
                <w:szCs w:val="21"/>
                <w:highlight w:val="none"/>
                <w:lang w:val="en-US" w:eastAsia="zh-CN" w:bidi="ar"/>
              </w:rPr>
              <w:t>,0.5</w:t>
            </w:r>
            <w:r>
              <w:rPr>
                <w:rFonts w:hint="eastAsia" w:ascii="宋体" w:hAnsi="宋体" w:eastAsia="宋体" w:cs="宋体"/>
                <w:szCs w:val="21"/>
                <w:highlight w:val="none"/>
                <w:lang w:bidi="ar"/>
              </w:rPr>
              <w:t>分]。</w:t>
            </w:r>
          </w:p>
          <w:p w14:paraId="04F977D7">
            <w:pPr>
              <w:spacing w:line="360" w:lineRule="auto"/>
              <w:ind w:right="-34"/>
              <w:rPr>
                <w:highlight w:val="none"/>
              </w:rPr>
            </w:pPr>
            <w:r>
              <w:rPr>
                <w:rFonts w:hint="eastAsia" w:ascii="宋体" w:hAnsi="宋体" w:eastAsia="宋体" w:cs="宋体"/>
                <w:b/>
                <w:bCs/>
                <w:szCs w:val="21"/>
                <w:highlight w:val="none"/>
                <w:lang w:val="en-US" w:eastAsia="zh-CN" w:bidi="ar"/>
              </w:rPr>
              <w:t>未提供除四害及白蚁防治管理方案的不得分。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578F3863">
            <w:pPr>
              <w:spacing w:line="360" w:lineRule="auto"/>
              <w:jc w:val="center"/>
              <w:rPr>
                <w:rFonts w:ascii="宋体" w:hAnsi="宋体" w:eastAsia="宋体" w:cs="宋体"/>
                <w:kern w:val="0"/>
                <w:szCs w:val="21"/>
                <w:highlight w:val="none"/>
              </w:rPr>
            </w:pP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分</w:t>
            </w:r>
          </w:p>
        </w:tc>
      </w:tr>
      <w:tr w14:paraId="44AC8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14BFF9D7">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7</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46F4518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增值服务方案</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14:paraId="072805CC">
            <w:pPr>
              <w:spacing w:line="360" w:lineRule="auto"/>
              <w:ind w:right="-34"/>
              <w:rPr>
                <w:rFonts w:hint="eastAsia" w:ascii="宋体" w:hAnsi="宋体" w:eastAsia="宋体" w:cs="宋体"/>
                <w:szCs w:val="21"/>
                <w:highlight w:val="none"/>
                <w:lang w:eastAsia="zh-CN" w:bidi="ar"/>
              </w:rPr>
            </w:pPr>
            <w:r>
              <w:rPr>
                <w:rFonts w:hint="eastAsia" w:ascii="宋体" w:hAnsi="宋体" w:eastAsia="宋体" w:cs="宋体"/>
                <w:szCs w:val="21"/>
                <w:highlight w:val="none"/>
                <w:lang w:bidi="ar"/>
              </w:rPr>
              <w:t>对招标人重点关注的池壁清洁、生产车间保洁、除“四害”及防疫服务内容，在满足项目基本要求的前提下，为本项目提供的增值服务方案，根据方案的可行性、详尽度、清晰度、合理性及适应性进行评审</w:t>
            </w:r>
            <w:r>
              <w:rPr>
                <w:rFonts w:hint="eastAsia" w:ascii="宋体" w:hAnsi="宋体" w:eastAsia="宋体" w:cs="宋体"/>
                <w:szCs w:val="21"/>
                <w:highlight w:val="none"/>
                <w:lang w:eastAsia="zh-CN" w:bidi="ar"/>
              </w:rPr>
              <w:t>：</w:t>
            </w:r>
          </w:p>
          <w:p w14:paraId="258AAD19">
            <w:pPr>
              <w:spacing w:line="360" w:lineRule="auto"/>
              <w:ind w:right="-34"/>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bidi="ar"/>
              </w:rPr>
              <w:t>优</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方案内容具体，投入明确。在满足项目要求基础上，提供切实可行的增值服务(如保洁及消杀频次的合理提升、免费提供防</w:t>
            </w:r>
            <w:r>
              <w:rPr>
                <w:rFonts w:hint="eastAsia" w:ascii="宋体" w:hAnsi="宋体" w:eastAsia="宋体" w:cs="宋体"/>
                <w:szCs w:val="21"/>
                <w:highlight w:val="none"/>
                <w:lang w:val="en-US" w:eastAsia="zh-CN" w:bidi="ar"/>
              </w:rPr>
              <w:t>疫</w:t>
            </w:r>
            <w:r>
              <w:rPr>
                <w:rFonts w:hint="eastAsia" w:ascii="宋体" w:hAnsi="宋体" w:eastAsia="宋体" w:cs="宋体"/>
                <w:szCs w:val="21"/>
                <w:highlight w:val="none"/>
                <w:lang w:bidi="ar"/>
              </w:rPr>
              <w:t>物资、节庆期间各区域应节绿植布置及定期更换服务、重点区域强化消杀等)，并配有清晰的人力、物资及设备投入计划。服务指标</w:t>
            </w:r>
            <w:r>
              <w:rPr>
                <w:rFonts w:hint="eastAsia" w:ascii="宋体" w:hAnsi="宋体" w:eastAsia="宋体" w:cs="宋体"/>
                <w:szCs w:val="21"/>
                <w:highlight w:val="none"/>
                <w:lang w:val="en-US" w:eastAsia="zh-CN" w:bidi="ar"/>
              </w:rPr>
              <w:t>量化</w:t>
            </w:r>
            <w:r>
              <w:rPr>
                <w:rFonts w:hint="eastAsia" w:ascii="宋体" w:hAnsi="宋体" w:eastAsia="宋体" w:cs="宋体"/>
                <w:szCs w:val="21"/>
                <w:highlight w:val="none"/>
                <w:lang w:bidi="ar"/>
              </w:rPr>
              <w:t>充分，资源配置与</w:t>
            </w:r>
            <w:r>
              <w:rPr>
                <w:rFonts w:hint="eastAsia" w:ascii="宋体" w:hAnsi="宋体" w:eastAsia="宋体" w:cs="宋体"/>
                <w:szCs w:val="21"/>
                <w:highlight w:val="none"/>
                <w:lang w:val="en-US" w:eastAsia="zh-CN" w:bidi="ar"/>
              </w:rPr>
              <w:t>各服务点</w:t>
            </w:r>
            <w:r>
              <w:rPr>
                <w:rFonts w:hint="eastAsia" w:ascii="宋体" w:hAnsi="宋体" w:eastAsia="宋体" w:cs="宋体"/>
                <w:szCs w:val="21"/>
                <w:highlight w:val="none"/>
                <w:lang w:bidi="ar"/>
              </w:rPr>
              <w:t>面积、作业</w:t>
            </w:r>
            <w:r>
              <w:rPr>
                <w:rFonts w:hint="eastAsia" w:ascii="宋体" w:hAnsi="宋体" w:eastAsia="宋体" w:cs="宋体"/>
                <w:szCs w:val="21"/>
                <w:highlight w:val="none"/>
                <w:lang w:val="en-US" w:eastAsia="zh-CN" w:bidi="ar"/>
              </w:rPr>
              <w:t>量</w:t>
            </w:r>
            <w:r>
              <w:rPr>
                <w:rFonts w:hint="eastAsia" w:ascii="宋体" w:hAnsi="宋体" w:eastAsia="宋体" w:cs="宋体"/>
                <w:szCs w:val="21"/>
                <w:highlight w:val="none"/>
                <w:lang w:bidi="ar"/>
              </w:rPr>
              <w:t>精准匹配，方案逻辑严密、操作性强，高度契合本项目多厂区、环境差异大的实际特点，实施效果易于评估，实用性和适应性突出，得</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3,4]</w:t>
            </w:r>
            <w:r>
              <w:rPr>
                <w:rFonts w:hint="eastAsia" w:ascii="宋体" w:hAnsi="宋体" w:eastAsia="宋体" w:cs="宋体"/>
                <w:szCs w:val="21"/>
                <w:highlight w:val="none"/>
                <w:lang w:bidi="ar"/>
              </w:rPr>
              <w:t>分</w:t>
            </w:r>
            <w:r>
              <w:rPr>
                <w:rFonts w:hint="eastAsia" w:ascii="宋体" w:hAnsi="宋体" w:eastAsia="宋体" w:cs="宋体"/>
                <w:szCs w:val="21"/>
                <w:highlight w:val="none"/>
                <w:lang w:val="en-US" w:eastAsia="zh-CN" w:bidi="ar"/>
              </w:rPr>
              <w:t>；</w:t>
            </w:r>
          </w:p>
          <w:p w14:paraId="61CCA447">
            <w:pPr>
              <w:spacing w:line="360" w:lineRule="auto"/>
              <w:ind w:right="-34"/>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良：方案内容较具体，投入较明确。在满足项目要求基础上，提供可行性较高的增值服务，但未配有清晰的人力、物资及设备投入计划。服务指标量化一般，方案逻辑相对严谨、操作性较强，实用性和适应性较突出的，得（2,3]分；</w:t>
            </w:r>
          </w:p>
          <w:p w14:paraId="54287DF6">
            <w:pPr>
              <w:spacing w:line="360" w:lineRule="auto"/>
              <w:ind w:right="-34"/>
              <w:rPr>
                <w:rFonts w:hint="eastAsia" w:ascii="宋体" w:hAnsi="宋体" w:eastAsia="宋体" w:cs="宋体"/>
                <w:szCs w:val="21"/>
                <w:highlight w:val="none"/>
                <w:lang w:eastAsia="zh-CN" w:bidi="ar"/>
              </w:rPr>
            </w:pPr>
            <w:r>
              <w:rPr>
                <w:rFonts w:hint="eastAsia" w:ascii="宋体" w:hAnsi="宋体" w:eastAsia="宋体" w:cs="宋体"/>
                <w:szCs w:val="21"/>
                <w:highlight w:val="none"/>
                <w:lang w:val="en-US" w:eastAsia="zh-CN" w:bidi="ar"/>
              </w:rPr>
              <w:t>中：</w:t>
            </w:r>
            <w:r>
              <w:rPr>
                <w:rFonts w:hint="eastAsia" w:ascii="宋体" w:hAnsi="宋体" w:eastAsia="宋体" w:cs="宋体"/>
                <w:szCs w:val="21"/>
                <w:highlight w:val="none"/>
                <w:lang w:bidi="ar"/>
              </w:rPr>
              <w:t>方案内容空泛，投入描述模糊。虽提出部分增值服务方向(如“加强清洁</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“确保防疫”等)，但缺乏具体量化指标和针对性资源安排，未体现与各</w:t>
            </w:r>
            <w:r>
              <w:rPr>
                <w:rFonts w:hint="eastAsia" w:ascii="宋体" w:hAnsi="宋体" w:eastAsia="宋体" w:cs="宋体"/>
                <w:szCs w:val="21"/>
                <w:highlight w:val="none"/>
                <w:lang w:val="en-US" w:eastAsia="zh-CN" w:bidi="ar"/>
              </w:rPr>
              <w:t>服务点</w:t>
            </w:r>
            <w:r>
              <w:rPr>
                <w:rFonts w:hint="eastAsia" w:ascii="宋体" w:hAnsi="宋体" w:eastAsia="宋体" w:cs="宋体"/>
                <w:szCs w:val="21"/>
                <w:highlight w:val="none"/>
                <w:lang w:bidi="ar"/>
              </w:rPr>
              <w:t>实际需求的有效对接。方案可行性一般，实施路径不清晰，难以准确评估服务成效，实用性和适应性有限，得</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1,</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分</w:t>
            </w:r>
            <w:r>
              <w:rPr>
                <w:rFonts w:hint="eastAsia" w:ascii="宋体" w:hAnsi="宋体" w:eastAsia="宋体" w:cs="宋体"/>
                <w:szCs w:val="21"/>
                <w:highlight w:val="none"/>
                <w:lang w:eastAsia="zh-CN" w:bidi="ar"/>
              </w:rPr>
              <w:t>；</w:t>
            </w:r>
          </w:p>
          <w:p w14:paraId="320AE90B">
            <w:pPr>
              <w:spacing w:line="360" w:lineRule="auto"/>
              <w:ind w:right="-34"/>
              <w:rPr>
                <w:rFonts w:hint="eastAsia" w:ascii="宋体" w:hAnsi="宋体" w:eastAsia="宋体" w:cs="宋体"/>
                <w:szCs w:val="21"/>
                <w:highlight w:val="none"/>
                <w:lang w:bidi="ar"/>
              </w:rPr>
            </w:pPr>
            <w:r>
              <w:rPr>
                <w:rFonts w:hint="eastAsia" w:ascii="宋体" w:hAnsi="宋体" w:eastAsia="宋体" w:cs="宋体"/>
                <w:szCs w:val="21"/>
                <w:highlight w:val="none"/>
                <w:lang w:bidi="ar"/>
              </w:rPr>
              <w:t>差:方案</w:t>
            </w:r>
            <w:r>
              <w:rPr>
                <w:rFonts w:hint="eastAsia" w:ascii="宋体" w:hAnsi="宋体" w:eastAsia="宋体" w:cs="宋体"/>
                <w:szCs w:val="21"/>
                <w:highlight w:val="none"/>
                <w:lang w:val="en-US" w:eastAsia="zh-CN" w:bidi="ar"/>
              </w:rPr>
              <w:t>基础简单</w:t>
            </w:r>
            <w:r>
              <w:rPr>
                <w:rFonts w:hint="eastAsia" w:ascii="宋体" w:hAnsi="宋体" w:eastAsia="宋体" w:cs="宋体"/>
                <w:szCs w:val="21"/>
                <w:highlight w:val="none"/>
                <w:lang w:bidi="ar"/>
              </w:rPr>
              <w:t>。未提供任何与本项目相关的具体增值服务内容，或所提内容空洞、脱离实际，无实质性投入计划，不具备可操作性与实施基础，无法满足项目需求，不具备评审价值，得</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0</w:t>
            </w:r>
            <w:r>
              <w:rPr>
                <w:rFonts w:hint="eastAsia" w:ascii="宋体" w:hAnsi="宋体" w:eastAsia="宋体" w:cs="宋体"/>
                <w:szCs w:val="21"/>
                <w:highlight w:val="none"/>
                <w:lang w:val="en-US" w:eastAsia="zh-CN" w:bidi="ar"/>
              </w:rPr>
              <w:t>,</w:t>
            </w:r>
            <w:r>
              <w:rPr>
                <w:rFonts w:hint="eastAsia" w:ascii="宋体" w:hAnsi="宋体" w:eastAsia="宋体" w:cs="宋体"/>
                <w:szCs w:val="21"/>
                <w:highlight w:val="none"/>
                <w:lang w:bidi="ar"/>
              </w:rPr>
              <w:t>1</w:t>
            </w:r>
            <w:r>
              <w:rPr>
                <w:rFonts w:hint="eastAsia" w:ascii="宋体" w:hAnsi="宋体" w:eastAsia="宋体" w:cs="宋体"/>
                <w:szCs w:val="21"/>
                <w:highlight w:val="none"/>
                <w:lang w:val="en-US" w:eastAsia="zh-CN" w:bidi="ar"/>
              </w:rPr>
              <w:t>]</w:t>
            </w:r>
            <w:r>
              <w:rPr>
                <w:rFonts w:hint="eastAsia" w:ascii="宋体" w:hAnsi="宋体" w:eastAsia="宋体" w:cs="宋体"/>
                <w:szCs w:val="21"/>
                <w:highlight w:val="none"/>
                <w:lang w:bidi="ar"/>
              </w:rPr>
              <w:t>分。</w:t>
            </w:r>
          </w:p>
          <w:p w14:paraId="0C79CD0F">
            <w:pPr>
              <w:spacing w:line="360" w:lineRule="auto"/>
              <w:ind w:right="-34"/>
              <w:rPr>
                <w:rFonts w:hint="eastAsia" w:ascii="宋体" w:hAnsi="宋体" w:eastAsia="宋体" w:cs="宋体"/>
                <w:szCs w:val="21"/>
                <w:highlight w:val="none"/>
                <w:lang w:bidi="ar"/>
              </w:rPr>
            </w:pPr>
            <w:r>
              <w:rPr>
                <w:rFonts w:hint="eastAsia" w:ascii="宋体" w:hAnsi="宋体" w:eastAsia="宋体" w:cs="宋体"/>
                <w:b/>
                <w:bCs/>
                <w:szCs w:val="21"/>
                <w:highlight w:val="none"/>
                <w:lang w:bidi="ar"/>
              </w:rPr>
              <w:t>备注</w:t>
            </w:r>
            <w:r>
              <w:rPr>
                <w:rFonts w:hint="eastAsia" w:ascii="宋体" w:hAnsi="宋体" w:eastAsia="宋体" w:cs="宋体"/>
                <w:b/>
                <w:bCs/>
                <w:szCs w:val="21"/>
                <w:highlight w:val="none"/>
                <w:lang w:eastAsia="zh-CN" w:bidi="ar"/>
              </w:rPr>
              <w:t>：</w:t>
            </w:r>
            <w:r>
              <w:rPr>
                <w:rFonts w:hint="eastAsia" w:ascii="宋体" w:hAnsi="宋体" w:eastAsia="宋体" w:cs="宋体"/>
                <w:b/>
                <w:bCs/>
                <w:szCs w:val="21"/>
                <w:highlight w:val="none"/>
                <w:lang w:bidi="ar"/>
              </w:rPr>
              <w:t>投标人须同时提供增值服务方案及《增值</w:t>
            </w:r>
            <w:r>
              <w:rPr>
                <w:rFonts w:hint="eastAsia" w:ascii="宋体" w:hAnsi="宋体" w:eastAsia="宋体" w:cs="宋体"/>
                <w:b/>
                <w:bCs/>
                <w:szCs w:val="21"/>
                <w:highlight w:val="none"/>
                <w:lang w:val="en-US" w:eastAsia="zh-CN" w:bidi="ar"/>
              </w:rPr>
              <w:t>服</w:t>
            </w:r>
            <w:r>
              <w:rPr>
                <w:rFonts w:hint="eastAsia" w:ascii="宋体" w:hAnsi="宋体" w:eastAsia="宋体" w:cs="宋体"/>
                <w:b/>
                <w:bCs/>
                <w:szCs w:val="21"/>
                <w:highlight w:val="none"/>
                <w:lang w:bidi="ar"/>
              </w:rPr>
              <w:t>务承诺书》，未按上述要求提供证明材料的不得分。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583A7CD8">
            <w:pPr>
              <w:spacing w:line="360" w:lineRule="auto"/>
              <w:jc w:val="center"/>
              <w:rPr>
                <w:rFonts w:hint="default"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4分</w:t>
            </w:r>
          </w:p>
        </w:tc>
      </w:tr>
      <w:tr w14:paraId="73BC50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0E5C231F">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8</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75DD21A7">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default"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安全作业及应急预案</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14:paraId="20394E7E">
            <w:pPr>
              <w:keepNext w:val="0"/>
              <w:keepLines w:val="0"/>
              <w:pageBreakBefore w:val="0"/>
              <w:kinsoku/>
              <w:wordWrap/>
              <w:overflowPunct/>
              <w:topLinePunct w:val="0"/>
              <w:autoSpaceDE/>
              <w:autoSpaceDN/>
              <w:bidi w:val="0"/>
              <w:snapToGrid/>
              <w:spacing w:line="360" w:lineRule="auto"/>
              <w:ind w:right="-34"/>
              <w:textAlignment w:val="auto"/>
              <w:outlineLvl w:val="9"/>
              <w:rPr>
                <w:rFonts w:hint="eastAsia" w:ascii="宋体" w:hAnsi="宋体" w:eastAsia="宋体" w:cs="宋体"/>
                <w:b w:val="0"/>
                <w:bCs w:val="0"/>
                <w:kern w:val="2"/>
                <w:sz w:val="21"/>
                <w:szCs w:val="21"/>
                <w:highlight w:val="none"/>
                <w:lang w:val="en-US" w:eastAsia="zh-CN" w:bidi="ar"/>
              </w:rPr>
            </w:pPr>
            <w:r>
              <w:rPr>
                <w:rFonts w:hint="eastAsia" w:ascii="宋体" w:hAnsi="宋体" w:eastAsia="宋体" w:cs="宋体"/>
                <w:b w:val="0"/>
                <w:bCs w:val="0"/>
                <w:kern w:val="2"/>
                <w:sz w:val="21"/>
                <w:szCs w:val="21"/>
                <w:highlight w:val="none"/>
                <w:lang w:val="en-US" w:eastAsia="zh-CN" w:bidi="ar"/>
              </w:rPr>
              <w:t>根据投标人提供的安全作业及应急预案(包括：危险作业安全规范、突发事故应急响应流程、现场人员安全培训与防护、恶劣天气及特殊环境作业预案）进行评审：</w:t>
            </w:r>
          </w:p>
          <w:p w14:paraId="48371922">
            <w:pPr>
              <w:spacing w:line="360" w:lineRule="auto"/>
              <w:ind w:right="-34"/>
              <w:rPr>
                <w:rFonts w:hint="eastAsia" w:ascii="宋体" w:hAnsi="宋体" w:eastAsia="宋体" w:cs="宋体"/>
                <w:szCs w:val="21"/>
                <w:highlight w:val="none"/>
                <w:lang w:bidi="ar"/>
              </w:rPr>
            </w:pPr>
            <w:r>
              <w:rPr>
                <w:rFonts w:hint="eastAsia" w:ascii="宋体" w:hAnsi="宋体" w:eastAsia="宋体" w:cs="宋体"/>
                <w:szCs w:val="21"/>
                <w:highlight w:val="none"/>
                <w:lang w:bidi="ar"/>
              </w:rPr>
              <w:t>优：投标人提供的安全作业及应急预案内容完整、详细、条理清晰，全面覆盖各类危险作业场景；方案中危险识别准确、防护措施具体可行</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且配备有针对本项目特点（如池内清洗、高空绿化作业等）的应急预案完全满足且显著优于采购需求</w:t>
            </w:r>
            <w:r>
              <w:rPr>
                <w:rFonts w:hint="eastAsia" w:ascii="宋体" w:hAnsi="宋体" w:eastAsia="宋体" w:cs="宋体"/>
                <w:szCs w:val="21"/>
                <w:highlight w:val="none"/>
                <w:lang w:val="en-US" w:eastAsia="zh-CN" w:bidi="ar"/>
              </w:rPr>
              <w:t>的</w:t>
            </w:r>
            <w:r>
              <w:rPr>
                <w:rFonts w:hint="eastAsia" w:ascii="宋体" w:hAnsi="宋体" w:eastAsia="宋体" w:cs="宋体"/>
                <w:szCs w:val="21"/>
                <w:highlight w:val="none"/>
                <w:lang w:bidi="ar"/>
              </w:rPr>
              <w:t>，得（2,3]分；</w:t>
            </w:r>
          </w:p>
          <w:p w14:paraId="2D259222">
            <w:pPr>
              <w:spacing w:line="360" w:lineRule="auto"/>
              <w:ind w:right="-34"/>
              <w:rPr>
                <w:rFonts w:hint="eastAsia" w:ascii="宋体" w:hAnsi="宋体" w:eastAsia="宋体" w:cs="宋体"/>
                <w:szCs w:val="21"/>
                <w:highlight w:val="none"/>
                <w:lang w:bidi="ar"/>
              </w:rPr>
            </w:pPr>
            <w:r>
              <w:rPr>
                <w:rFonts w:hint="eastAsia" w:ascii="宋体" w:hAnsi="宋体" w:eastAsia="宋体" w:cs="宋体"/>
                <w:szCs w:val="21"/>
                <w:highlight w:val="none"/>
                <w:lang w:bidi="ar"/>
              </w:rPr>
              <w:t>良：投标人提供的安全作业及应急预案内容较完整、清晰，基本覆盖主要作业风险及常见应急情形；方案中危险作业防护措施具有一定针对性，能结合项目实际提出相应保障措施；完全满足采购需求</w:t>
            </w:r>
            <w:r>
              <w:rPr>
                <w:rFonts w:hint="eastAsia" w:ascii="宋体" w:hAnsi="宋体" w:eastAsia="宋体" w:cs="宋体"/>
                <w:szCs w:val="21"/>
                <w:highlight w:val="none"/>
                <w:lang w:val="en-US" w:eastAsia="zh-CN" w:bidi="ar"/>
              </w:rPr>
              <w:t>的</w:t>
            </w:r>
            <w:r>
              <w:rPr>
                <w:rFonts w:hint="eastAsia" w:ascii="宋体" w:hAnsi="宋体" w:eastAsia="宋体" w:cs="宋体"/>
                <w:szCs w:val="21"/>
                <w:highlight w:val="none"/>
                <w:lang w:bidi="ar"/>
              </w:rPr>
              <w:t>，得（1,2]分；</w:t>
            </w:r>
          </w:p>
          <w:p w14:paraId="600CB974">
            <w:pPr>
              <w:spacing w:line="360" w:lineRule="auto"/>
              <w:ind w:right="-34"/>
              <w:rPr>
                <w:rFonts w:hint="eastAsia" w:ascii="宋体" w:hAnsi="宋体" w:eastAsia="宋体" w:cs="宋体"/>
                <w:szCs w:val="21"/>
                <w:highlight w:val="none"/>
                <w:lang w:bidi="ar"/>
              </w:rPr>
            </w:pPr>
            <w:r>
              <w:rPr>
                <w:rFonts w:hint="eastAsia" w:ascii="宋体" w:hAnsi="宋体" w:eastAsia="宋体" w:cs="宋体"/>
                <w:szCs w:val="21"/>
                <w:highlight w:val="none"/>
                <w:lang w:bidi="ar"/>
              </w:rPr>
              <w:t>中：投标人提供的安全作业及应急预案内容一般，框架基本完整但部分细节较为笼统；危险作业防护和应急措施表述较为常规，缺乏针对本项目特殊作业场景（如池内清洗、高空绿化作业等）的预案；满足采购基本需求，但在针对性和实操性上有一定欠缺</w:t>
            </w:r>
            <w:r>
              <w:rPr>
                <w:rFonts w:hint="eastAsia" w:ascii="宋体" w:hAnsi="宋体" w:eastAsia="宋体" w:cs="宋体"/>
                <w:szCs w:val="21"/>
                <w:highlight w:val="none"/>
                <w:lang w:val="en-US" w:eastAsia="zh-CN" w:bidi="ar"/>
              </w:rPr>
              <w:t>的</w:t>
            </w:r>
            <w:r>
              <w:rPr>
                <w:rFonts w:hint="eastAsia" w:ascii="宋体" w:hAnsi="宋体" w:eastAsia="宋体" w:cs="宋体"/>
                <w:szCs w:val="21"/>
                <w:highlight w:val="none"/>
                <w:lang w:bidi="ar"/>
              </w:rPr>
              <w:t>，得（0.5,1]分；</w:t>
            </w:r>
          </w:p>
          <w:p w14:paraId="52EAF3E2">
            <w:pPr>
              <w:spacing w:line="360" w:lineRule="auto"/>
              <w:ind w:right="-34"/>
              <w:rPr>
                <w:rFonts w:hint="eastAsia" w:ascii="宋体" w:hAnsi="宋体" w:eastAsia="宋体" w:cs="宋体"/>
                <w:szCs w:val="21"/>
                <w:highlight w:val="none"/>
                <w:lang w:bidi="ar"/>
              </w:rPr>
            </w:pPr>
            <w:r>
              <w:rPr>
                <w:rFonts w:hint="eastAsia" w:ascii="宋体" w:hAnsi="宋体" w:eastAsia="宋体" w:cs="宋体"/>
                <w:szCs w:val="21"/>
                <w:highlight w:val="none"/>
                <w:lang w:bidi="ar"/>
              </w:rPr>
              <w:t>差：投标人提供的安全作业及应急预案内容简单、基础，仅列出通用安全注意事项和基本应急步骤；危险作业防护要求不具体，与本项目特点结合较弱；基本满足用户需求，但缺乏系统性和深度</w:t>
            </w:r>
            <w:r>
              <w:rPr>
                <w:rFonts w:hint="eastAsia" w:ascii="宋体" w:hAnsi="宋体" w:eastAsia="宋体" w:cs="宋体"/>
                <w:szCs w:val="21"/>
                <w:highlight w:val="none"/>
                <w:lang w:val="en-US" w:eastAsia="zh-CN" w:bidi="ar"/>
              </w:rPr>
              <w:t>的</w:t>
            </w:r>
            <w:r>
              <w:rPr>
                <w:rFonts w:hint="eastAsia" w:ascii="宋体" w:hAnsi="宋体" w:eastAsia="宋体" w:cs="宋体"/>
                <w:szCs w:val="21"/>
                <w:highlight w:val="none"/>
                <w:lang w:bidi="ar"/>
              </w:rPr>
              <w:t>，得（0,0.5]分。</w:t>
            </w:r>
          </w:p>
          <w:p w14:paraId="7B65B43F">
            <w:pPr>
              <w:spacing w:line="360" w:lineRule="auto"/>
              <w:ind w:right="-34"/>
              <w:rPr>
                <w:rFonts w:hint="eastAsia"/>
                <w:highlight w:val="none"/>
              </w:rPr>
            </w:pPr>
            <w:r>
              <w:rPr>
                <w:rFonts w:hint="eastAsia" w:ascii="宋体" w:hAnsi="宋体" w:eastAsia="宋体" w:cs="宋体"/>
                <w:b/>
                <w:bCs/>
                <w:szCs w:val="21"/>
                <w:highlight w:val="none"/>
                <w:lang w:val="en-US" w:eastAsia="zh-CN" w:bidi="ar"/>
              </w:rPr>
              <w:t>未提供安全作业及应急预案的不得分。</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78E35346">
            <w:pPr>
              <w:spacing w:line="360" w:lineRule="auto"/>
              <w:jc w:val="center"/>
              <w:rPr>
                <w:rFonts w:hint="default"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3分</w:t>
            </w:r>
          </w:p>
        </w:tc>
      </w:tr>
      <w:tr w14:paraId="40D178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322" w:type="pct"/>
            <w:tcBorders>
              <w:top w:val="single" w:color="auto" w:sz="4" w:space="0"/>
              <w:left w:val="single" w:color="auto" w:sz="4" w:space="0"/>
              <w:bottom w:val="single" w:color="auto" w:sz="4" w:space="0"/>
              <w:right w:val="single" w:color="auto" w:sz="4" w:space="0"/>
            </w:tcBorders>
            <w:shd w:val="clear" w:color="auto" w:fill="auto"/>
            <w:vAlign w:val="center"/>
          </w:tcPr>
          <w:p w14:paraId="0D48919D">
            <w:pPr>
              <w:keepNext w:val="0"/>
              <w:keepLines w:val="0"/>
              <w:pageBreakBefore w:val="0"/>
              <w:widowControl w:val="0"/>
              <w:kinsoku/>
              <w:wordWrap/>
              <w:overflowPunct/>
              <w:topLinePunct w:val="0"/>
              <w:autoSpaceDE w:val="0"/>
              <w:autoSpaceDN w:val="0"/>
              <w:bidi w:val="0"/>
              <w:adjustRightInd w:val="0"/>
              <w:snapToGrid/>
              <w:spacing w:line="240" w:lineRule="auto"/>
              <w:jc w:val="center"/>
              <w:textAlignment w:val="auto"/>
              <w:rPr>
                <w:rFonts w:hint="default" w:ascii="宋体" w:hAnsi="宋体" w:eastAsia="宋体" w:cs="宋体"/>
                <w:kern w:val="0"/>
                <w:szCs w:val="21"/>
                <w:highlight w:val="none"/>
                <w:lang w:val="en-US" w:eastAsia="zh-CN" w:bidi="ar"/>
              </w:rPr>
            </w:pPr>
            <w:r>
              <w:rPr>
                <w:rFonts w:hint="eastAsia" w:ascii="宋体" w:hAnsi="宋体" w:eastAsia="宋体" w:cs="宋体"/>
                <w:kern w:val="0"/>
                <w:szCs w:val="21"/>
                <w:highlight w:val="none"/>
                <w:lang w:val="en-US" w:eastAsia="zh-CN" w:bidi="ar"/>
              </w:rPr>
              <w:t>9</w:t>
            </w:r>
          </w:p>
        </w:tc>
        <w:tc>
          <w:tcPr>
            <w:tcW w:w="546" w:type="pct"/>
            <w:tcBorders>
              <w:top w:val="single" w:color="auto" w:sz="4" w:space="0"/>
              <w:left w:val="single" w:color="auto" w:sz="4" w:space="0"/>
              <w:bottom w:val="single" w:color="auto" w:sz="4" w:space="0"/>
              <w:right w:val="single" w:color="auto" w:sz="4" w:space="0"/>
            </w:tcBorders>
            <w:shd w:val="clear" w:color="auto" w:fill="auto"/>
            <w:vAlign w:val="center"/>
          </w:tcPr>
          <w:p w14:paraId="4FC7CD73">
            <w:pPr>
              <w:keepNext w:val="0"/>
              <w:keepLines w:val="0"/>
              <w:pageBreakBefore w:val="0"/>
              <w:widowControl w:val="0"/>
              <w:kinsoku/>
              <w:wordWrap/>
              <w:overflowPunct/>
              <w:topLinePunct w:val="0"/>
              <w:bidi w:val="0"/>
              <w:snapToGrid/>
              <w:spacing w:line="240" w:lineRule="auto"/>
              <w:jc w:val="center"/>
              <w:textAlignment w:val="auto"/>
              <w:rPr>
                <w:rFonts w:ascii="宋体" w:hAnsi="宋体" w:eastAsia="宋体" w:cs="宋体"/>
                <w:szCs w:val="21"/>
                <w:highlight w:val="none"/>
                <w:lang w:bidi="ar"/>
              </w:rPr>
            </w:pPr>
            <w:r>
              <w:rPr>
                <w:rFonts w:hint="eastAsia" w:ascii="宋体" w:hAnsi="宋体" w:eastAsia="宋体" w:cs="宋体"/>
                <w:szCs w:val="21"/>
                <w:highlight w:val="none"/>
                <w:lang w:bidi="ar"/>
              </w:rPr>
              <w:t>服务承诺</w:t>
            </w:r>
          </w:p>
        </w:tc>
        <w:tc>
          <w:tcPr>
            <w:tcW w:w="3694" w:type="pct"/>
            <w:tcBorders>
              <w:top w:val="single" w:color="auto" w:sz="4" w:space="0"/>
              <w:left w:val="single" w:color="auto" w:sz="4" w:space="0"/>
              <w:bottom w:val="single" w:color="auto" w:sz="4" w:space="0"/>
              <w:right w:val="single" w:color="auto" w:sz="4" w:space="0"/>
            </w:tcBorders>
            <w:shd w:val="clear" w:color="auto" w:fill="auto"/>
            <w:vAlign w:val="center"/>
          </w:tcPr>
          <w:p w14:paraId="465F31E5">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bidi="ar"/>
              </w:rPr>
              <w:t>1、投标人承诺在接到招标人通知</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到</w:t>
            </w:r>
            <w:r>
              <w:rPr>
                <w:rFonts w:hint="eastAsia" w:ascii="宋体" w:hAnsi="宋体" w:eastAsia="宋体" w:cs="宋体"/>
                <w:szCs w:val="21"/>
                <w:highlight w:val="none"/>
                <w:lang w:bidi="ar"/>
              </w:rPr>
              <w:t>达项目服务现场</w:t>
            </w:r>
            <w:r>
              <w:rPr>
                <w:rFonts w:hint="eastAsia" w:ascii="宋体" w:hAnsi="宋体" w:eastAsia="宋体" w:cs="宋体"/>
                <w:szCs w:val="21"/>
                <w:highlight w:val="none"/>
                <w:lang w:val="en-US" w:eastAsia="zh-CN" w:bidi="ar"/>
              </w:rPr>
              <w:t>时间≤</w:t>
            </w:r>
            <w:r>
              <w:rPr>
                <w:rFonts w:hint="eastAsia" w:ascii="宋体" w:hAnsi="宋体" w:eastAsia="宋体" w:cs="宋体"/>
                <w:szCs w:val="21"/>
                <w:highlight w:val="none"/>
                <w:lang w:bidi="ar"/>
              </w:rPr>
              <w:t>1小时的，得</w:t>
            </w: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分；</w:t>
            </w:r>
          </w:p>
          <w:p w14:paraId="148487D7">
            <w:pPr>
              <w:spacing w:line="360" w:lineRule="auto"/>
              <w:ind w:right="-34"/>
              <w:rPr>
                <w:rFonts w:hint="eastAsia" w:ascii="宋体" w:hAnsi="宋体" w:eastAsia="宋体" w:cs="宋体"/>
                <w:szCs w:val="21"/>
                <w:highlight w:val="none"/>
                <w:lang w:val="en-US" w:eastAsia="zh-CN" w:bidi="ar"/>
              </w:rPr>
            </w:pP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投标人承诺在接到招标人通知</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1小时＜到</w:t>
            </w:r>
            <w:r>
              <w:rPr>
                <w:rFonts w:hint="eastAsia" w:ascii="宋体" w:hAnsi="宋体" w:eastAsia="宋体" w:cs="宋体"/>
                <w:szCs w:val="21"/>
                <w:highlight w:val="none"/>
                <w:lang w:bidi="ar"/>
              </w:rPr>
              <w:t>达项目服务现场</w:t>
            </w:r>
            <w:r>
              <w:rPr>
                <w:rFonts w:hint="eastAsia" w:ascii="宋体" w:hAnsi="宋体" w:eastAsia="宋体" w:cs="宋体"/>
                <w:szCs w:val="21"/>
                <w:highlight w:val="none"/>
                <w:lang w:val="en-US" w:eastAsia="zh-CN" w:bidi="ar"/>
              </w:rPr>
              <w:t>时间≤1.5</w:t>
            </w:r>
            <w:r>
              <w:rPr>
                <w:rFonts w:hint="eastAsia" w:ascii="宋体" w:hAnsi="宋体" w:eastAsia="宋体" w:cs="宋体"/>
                <w:szCs w:val="21"/>
                <w:highlight w:val="none"/>
                <w:lang w:bidi="ar"/>
              </w:rPr>
              <w:t>小时的，得</w:t>
            </w:r>
            <w:r>
              <w:rPr>
                <w:rFonts w:hint="eastAsia" w:ascii="宋体" w:hAnsi="宋体" w:eastAsia="宋体" w:cs="宋体"/>
                <w:szCs w:val="21"/>
                <w:highlight w:val="none"/>
                <w:lang w:val="en-US" w:eastAsia="zh-CN" w:bidi="ar"/>
              </w:rPr>
              <w:t>2</w:t>
            </w:r>
            <w:r>
              <w:rPr>
                <w:rFonts w:hint="eastAsia" w:ascii="宋体" w:hAnsi="宋体" w:eastAsia="宋体" w:cs="宋体"/>
                <w:szCs w:val="21"/>
                <w:highlight w:val="none"/>
                <w:lang w:bidi="ar"/>
              </w:rPr>
              <w:t>分</w:t>
            </w:r>
            <w:r>
              <w:rPr>
                <w:rFonts w:hint="eastAsia" w:ascii="宋体" w:hAnsi="宋体" w:eastAsia="宋体" w:cs="宋体"/>
                <w:szCs w:val="21"/>
                <w:highlight w:val="none"/>
                <w:lang w:eastAsia="zh-CN" w:bidi="ar"/>
              </w:rPr>
              <w:t>；</w:t>
            </w:r>
          </w:p>
          <w:p w14:paraId="69B25EA0">
            <w:pPr>
              <w:spacing w:line="360" w:lineRule="auto"/>
              <w:ind w:right="-34"/>
              <w:rPr>
                <w:rFonts w:ascii="宋体" w:hAnsi="宋体" w:eastAsia="宋体" w:cs="宋体"/>
                <w:szCs w:val="21"/>
                <w:highlight w:val="none"/>
                <w:lang w:bidi="ar"/>
              </w:rPr>
            </w:pP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bidi="ar"/>
              </w:rPr>
              <w:t>投标人承诺在接到招标人通知</w:t>
            </w:r>
            <w:r>
              <w:rPr>
                <w:rFonts w:hint="eastAsia" w:ascii="宋体" w:hAnsi="宋体" w:eastAsia="宋体" w:cs="宋体"/>
                <w:szCs w:val="21"/>
                <w:highlight w:val="none"/>
                <w:lang w:eastAsia="zh-CN" w:bidi="ar"/>
              </w:rPr>
              <w:t>，</w:t>
            </w:r>
            <w:r>
              <w:rPr>
                <w:rFonts w:hint="eastAsia" w:ascii="宋体" w:hAnsi="宋体" w:eastAsia="宋体" w:cs="宋体"/>
                <w:szCs w:val="21"/>
                <w:highlight w:val="none"/>
                <w:lang w:val="en-US" w:eastAsia="zh-CN" w:bidi="ar"/>
              </w:rPr>
              <w:t>1.5小时＜到</w:t>
            </w:r>
            <w:r>
              <w:rPr>
                <w:rFonts w:hint="eastAsia" w:ascii="宋体" w:hAnsi="宋体" w:eastAsia="宋体" w:cs="宋体"/>
                <w:szCs w:val="21"/>
                <w:highlight w:val="none"/>
                <w:lang w:bidi="ar"/>
              </w:rPr>
              <w:t>达项目服务现场</w:t>
            </w:r>
            <w:r>
              <w:rPr>
                <w:rFonts w:hint="eastAsia" w:ascii="宋体" w:hAnsi="宋体" w:eastAsia="宋体" w:cs="宋体"/>
                <w:szCs w:val="21"/>
                <w:highlight w:val="none"/>
                <w:lang w:val="en-US" w:eastAsia="zh-CN" w:bidi="ar"/>
              </w:rPr>
              <w:t>时间≤</w:t>
            </w:r>
            <w:r>
              <w:rPr>
                <w:rFonts w:hint="eastAsia" w:ascii="宋体" w:hAnsi="宋体" w:eastAsia="宋体" w:cs="宋体"/>
                <w:szCs w:val="21"/>
                <w:highlight w:val="none"/>
                <w:lang w:bidi="ar"/>
              </w:rPr>
              <w:t>2小时的，得</w:t>
            </w:r>
            <w:r>
              <w:rPr>
                <w:rFonts w:hint="eastAsia" w:ascii="宋体" w:hAnsi="宋体" w:eastAsia="宋体" w:cs="宋体"/>
                <w:szCs w:val="21"/>
                <w:highlight w:val="none"/>
                <w:lang w:val="en-US" w:eastAsia="zh-CN" w:bidi="ar"/>
              </w:rPr>
              <w:t>1</w:t>
            </w:r>
            <w:r>
              <w:rPr>
                <w:rFonts w:hint="eastAsia" w:ascii="宋体" w:hAnsi="宋体" w:eastAsia="宋体" w:cs="宋体"/>
                <w:szCs w:val="21"/>
                <w:highlight w:val="none"/>
                <w:lang w:bidi="ar"/>
              </w:rPr>
              <w:t>分。</w:t>
            </w:r>
          </w:p>
          <w:p w14:paraId="7A1265C3">
            <w:pPr>
              <w:spacing w:line="360" w:lineRule="auto"/>
              <w:ind w:right="-34"/>
              <w:rPr>
                <w:rFonts w:ascii="宋体" w:hAnsi="宋体" w:eastAsia="宋体" w:cs="宋体"/>
                <w:szCs w:val="21"/>
                <w:highlight w:val="none"/>
                <w:lang w:bidi="ar"/>
              </w:rPr>
            </w:pPr>
            <w:r>
              <w:rPr>
                <w:rFonts w:hint="eastAsia" w:ascii="宋体" w:hAnsi="宋体" w:eastAsia="宋体" w:cs="宋体"/>
                <w:b/>
                <w:bCs/>
                <w:szCs w:val="21"/>
                <w:highlight w:val="none"/>
                <w:lang w:bidi="ar"/>
              </w:rPr>
              <w:t>备注：投标人须</w:t>
            </w:r>
            <w:r>
              <w:rPr>
                <w:rFonts w:hint="eastAsia" w:ascii="宋体" w:hAnsi="宋体" w:eastAsia="宋体" w:cs="宋体"/>
                <w:b/>
                <w:bCs/>
                <w:szCs w:val="21"/>
                <w:highlight w:val="none"/>
                <w:lang w:val="en-US" w:eastAsia="zh-CN" w:bidi="ar"/>
              </w:rPr>
              <w:t>按投标文件格式要求</w:t>
            </w:r>
            <w:r>
              <w:rPr>
                <w:rFonts w:hint="eastAsia" w:ascii="宋体" w:hAnsi="宋体" w:eastAsia="宋体" w:cs="宋体"/>
                <w:b/>
                <w:bCs/>
                <w:szCs w:val="21"/>
                <w:highlight w:val="none"/>
                <w:lang w:bidi="ar"/>
              </w:rPr>
              <w:t>提供服务承诺书。</w:t>
            </w:r>
          </w:p>
        </w:tc>
        <w:tc>
          <w:tcPr>
            <w:tcW w:w="437" w:type="pct"/>
            <w:tcBorders>
              <w:top w:val="single" w:color="auto" w:sz="4" w:space="0"/>
              <w:left w:val="single" w:color="auto" w:sz="4" w:space="0"/>
              <w:bottom w:val="single" w:color="auto" w:sz="4" w:space="0"/>
              <w:right w:val="single" w:color="auto" w:sz="4" w:space="0"/>
            </w:tcBorders>
            <w:shd w:val="clear" w:color="auto" w:fill="auto"/>
            <w:vAlign w:val="center"/>
          </w:tcPr>
          <w:p w14:paraId="1040EB4A">
            <w:pPr>
              <w:spacing w:line="360" w:lineRule="auto"/>
              <w:jc w:val="center"/>
              <w:rPr>
                <w:rFonts w:ascii="宋体" w:hAnsi="宋体" w:eastAsia="宋体" w:cs="宋体"/>
                <w:szCs w:val="21"/>
                <w:highlight w:val="none"/>
                <w:lang w:bidi="ar"/>
              </w:rPr>
            </w:pPr>
            <w:r>
              <w:rPr>
                <w:rFonts w:hint="eastAsia" w:ascii="宋体" w:hAnsi="宋体" w:eastAsia="宋体" w:cs="宋体"/>
                <w:szCs w:val="21"/>
                <w:highlight w:val="none"/>
                <w:lang w:val="en-US" w:eastAsia="zh-CN" w:bidi="ar"/>
              </w:rPr>
              <w:t>3</w:t>
            </w:r>
            <w:r>
              <w:rPr>
                <w:rFonts w:hint="eastAsia" w:ascii="宋体" w:hAnsi="宋体" w:eastAsia="宋体" w:cs="宋体"/>
                <w:szCs w:val="21"/>
                <w:highlight w:val="none"/>
                <w:lang w:bidi="ar"/>
              </w:rPr>
              <w:t>分</w:t>
            </w:r>
          </w:p>
        </w:tc>
      </w:tr>
    </w:tbl>
    <w:p w14:paraId="38710ACF">
      <w:pPr>
        <w:autoSpaceDE w:val="0"/>
        <w:autoSpaceDN w:val="0"/>
        <w:adjustRightInd w:val="0"/>
        <w:spacing w:line="360" w:lineRule="auto"/>
        <w:ind w:left="420" w:leftChars="200" w:firstLine="420" w:firstLine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备注：</w:t>
      </w:r>
    </w:p>
    <w:p w14:paraId="26A6B4B2">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①表中“[”代表闭区间，“]”代表闭区间，如[0，1]代表该分数段范围为大于等于0且小于等于1。表中“（”代表开区间，“]”代表闭区间，如（1，2]代表该分数段范围为大于1且小于等于2。</w:t>
      </w:r>
    </w:p>
    <w:p w14:paraId="5B48C821">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en-US" w:eastAsia="zh-CN"/>
        </w:rPr>
      </w:pPr>
      <w:r>
        <w:rPr>
          <w:rFonts w:hint="eastAsia" w:ascii="宋体" w:hAnsi="宋体" w:eastAsia="宋体" w:cs="宋体"/>
          <w:b/>
          <w:color w:val="auto"/>
          <w:szCs w:val="24"/>
          <w:highlight w:val="none"/>
          <w:lang w:val="en-US" w:eastAsia="zh-CN"/>
        </w:rPr>
        <w:t>②分数出现小数点，保留小数点后2位，从小数点后第3位四舍五入。</w:t>
      </w:r>
    </w:p>
    <w:p w14:paraId="4E50A8F1">
      <w:pPr>
        <w:autoSpaceDE w:val="0"/>
        <w:autoSpaceDN w:val="0"/>
        <w:adjustRightInd w:val="0"/>
        <w:spacing w:line="360" w:lineRule="auto"/>
        <w:ind w:left="420" w:leftChars="200" w:firstLine="422" w:firstLineChars="200"/>
        <w:rPr>
          <w:rFonts w:hint="eastAsia" w:ascii="宋体" w:hAnsi="宋体" w:eastAsia="宋体" w:cs="宋体"/>
          <w:b/>
          <w:color w:val="auto"/>
          <w:szCs w:val="24"/>
          <w:highlight w:val="none"/>
          <w:lang w:val="zh-CN"/>
        </w:rPr>
      </w:pPr>
      <w:r>
        <w:rPr>
          <w:rFonts w:hint="eastAsia" w:ascii="宋体" w:hAnsi="宋体" w:eastAsia="宋体" w:cs="宋体"/>
          <w:b/>
          <w:bCs/>
          <w:color w:val="auto"/>
          <w:sz w:val="21"/>
          <w:szCs w:val="21"/>
          <w:highlight w:val="none"/>
          <w:lang w:val="en-US" w:eastAsia="zh-CN"/>
        </w:rPr>
        <w:t>③</w:t>
      </w:r>
      <w:r>
        <w:rPr>
          <w:rFonts w:hint="eastAsia" w:ascii="宋体" w:hAnsi="宋体" w:eastAsia="宋体" w:cs="宋体"/>
          <w:b/>
          <w:color w:val="auto"/>
          <w:szCs w:val="24"/>
          <w:highlight w:val="none"/>
          <w:lang w:val="zh-CN"/>
        </w:rPr>
        <w:t>上述“评分项目”中按“优、良、中、差”</w:t>
      </w:r>
      <w:r>
        <w:rPr>
          <w:rFonts w:hint="eastAsia" w:ascii="宋体" w:hAnsi="宋体" w:eastAsia="宋体" w:cs="宋体"/>
          <w:b/>
          <w:color w:val="auto"/>
          <w:szCs w:val="24"/>
          <w:highlight w:val="none"/>
          <w:lang w:val="en-US" w:eastAsia="zh-CN"/>
        </w:rPr>
        <w:t>区间</w:t>
      </w:r>
      <w:r>
        <w:rPr>
          <w:rFonts w:hint="eastAsia" w:ascii="宋体" w:hAnsi="宋体" w:eastAsia="宋体" w:cs="宋体"/>
          <w:b/>
          <w:color w:val="auto"/>
          <w:szCs w:val="24"/>
          <w:highlight w:val="none"/>
          <w:lang w:val="zh-CN"/>
        </w:rPr>
        <w:t>评审的，若低于该项满分分值60%时，评标专家需详细填写该项低分的充分理由，例如：该项目内容存在违反国家有关标准和规范或与项目实际不符等原则性问题。</w:t>
      </w:r>
    </w:p>
    <w:p w14:paraId="1A22C46C">
      <w:pPr>
        <w:autoSpaceDE w:val="0"/>
        <w:autoSpaceDN w:val="0"/>
        <w:adjustRightInd w:val="0"/>
        <w:spacing w:line="360" w:lineRule="auto"/>
        <w:ind w:left="420" w:leftChars="200" w:firstLine="422" w:firstLineChars="200"/>
        <w:rPr>
          <w:rFonts w:hint="eastAsia" w:ascii="宋体" w:hAnsi="宋体" w:eastAsia="宋体" w:cs="宋体"/>
          <w:color w:val="auto"/>
          <w:kern w:val="0"/>
          <w:szCs w:val="21"/>
          <w:highlight w:val="none"/>
        </w:rPr>
      </w:pPr>
      <w:r>
        <w:rPr>
          <w:rFonts w:hint="eastAsia" w:ascii="宋体" w:hAnsi="宋体" w:eastAsia="宋体" w:cs="宋体"/>
          <w:b/>
          <w:bCs/>
          <w:color w:val="auto"/>
          <w:sz w:val="21"/>
          <w:szCs w:val="21"/>
          <w:highlight w:val="none"/>
          <w:lang w:val="en-US" w:eastAsia="zh-CN"/>
        </w:rPr>
        <w:t>④</w:t>
      </w:r>
      <w:r>
        <w:rPr>
          <w:rFonts w:hint="eastAsia" w:ascii="宋体" w:hAnsi="宋体" w:eastAsia="宋体" w:cs="宋体"/>
          <w:b/>
          <w:color w:val="auto"/>
          <w:kern w:val="0"/>
          <w:szCs w:val="21"/>
          <w:highlight w:val="none"/>
          <w:lang w:val="zh-CN"/>
        </w:rPr>
        <w:t>对</w:t>
      </w:r>
      <w:r>
        <w:rPr>
          <w:rFonts w:hint="eastAsia" w:ascii="宋体" w:hAnsi="宋体" w:eastAsia="宋体" w:cs="宋体"/>
          <w:b/>
          <w:color w:val="auto"/>
          <w:kern w:val="0"/>
          <w:szCs w:val="21"/>
          <w:highlight w:val="none"/>
          <w:lang w:val="en-US" w:eastAsia="zh-CN"/>
        </w:rPr>
        <w:t>于各</w:t>
      </w:r>
      <w:r>
        <w:rPr>
          <w:rFonts w:hint="eastAsia" w:ascii="宋体" w:hAnsi="宋体" w:eastAsia="宋体" w:cs="宋体"/>
          <w:b/>
          <w:color w:val="auto"/>
          <w:kern w:val="0"/>
          <w:szCs w:val="21"/>
          <w:highlight w:val="none"/>
          <w:lang w:val="zh-CN"/>
        </w:rPr>
        <w:t>评标委员会成员</w:t>
      </w:r>
      <w:r>
        <w:rPr>
          <w:rFonts w:hint="eastAsia" w:ascii="宋体" w:hAnsi="宋体" w:eastAsia="宋体" w:cs="宋体"/>
          <w:b/>
          <w:color w:val="auto"/>
          <w:kern w:val="0"/>
          <w:szCs w:val="21"/>
          <w:highlight w:val="none"/>
          <w:lang w:val="en-US" w:eastAsia="zh-CN"/>
        </w:rPr>
        <w:t>存在客观分打分不一致时</w:t>
      </w:r>
      <w:r>
        <w:rPr>
          <w:rFonts w:hint="eastAsia" w:ascii="宋体" w:hAnsi="宋体" w:eastAsia="宋体" w:cs="宋体"/>
          <w:b/>
          <w:color w:val="auto"/>
          <w:kern w:val="0"/>
          <w:szCs w:val="21"/>
          <w:highlight w:val="none"/>
          <w:lang w:val="zh-CN"/>
        </w:rPr>
        <w:t>,根据少数服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多数的原则，以记名方式表决</w:t>
      </w:r>
      <w:r>
        <w:rPr>
          <w:rFonts w:hint="eastAsia" w:ascii="宋体" w:hAnsi="宋体" w:eastAsia="宋体" w:cs="宋体"/>
          <w:b/>
          <w:color w:val="auto"/>
          <w:kern w:val="0"/>
          <w:szCs w:val="21"/>
          <w:highlight w:val="none"/>
          <w:lang w:val="en-US" w:eastAsia="zh-CN"/>
        </w:rPr>
        <w:t>确定该项的评分。</w:t>
      </w:r>
    </w:p>
    <w:p w14:paraId="0BE43385">
      <w:pPr>
        <w:tabs>
          <w:tab w:val="left" w:pos="1701"/>
        </w:tabs>
        <w:autoSpaceDE w:val="0"/>
        <w:autoSpaceDN w:val="0"/>
        <w:adjustRightInd w:val="0"/>
        <w:spacing w:line="360" w:lineRule="auto"/>
        <w:rPr>
          <w:rFonts w:hint="eastAsia" w:ascii="宋体" w:hAnsi="宋体" w:eastAsia="宋体" w:cs="宋体"/>
          <w:b/>
          <w:color w:val="auto"/>
          <w:szCs w:val="24"/>
          <w:highlight w:val="none"/>
          <w:lang w:val="zh-CN"/>
        </w:rPr>
      </w:pPr>
      <w:r>
        <w:rPr>
          <w:rFonts w:hint="eastAsia" w:ascii="宋体" w:hAnsi="宋体" w:eastAsia="宋体" w:cs="宋体"/>
          <w:b/>
          <w:color w:val="auto"/>
          <w:szCs w:val="24"/>
          <w:highlight w:val="none"/>
          <w:lang w:val="zh-CN"/>
        </w:rPr>
        <w:t>（3）价格评分方法</w:t>
      </w:r>
    </w:p>
    <w:p w14:paraId="37F47B72">
      <w:pPr>
        <w:spacing w:line="360" w:lineRule="auto"/>
        <w:ind w:left="480" w:firstLine="211" w:firstLineChars="100"/>
        <w:rPr>
          <w:rFonts w:hint="eastAsia" w:ascii="宋体" w:hAnsi="宋体" w:eastAsia="宋体" w:cs="宋体"/>
          <w:b/>
          <w:bCs/>
          <w:color w:val="auto"/>
          <w:kern w:val="0"/>
          <w:szCs w:val="21"/>
          <w:highlight w:val="none"/>
          <w:lang w:val="zh-CN"/>
        </w:rPr>
      </w:pPr>
      <w:r>
        <w:rPr>
          <w:rFonts w:hint="eastAsia" w:ascii="宋体" w:hAnsi="宋体" w:eastAsia="宋体" w:cs="宋体"/>
          <w:b/>
          <w:bCs/>
          <w:color w:val="auto"/>
          <w:kern w:val="0"/>
          <w:szCs w:val="28"/>
          <w:highlight w:val="none"/>
          <w:lang w:val="zh-CN"/>
        </w:rPr>
        <w:t xml:space="preserve">1）经济文件的符合性审查 </w:t>
      </w:r>
    </w:p>
    <w:p w14:paraId="7126DFDD">
      <w:pPr>
        <w:spacing w:line="360" w:lineRule="auto"/>
        <w:ind w:left="420" w:leftChars="200" w:firstLine="420" w:firstLineChars="200"/>
        <w:rPr>
          <w:rFonts w:hint="eastAsia" w:ascii="宋体" w:hAnsi="宋体" w:eastAsia="宋体" w:cs="宋体"/>
          <w:color w:val="auto"/>
          <w:kern w:val="0"/>
          <w:szCs w:val="21"/>
          <w:highlight w:val="none"/>
          <w:lang w:val="zh-CN"/>
        </w:rPr>
      </w:pPr>
      <w:r>
        <w:rPr>
          <w:rFonts w:hint="eastAsia" w:ascii="宋体" w:hAnsi="宋体" w:eastAsia="宋体" w:cs="宋体"/>
          <w:color w:val="auto"/>
          <w:kern w:val="0"/>
          <w:szCs w:val="21"/>
          <w:highlight w:val="none"/>
          <w:lang w:val="zh-CN"/>
        </w:rPr>
        <w:t>评标委员会对合格的投标人的投标报价，进行详细分析、核准，检查其是否存在计算错误。评标委员会将按照本评标大纲的规定修正计算错误的投标报价，经投标人代表确认后，调整后的价格对投标人具有约束力。</w:t>
      </w:r>
      <w:r>
        <w:rPr>
          <w:rFonts w:hint="eastAsia" w:ascii="宋体" w:hAnsi="宋体" w:eastAsia="宋体" w:cs="宋体"/>
          <w:b/>
          <w:color w:val="auto"/>
          <w:kern w:val="0"/>
          <w:szCs w:val="21"/>
          <w:highlight w:val="none"/>
          <w:u w:val="single"/>
          <w:lang w:val="zh-CN"/>
        </w:rPr>
        <w:t>如果投标人不接受修正后的报价，则其投标将被拒绝，作为无效投标处理</w:t>
      </w:r>
      <w:r>
        <w:rPr>
          <w:rFonts w:hint="eastAsia" w:ascii="宋体" w:hAnsi="宋体" w:eastAsia="宋体" w:cs="宋体"/>
          <w:b/>
          <w:color w:val="auto"/>
          <w:kern w:val="0"/>
          <w:szCs w:val="21"/>
          <w:highlight w:val="none"/>
          <w:lang w:val="zh-CN"/>
        </w:rPr>
        <w:t>。</w:t>
      </w:r>
    </w:p>
    <w:p w14:paraId="51748BC6">
      <w:pPr>
        <w:autoSpaceDE w:val="0"/>
        <w:autoSpaceDN w:val="0"/>
        <w:adjustRightInd w:val="0"/>
        <w:spacing w:line="360" w:lineRule="auto"/>
        <w:ind w:left="420" w:leftChars="200" w:firstLine="420" w:firstLineChars="200"/>
        <w:rPr>
          <w:rFonts w:hint="eastAsia" w:ascii="宋体" w:hAnsi="宋体" w:eastAsia="宋体" w:cs="宋体"/>
          <w:b/>
          <w:color w:val="auto"/>
          <w:szCs w:val="24"/>
          <w:highlight w:val="none"/>
          <w:u w:val="single"/>
          <w:lang w:val="zh-CN"/>
        </w:rPr>
      </w:pPr>
      <w:r>
        <w:rPr>
          <w:rFonts w:hint="eastAsia" w:ascii="宋体" w:hAnsi="宋体" w:eastAsia="宋体" w:cs="宋体"/>
          <w:color w:val="auto"/>
          <w:szCs w:val="24"/>
          <w:highlight w:val="none"/>
          <w:lang w:val="zh-CN"/>
        </w:rPr>
        <w:t>若投标人出现超低报价，</w:t>
      </w:r>
      <w:r>
        <w:rPr>
          <w:rFonts w:hint="eastAsia" w:ascii="宋体" w:hAnsi="宋体" w:eastAsia="宋体" w:cs="宋体"/>
          <w:color w:val="auto"/>
          <w:kern w:val="0"/>
          <w:szCs w:val="21"/>
          <w:highlight w:val="none"/>
        </w:rPr>
        <w:t>有可能影响服务质量和不能诚信履约的，</w:t>
      </w:r>
      <w:r>
        <w:rPr>
          <w:rFonts w:hint="eastAsia" w:ascii="宋体" w:hAnsi="宋体" w:eastAsia="宋体" w:cs="宋体"/>
          <w:color w:val="auto"/>
          <w:szCs w:val="24"/>
          <w:highlight w:val="none"/>
          <w:lang w:val="zh-CN"/>
        </w:rPr>
        <w:t>评标委员会</w:t>
      </w:r>
      <w:r>
        <w:rPr>
          <w:rFonts w:hint="eastAsia" w:ascii="宋体" w:hAnsi="宋体" w:eastAsia="宋体" w:cs="宋体"/>
          <w:color w:val="auto"/>
          <w:kern w:val="0"/>
          <w:szCs w:val="21"/>
          <w:highlight w:val="none"/>
          <w:lang w:val="zh-CN"/>
        </w:rPr>
        <w:t>将要求该投标人作出书面说明并提供相关证明材料，</w:t>
      </w:r>
      <w:r>
        <w:rPr>
          <w:rFonts w:hint="eastAsia" w:ascii="宋体" w:hAnsi="宋体" w:eastAsia="宋体" w:cs="宋体"/>
          <w:color w:val="auto"/>
          <w:szCs w:val="24"/>
          <w:highlight w:val="none"/>
          <w:lang w:val="zh-CN"/>
        </w:rPr>
        <w:t>以确定投标人是否以低于企业成本价报价。</w:t>
      </w:r>
      <w:r>
        <w:rPr>
          <w:rFonts w:hint="eastAsia" w:ascii="宋体" w:hAnsi="宋体" w:eastAsia="宋体" w:cs="宋体"/>
          <w:b/>
          <w:color w:val="auto"/>
          <w:szCs w:val="24"/>
          <w:highlight w:val="none"/>
          <w:u w:val="single"/>
          <w:lang w:val="zh-CN"/>
        </w:rPr>
        <w:t>若投标人不能合理说明或不能提供相关证明材料的，评标委员会将认定其投标报价低于成本，同时否决其投标。</w:t>
      </w:r>
    </w:p>
    <w:p w14:paraId="5122C02B">
      <w:pPr>
        <w:spacing w:line="360" w:lineRule="auto"/>
        <w:ind w:left="420" w:leftChars="200" w:firstLine="422" w:firstLineChars="200"/>
        <w:rPr>
          <w:rFonts w:hint="eastAsia" w:ascii="宋体" w:hAnsi="宋体" w:eastAsia="宋体" w:cs="宋体"/>
          <w:b/>
          <w:color w:val="auto"/>
          <w:kern w:val="0"/>
          <w:szCs w:val="21"/>
          <w:highlight w:val="none"/>
          <w:lang w:val="zh-CN"/>
        </w:rPr>
      </w:pPr>
      <w:r>
        <w:rPr>
          <w:rFonts w:hint="eastAsia" w:ascii="宋体" w:hAnsi="宋体" w:eastAsia="宋体" w:cs="宋体"/>
          <w:b/>
          <w:color w:val="auto"/>
          <w:kern w:val="0"/>
          <w:szCs w:val="21"/>
          <w:highlight w:val="none"/>
          <w:lang w:val="zh-CN"/>
        </w:rPr>
        <w:t>对是否低于企业成本价报价的事宜有争议的投标文件,评标委员会成员将以记名方式表决,根据少数服</w:t>
      </w:r>
      <w:r>
        <w:rPr>
          <w:rFonts w:hint="eastAsia" w:ascii="宋体" w:hAnsi="宋体" w:eastAsia="宋体" w:cs="宋体"/>
          <w:b/>
          <w:color w:val="auto"/>
          <w:kern w:val="0"/>
          <w:szCs w:val="21"/>
          <w:highlight w:val="none"/>
          <w:lang w:val="en-US" w:eastAsia="zh-CN"/>
        </w:rPr>
        <w:t>从</w:t>
      </w:r>
      <w:r>
        <w:rPr>
          <w:rFonts w:hint="eastAsia" w:ascii="宋体" w:hAnsi="宋体" w:eastAsia="宋体" w:cs="宋体"/>
          <w:b/>
          <w:color w:val="auto"/>
          <w:kern w:val="0"/>
          <w:szCs w:val="21"/>
          <w:highlight w:val="none"/>
          <w:lang w:val="zh-CN"/>
        </w:rPr>
        <w:t>多数的原则，获多数表决通过的投标人才有资格进入下一阶段的评审,否则将按无效投标处理。</w:t>
      </w:r>
    </w:p>
    <w:p w14:paraId="7702A686">
      <w:pPr>
        <w:spacing w:line="360" w:lineRule="auto"/>
        <w:ind w:left="420" w:leftChars="200" w:firstLine="420" w:firstLineChars="200"/>
        <w:rPr>
          <w:rFonts w:hint="eastAsia" w:ascii="宋体" w:hAnsi="宋体" w:eastAsia="宋体" w:cs="宋体"/>
          <w:color w:val="auto"/>
          <w:kern w:val="0"/>
          <w:szCs w:val="21"/>
          <w:highlight w:val="none"/>
          <w:lang w:val="zh-CN"/>
        </w:rPr>
      </w:pPr>
    </w:p>
    <w:p w14:paraId="6DA445E2">
      <w:pPr>
        <w:spacing w:line="360" w:lineRule="auto"/>
        <w:ind w:left="480" w:firstLine="211" w:firstLineChars="100"/>
        <w:rPr>
          <w:rFonts w:hint="eastAsia" w:ascii="宋体" w:hAnsi="宋体" w:eastAsia="宋体" w:cs="宋体"/>
          <w:b/>
          <w:bCs/>
          <w:color w:val="auto"/>
          <w:kern w:val="0"/>
          <w:szCs w:val="21"/>
          <w:highlight w:val="none"/>
        </w:rPr>
      </w:pPr>
      <w:r>
        <w:rPr>
          <w:rFonts w:hint="eastAsia" w:ascii="宋体" w:hAnsi="宋体" w:eastAsia="宋体" w:cs="宋体"/>
          <w:b/>
          <w:bCs/>
          <w:color w:val="auto"/>
          <w:kern w:val="0"/>
          <w:szCs w:val="21"/>
          <w:highlight w:val="none"/>
          <w:lang w:val="zh-CN"/>
        </w:rPr>
        <w:t>2）</w:t>
      </w:r>
      <w:r>
        <w:rPr>
          <w:rFonts w:hint="eastAsia" w:ascii="宋体" w:hAnsi="宋体" w:eastAsia="宋体" w:cs="宋体"/>
          <w:b/>
          <w:bCs/>
          <w:color w:val="auto"/>
          <w:kern w:val="0"/>
          <w:szCs w:val="28"/>
          <w:highlight w:val="none"/>
          <w:lang w:val="zh-CN"/>
        </w:rPr>
        <w:t>价格评分</w:t>
      </w:r>
      <w:r>
        <w:rPr>
          <w:rFonts w:hint="eastAsia" w:ascii="宋体" w:hAnsi="宋体" w:eastAsia="宋体" w:cs="宋体"/>
          <w:b/>
          <w:bCs/>
          <w:color w:val="auto"/>
          <w:kern w:val="0"/>
          <w:szCs w:val="21"/>
          <w:highlight w:val="none"/>
        </w:rPr>
        <w:t>：</w:t>
      </w:r>
      <w:r>
        <w:rPr>
          <w:rFonts w:hint="eastAsia" w:ascii="宋体" w:hAnsi="宋体" w:eastAsia="宋体" w:cs="宋体"/>
          <w:b/>
          <w:bCs/>
          <w:color w:val="auto"/>
          <w:kern w:val="0"/>
          <w:szCs w:val="21"/>
          <w:highlight w:val="none"/>
          <w:lang w:val="zh-CN"/>
        </w:rPr>
        <w:t>总分</w:t>
      </w:r>
      <w:r>
        <w:rPr>
          <w:rFonts w:hint="eastAsia" w:ascii="宋体" w:hAnsi="宋体" w:eastAsia="宋体" w:cs="宋体"/>
          <w:b/>
          <w:bCs/>
          <w:color w:val="auto"/>
          <w:kern w:val="0"/>
          <w:szCs w:val="21"/>
          <w:highlight w:val="none"/>
          <w:lang w:val="en-US" w:eastAsia="zh-CN"/>
        </w:rPr>
        <w:t>30</w:t>
      </w:r>
      <w:r>
        <w:rPr>
          <w:rFonts w:hint="eastAsia" w:ascii="宋体" w:hAnsi="宋体" w:eastAsia="宋体" w:cs="宋体"/>
          <w:b/>
          <w:bCs/>
          <w:color w:val="auto"/>
          <w:kern w:val="0"/>
          <w:szCs w:val="21"/>
          <w:highlight w:val="none"/>
          <w:lang w:val="zh-CN"/>
        </w:rPr>
        <w:t>分</w:t>
      </w:r>
    </w:p>
    <w:p w14:paraId="583391DA">
      <w:pPr>
        <w:autoSpaceDN w:val="0"/>
        <w:adjustRightInd w:val="0"/>
        <w:snapToGrid w:val="0"/>
        <w:spacing w:line="360" w:lineRule="auto"/>
        <w:ind w:left="420" w:leftChars="100" w:hanging="210" w:hangingChars="100"/>
        <w:rPr>
          <w:rFonts w:hint="default" w:ascii="宋体" w:hAnsi="宋体" w:eastAsia="宋体" w:cs="宋体"/>
          <w:color w:val="auto"/>
          <w:kern w:val="0"/>
          <w:szCs w:val="21"/>
          <w:highlight w:val="none"/>
          <w:lang w:val="en-US" w:eastAsia="zh-CN"/>
        </w:rPr>
      </w:pPr>
      <w:r>
        <w:rPr>
          <w:rFonts w:hint="eastAsia" w:ascii="宋体" w:hAnsi="宋体" w:eastAsia="宋体" w:cs="宋体"/>
          <w:color w:val="auto"/>
          <w:kern w:val="0"/>
          <w:szCs w:val="21"/>
          <w:highlight w:val="none"/>
        </w:rPr>
        <w:t>A、根据有效投标人的投标“折扣系数”，最低投标“折扣系数”作为基准系数（Y）。投标人投标“折扣系数”（X）等于基准价的得满分</w:t>
      </w:r>
      <w:r>
        <w:rPr>
          <w:rFonts w:hint="eastAsia" w:ascii="宋体" w:hAnsi="宋体" w:eastAsia="宋体" w:cs="宋体"/>
          <w:color w:val="auto"/>
          <w:kern w:val="0"/>
          <w:szCs w:val="21"/>
          <w:highlight w:val="none"/>
          <w:lang w:val="en-US" w:eastAsia="zh-CN"/>
        </w:rPr>
        <w:t>30</w:t>
      </w:r>
      <w:r>
        <w:rPr>
          <w:rFonts w:hint="eastAsia" w:ascii="宋体" w:hAnsi="宋体" w:eastAsia="宋体" w:cs="宋体"/>
          <w:color w:val="auto"/>
          <w:kern w:val="0"/>
          <w:szCs w:val="21"/>
          <w:highlight w:val="none"/>
        </w:rPr>
        <w:t>分，其他投标人的价格得分统一按照下列公式计算：</w:t>
      </w:r>
      <w:r>
        <w:rPr>
          <w:rFonts w:hint="eastAsia" w:ascii="宋体" w:hAnsi="宋体" w:eastAsia="宋体" w:cs="宋体"/>
          <w:color w:val="auto"/>
          <w:kern w:val="0"/>
          <w:szCs w:val="21"/>
          <w:highlight w:val="none"/>
        </w:rPr>
        <w:br w:type="textWrapping"/>
      </w:r>
      <w:r>
        <w:rPr>
          <w:rFonts w:hint="eastAsia" w:ascii="宋体" w:hAnsi="宋体" w:eastAsia="宋体" w:cs="宋体"/>
          <w:color w:val="auto"/>
          <w:kern w:val="0"/>
          <w:szCs w:val="21"/>
          <w:highlight w:val="none"/>
        </w:rPr>
        <w:t xml:space="preserve">    价格得分=(基准价／投标“折扣系数”)×</w:t>
      </w:r>
      <w:r>
        <w:rPr>
          <w:rFonts w:hint="eastAsia" w:ascii="宋体" w:hAnsi="宋体" w:eastAsia="宋体" w:cs="宋体"/>
          <w:color w:val="auto"/>
          <w:kern w:val="0"/>
          <w:szCs w:val="21"/>
          <w:highlight w:val="none"/>
          <w:lang w:val="en-US" w:eastAsia="zh-CN"/>
        </w:rPr>
        <w:t>30</w:t>
      </w:r>
    </w:p>
    <w:p w14:paraId="0B4687B6">
      <w:pPr>
        <w:autoSpaceDN w:val="0"/>
        <w:adjustRightInd w:val="0"/>
        <w:snapToGrid w:val="0"/>
        <w:spacing w:line="360" w:lineRule="auto"/>
        <w:ind w:firstLine="210" w:firstLineChars="100"/>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B、分数出现小数点，保留小数点后2位，从小数点后第3位四舍五入。</w:t>
      </w:r>
    </w:p>
    <w:p w14:paraId="6A22DB16">
      <w:pPr>
        <w:tabs>
          <w:tab w:val="left" w:pos="585"/>
        </w:tabs>
        <w:autoSpaceDE w:val="0"/>
        <w:autoSpaceDN w:val="0"/>
        <w:adjustRightInd w:val="0"/>
        <w:spacing w:line="400" w:lineRule="exact"/>
        <w:rPr>
          <w:rFonts w:hint="eastAsia" w:ascii="宋体" w:hAnsi="宋体" w:eastAsia="宋体" w:cs="宋体"/>
          <w:b/>
          <w:color w:val="auto"/>
          <w:szCs w:val="21"/>
          <w:highlight w:val="none"/>
          <w:lang w:val="zh-CN"/>
        </w:rPr>
      </w:pPr>
      <w:r>
        <w:rPr>
          <w:rFonts w:hint="eastAsia" w:ascii="宋体" w:hAnsi="宋体" w:eastAsia="宋体" w:cs="宋体"/>
          <w:b/>
          <w:color w:val="auto"/>
          <w:szCs w:val="21"/>
          <w:highlight w:val="none"/>
          <w:lang w:val="zh-CN"/>
        </w:rPr>
        <w:t>（4）综合得分</w:t>
      </w:r>
    </w:p>
    <w:p w14:paraId="2070C011">
      <w:pPr>
        <w:spacing w:line="400" w:lineRule="exact"/>
        <w:ind w:firstLine="848" w:firstLineChars="404"/>
        <w:rPr>
          <w:rFonts w:hint="eastAsia" w:ascii="宋体" w:hAnsi="宋体" w:eastAsia="宋体" w:cs="宋体"/>
          <w:color w:val="auto"/>
          <w:kern w:val="0"/>
          <w:szCs w:val="28"/>
          <w:highlight w:val="none"/>
          <w:lang w:val="zh-CN"/>
        </w:rPr>
      </w:pPr>
      <w:bookmarkStart w:id="749" w:name="_Toc31624_WPSOffice_Level2"/>
      <w:r>
        <w:rPr>
          <w:rFonts w:hint="eastAsia" w:ascii="宋体" w:hAnsi="宋体" w:eastAsia="宋体" w:cs="宋体"/>
          <w:color w:val="auto"/>
          <w:kern w:val="0"/>
          <w:szCs w:val="28"/>
          <w:highlight w:val="none"/>
          <w:lang w:val="zh-CN"/>
        </w:rPr>
        <w:t>评标总得分=F1＋F2＋……+Fn</w:t>
      </w:r>
      <w:bookmarkEnd w:id="749"/>
    </w:p>
    <w:p w14:paraId="2A2D1223">
      <w:pPr>
        <w:widowControl/>
        <w:autoSpaceDE w:val="0"/>
        <w:autoSpaceDN w:val="0"/>
        <w:adjustRightInd w:val="0"/>
        <w:spacing w:line="400" w:lineRule="exact"/>
        <w:ind w:firstLine="840" w:firstLineChars="400"/>
        <w:jc w:val="left"/>
        <w:rPr>
          <w:rFonts w:hint="eastAsia" w:ascii="宋体" w:hAnsi="宋体" w:eastAsia="宋体" w:cs="宋体"/>
          <w:color w:val="auto"/>
          <w:kern w:val="0"/>
          <w:szCs w:val="21"/>
          <w:highlight w:val="none"/>
        </w:rPr>
      </w:pPr>
      <w:bookmarkStart w:id="750" w:name="_Toc13236_WPSOffice_Level2"/>
      <w:r>
        <w:rPr>
          <w:rFonts w:hint="eastAsia" w:ascii="宋体" w:hAnsi="宋体" w:eastAsia="宋体" w:cs="宋体"/>
          <w:color w:val="auto"/>
          <w:kern w:val="0"/>
          <w:szCs w:val="21"/>
          <w:highlight w:val="none"/>
        </w:rPr>
        <w:t>F1、F2、……Fn分别为各项评分因素的得分</w:t>
      </w:r>
      <w:bookmarkEnd w:id="750"/>
      <w:r>
        <w:rPr>
          <w:rFonts w:hint="eastAsia" w:ascii="宋体" w:hAnsi="宋体" w:eastAsia="宋体" w:cs="宋体"/>
          <w:color w:val="auto"/>
          <w:kern w:val="0"/>
          <w:szCs w:val="21"/>
          <w:highlight w:val="none"/>
        </w:rPr>
        <w:t>。</w:t>
      </w:r>
    </w:p>
    <w:p w14:paraId="568AF5D3">
      <w:pPr>
        <w:autoSpaceDE w:val="0"/>
        <w:autoSpaceDN w:val="0"/>
        <w:adjustRightInd w:val="0"/>
        <w:spacing w:line="360" w:lineRule="auto"/>
        <w:ind w:left="564" w:leftChars="1" w:hanging="562" w:hangingChars="200"/>
        <w:rPr>
          <w:rFonts w:hint="eastAsia" w:ascii="宋体" w:hAnsi="宋体" w:eastAsia="宋体" w:cs="宋体"/>
          <w:b/>
          <w:bCs/>
          <w:color w:val="auto"/>
          <w:sz w:val="28"/>
          <w:szCs w:val="28"/>
          <w:highlight w:val="none"/>
        </w:rPr>
      </w:pPr>
    </w:p>
    <w:p w14:paraId="3A5FB04F">
      <w:pPr>
        <w:autoSpaceDE w:val="0"/>
        <w:autoSpaceDN w:val="0"/>
        <w:adjustRightInd w:val="0"/>
        <w:spacing w:line="360" w:lineRule="auto"/>
        <w:jc w:val="center"/>
        <w:rPr>
          <w:rFonts w:hint="eastAsia" w:ascii="宋体" w:hAnsi="宋体" w:eastAsia="宋体" w:cs="宋体"/>
          <w:b/>
          <w:bCs/>
          <w:color w:val="auto"/>
          <w:sz w:val="28"/>
          <w:szCs w:val="28"/>
          <w:highlight w:val="none"/>
        </w:rPr>
      </w:pPr>
      <w:bookmarkStart w:id="751" w:name="_Toc518_WPSOffice_Level1"/>
      <w:r>
        <w:rPr>
          <w:rFonts w:hint="eastAsia" w:ascii="宋体" w:hAnsi="宋体" w:eastAsia="宋体" w:cs="宋体"/>
          <w:b/>
          <w:bCs/>
          <w:color w:val="auto"/>
          <w:sz w:val="28"/>
          <w:szCs w:val="28"/>
          <w:highlight w:val="none"/>
          <w:lang w:val="zh-CN"/>
        </w:rPr>
        <w:t>五、推荐中标人</w:t>
      </w:r>
      <w:bookmarkEnd w:id="751"/>
    </w:p>
    <w:p w14:paraId="06B276BC">
      <w:pPr>
        <w:autoSpaceDE w:val="0"/>
        <w:autoSpaceDN w:val="0"/>
        <w:adjustRightInd w:val="0"/>
        <w:spacing w:line="360" w:lineRule="auto"/>
        <w:ind w:left="420" w:hanging="420" w:hangingChars="200"/>
        <w:jc w:val="left"/>
        <w:rPr>
          <w:rFonts w:hint="eastAsia" w:ascii="宋体" w:hAnsi="宋体" w:eastAsia="宋体" w:cs="宋体"/>
          <w:color w:val="auto"/>
          <w:kern w:val="0"/>
          <w:szCs w:val="21"/>
          <w:highlight w:val="none"/>
        </w:rPr>
      </w:pPr>
      <w:r>
        <w:rPr>
          <w:rFonts w:hint="eastAsia" w:ascii="宋体" w:hAnsi="宋体" w:eastAsia="宋体" w:cs="宋体"/>
          <w:color w:val="auto"/>
          <w:kern w:val="0"/>
          <w:szCs w:val="21"/>
          <w:highlight w:val="none"/>
        </w:rPr>
        <w:t>13、</w:t>
      </w:r>
      <w:r>
        <w:rPr>
          <w:rFonts w:hint="eastAsia" w:ascii="宋体" w:hAnsi="宋体" w:eastAsia="宋体" w:cs="宋体"/>
          <w:color w:val="auto"/>
          <w:szCs w:val="24"/>
          <w:highlight w:val="none"/>
          <w:lang w:val="zh-CN"/>
        </w:rPr>
        <w:t>评标委员会按评审后得分由高到低顺序排列</w:t>
      </w:r>
      <w:r>
        <w:rPr>
          <w:rFonts w:hint="eastAsia" w:ascii="宋体" w:hAnsi="宋体" w:eastAsia="宋体" w:cs="宋体"/>
          <w:color w:val="auto"/>
          <w:kern w:val="0"/>
          <w:szCs w:val="21"/>
          <w:highlight w:val="none"/>
        </w:rPr>
        <w:t>，并向招标人推荐最后综合得分最高的前二名投标人为中标候选人（最后综合得分排名第一、第二的投标人分别为第一、第二中标候选人），招标人将确定第一中标候选人为中标人。</w:t>
      </w:r>
    </w:p>
    <w:p w14:paraId="6501E655">
      <w:pPr>
        <w:autoSpaceDE w:val="0"/>
        <w:autoSpaceDN w:val="0"/>
        <w:adjustRightInd w:val="0"/>
        <w:spacing w:line="360" w:lineRule="auto"/>
        <w:ind w:left="420" w:leftChars="200" w:firstLine="420" w:firstLineChars="200"/>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1"/>
          <w:highlight w:val="none"/>
        </w:rPr>
        <w:t>如果有两个或以上的投标人的最后综合得分相同，则在最后综合得分相同的投标人中按投标报价</w:t>
      </w:r>
      <w:r>
        <w:rPr>
          <w:rFonts w:hint="eastAsia" w:ascii="宋体" w:hAnsi="宋体" w:eastAsia="宋体" w:cs="宋体"/>
          <w:color w:val="auto"/>
          <w:kern w:val="0"/>
          <w:szCs w:val="21"/>
          <w:highlight w:val="none"/>
          <w:lang w:val="zh-CN"/>
        </w:rPr>
        <w:t>由低到高顺序排出次序，报价低的排前，报价高的排后。</w:t>
      </w:r>
      <w:r>
        <w:rPr>
          <w:rFonts w:hint="eastAsia" w:ascii="宋体" w:hAnsi="宋体" w:eastAsia="宋体" w:cs="宋体"/>
          <w:color w:val="auto"/>
          <w:kern w:val="0"/>
          <w:szCs w:val="21"/>
          <w:highlight w:val="none"/>
        </w:rPr>
        <w:t>如果出现投标人的最后综合得分及投标报价均相同时，则按技术标的评标得分高低排出次序，得分高的排前，得分低的排后。如果出现投标人的最后综合得分、投标报价及技术标得分均相同时，由评标委员会进行投票，得票多的排名在先。当第一轮投票结果为投标人得票数相同时，再次进行投票，如此类推，直到能确定排序次序为止。</w:t>
      </w:r>
    </w:p>
    <w:p w14:paraId="61615120">
      <w:pPr>
        <w:widowControl/>
        <w:spacing w:line="360" w:lineRule="auto"/>
        <w:jc w:val="left"/>
        <w:rPr>
          <w:rFonts w:hint="eastAsia" w:ascii="宋体" w:hAnsi="宋体" w:eastAsia="宋体" w:cs="宋体"/>
          <w:color w:val="auto"/>
          <w:kern w:val="0"/>
          <w:szCs w:val="21"/>
          <w:highlight w:val="none"/>
        </w:rPr>
      </w:pPr>
    </w:p>
    <w:p w14:paraId="034C4FB9">
      <w:pPr>
        <w:autoSpaceDE w:val="0"/>
        <w:autoSpaceDN w:val="0"/>
        <w:adjustRightInd w:val="0"/>
        <w:spacing w:line="360" w:lineRule="auto"/>
        <w:ind w:left="185" w:leftChars="88" w:firstLine="3443" w:firstLineChars="1225"/>
        <w:rPr>
          <w:rFonts w:hint="eastAsia" w:ascii="宋体" w:hAnsi="宋体" w:eastAsia="宋体" w:cs="宋体"/>
          <w:b/>
          <w:bCs/>
          <w:color w:val="auto"/>
          <w:sz w:val="28"/>
          <w:szCs w:val="28"/>
          <w:highlight w:val="none"/>
          <w:lang w:val="zh-CN"/>
        </w:rPr>
      </w:pPr>
      <w:bookmarkStart w:id="752" w:name="_Toc22724_WPSOffice_Level1"/>
      <w:r>
        <w:rPr>
          <w:rFonts w:hint="eastAsia" w:ascii="宋体" w:hAnsi="宋体" w:eastAsia="宋体" w:cs="宋体"/>
          <w:b/>
          <w:bCs/>
          <w:color w:val="auto"/>
          <w:sz w:val="28"/>
          <w:szCs w:val="28"/>
          <w:highlight w:val="none"/>
          <w:lang w:val="zh-CN"/>
        </w:rPr>
        <w:t>六、编写评标报告</w:t>
      </w:r>
      <w:bookmarkEnd w:id="752"/>
    </w:p>
    <w:p w14:paraId="37345B6F">
      <w:pPr>
        <w:autoSpaceDE w:val="0"/>
        <w:autoSpaceDN w:val="0"/>
        <w:adjustRightInd w:val="0"/>
        <w:spacing w:line="360" w:lineRule="auto"/>
        <w:ind w:left="420" w:hanging="420" w:hangingChars="200"/>
        <w:jc w:val="left"/>
        <w:rPr>
          <w:rFonts w:hint="eastAsia" w:ascii="宋体" w:hAnsi="宋体" w:eastAsia="宋体" w:cs="宋体"/>
          <w:b/>
          <w:bCs/>
          <w:color w:val="auto"/>
          <w:szCs w:val="32"/>
          <w:highlight w:val="none"/>
          <w:lang w:val="zh-CN"/>
        </w:rPr>
      </w:pPr>
      <w:r>
        <w:rPr>
          <w:rFonts w:hint="eastAsia" w:ascii="宋体" w:hAnsi="宋体" w:eastAsia="宋体" w:cs="宋体"/>
          <w:color w:val="auto"/>
          <w:szCs w:val="24"/>
          <w:highlight w:val="none"/>
          <w:lang w:val="zh-CN"/>
        </w:rPr>
        <w:t>14、评标委员会根据评审结果撰写评标报告。评标报告是评标委员会根据全体评标委员会成员签字的原始评审记录和评审结果编写的报告，其主要内容包括：</w:t>
      </w:r>
    </w:p>
    <w:p w14:paraId="1E63A58B">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（1）开标邀请时间、开标日期和地点；</w:t>
      </w:r>
    </w:p>
    <w:p w14:paraId="1FEEDA4F">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（2）投标人名单和评标委员会成员名单；</w:t>
      </w:r>
    </w:p>
    <w:p w14:paraId="3F0C620D">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（3）开标评审方法和标准；</w:t>
      </w:r>
    </w:p>
    <w:p w14:paraId="02A22F58">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（4）开标评审记录和评审情况及说明，包括投标无效投标人名单及原因；</w:t>
      </w:r>
    </w:p>
    <w:p w14:paraId="499760E5">
      <w:pPr>
        <w:autoSpaceDE w:val="0"/>
        <w:autoSpaceDN w:val="0"/>
        <w:adjustRightInd w:val="0"/>
        <w:spacing w:line="360" w:lineRule="auto"/>
        <w:jc w:val="left"/>
        <w:rPr>
          <w:rFonts w:hint="eastAsia" w:ascii="宋体" w:hAnsi="宋体" w:eastAsia="宋体" w:cs="宋体"/>
          <w:color w:val="auto"/>
          <w:kern w:val="0"/>
          <w:szCs w:val="24"/>
          <w:highlight w:val="none"/>
          <w:lang w:val="zh-CN"/>
        </w:rPr>
      </w:pPr>
      <w:r>
        <w:rPr>
          <w:rFonts w:hint="eastAsia" w:ascii="宋体" w:hAnsi="宋体" w:eastAsia="宋体" w:cs="宋体"/>
          <w:color w:val="auto"/>
          <w:kern w:val="0"/>
          <w:szCs w:val="24"/>
          <w:highlight w:val="none"/>
          <w:lang w:val="zh-CN"/>
        </w:rPr>
        <w:t>（5）评审结果和中标候选投标人排序表；</w:t>
      </w:r>
    </w:p>
    <w:p w14:paraId="75DDA27E">
      <w:pPr>
        <w:autoSpaceDE w:val="0"/>
        <w:autoSpaceDN w:val="0"/>
        <w:adjustRightInd w:val="0"/>
        <w:spacing w:line="360" w:lineRule="auto"/>
        <w:jc w:val="left"/>
        <w:rPr>
          <w:rFonts w:hint="eastAsia" w:ascii="宋体" w:hAnsi="宋体" w:eastAsia="宋体" w:cs="宋体"/>
          <w:color w:val="auto"/>
          <w:szCs w:val="24"/>
          <w:highlight w:val="none"/>
          <w:lang w:val="zh-CN"/>
        </w:rPr>
      </w:pPr>
      <w:r>
        <w:rPr>
          <w:rFonts w:hint="eastAsia" w:ascii="宋体" w:hAnsi="宋体" w:eastAsia="宋体" w:cs="宋体"/>
          <w:color w:val="auto"/>
          <w:kern w:val="0"/>
          <w:szCs w:val="24"/>
          <w:highlight w:val="none"/>
          <w:lang w:val="zh-CN"/>
        </w:rPr>
        <w:t>（6）评标委员会的推荐</w:t>
      </w:r>
      <w:r>
        <w:rPr>
          <w:rFonts w:hint="eastAsia" w:ascii="宋体" w:hAnsi="宋体" w:eastAsia="宋体" w:cs="宋体"/>
          <w:color w:val="auto"/>
          <w:szCs w:val="24"/>
          <w:highlight w:val="none"/>
          <w:lang w:val="zh-CN"/>
        </w:rPr>
        <w:t>建议。</w:t>
      </w:r>
    </w:p>
    <w:p w14:paraId="1B14C59B">
      <w:pPr>
        <w:autoSpaceDE w:val="0"/>
        <w:autoSpaceDN w:val="0"/>
        <w:adjustRightInd w:val="0"/>
        <w:spacing w:line="360" w:lineRule="auto"/>
        <w:jc w:val="center"/>
        <w:rPr>
          <w:rFonts w:hint="eastAsia" w:ascii="宋体" w:hAnsi="宋体" w:eastAsia="宋体" w:cs="宋体"/>
          <w:b/>
          <w:bCs/>
          <w:color w:val="auto"/>
          <w:sz w:val="28"/>
          <w:szCs w:val="28"/>
          <w:highlight w:val="none"/>
          <w:lang w:val="zh-CN"/>
        </w:rPr>
      </w:pPr>
    </w:p>
    <w:p w14:paraId="71C559C9">
      <w:pPr>
        <w:autoSpaceDE w:val="0"/>
        <w:autoSpaceDN w:val="0"/>
        <w:adjustRightInd w:val="0"/>
        <w:spacing w:line="360" w:lineRule="auto"/>
        <w:jc w:val="center"/>
        <w:rPr>
          <w:rFonts w:hint="eastAsia" w:ascii="宋体" w:hAnsi="宋体" w:eastAsia="宋体" w:cs="宋体"/>
          <w:b/>
          <w:bCs/>
          <w:color w:val="auto"/>
          <w:sz w:val="30"/>
          <w:szCs w:val="30"/>
          <w:highlight w:val="none"/>
          <w:lang w:val="zh-CN"/>
        </w:rPr>
      </w:pPr>
      <w:bookmarkStart w:id="753" w:name="_Toc23773_WPSOffice_Level1"/>
      <w:r>
        <w:rPr>
          <w:rFonts w:hint="eastAsia" w:ascii="宋体" w:hAnsi="宋体" w:eastAsia="宋体" w:cs="宋体"/>
          <w:b/>
          <w:bCs/>
          <w:color w:val="auto"/>
          <w:sz w:val="28"/>
          <w:szCs w:val="28"/>
          <w:highlight w:val="none"/>
          <w:lang w:val="zh-CN"/>
        </w:rPr>
        <w:t>七、注意事项</w:t>
      </w:r>
      <w:bookmarkEnd w:id="753"/>
    </w:p>
    <w:p w14:paraId="61D8556E">
      <w:pPr>
        <w:autoSpaceDE w:val="0"/>
        <w:autoSpaceDN w:val="0"/>
        <w:adjustRightInd w:val="0"/>
        <w:spacing w:line="360" w:lineRule="auto"/>
        <w:ind w:left="420" w:hanging="420" w:hangingChars="200"/>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15、为确保评审工作的顺利进行，防止因泄密或其它意外而造成的不良后果及影响，凡参加评审工作的人员都必须认真执行本规定：</w:t>
      </w:r>
    </w:p>
    <w:p w14:paraId="5D0AB107">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（1）在评审工作期间，所有分发的投标文件、资料等仅限于在评审场所中使用，不得带往其它地方，所有的招标文件、投标文件、资料等一律编号登记；</w:t>
      </w:r>
    </w:p>
    <w:p w14:paraId="5B5BC8EF">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（2）评审人员及工作人员不得在公共场合谈论有关评审内容；</w:t>
      </w:r>
    </w:p>
    <w:p w14:paraId="3E398B6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3）评审人员及工作人员不得以书信、电讯、口述等方式将有关评审内容（如资料、投标文件、投标报价、评审方式、评标委员会的决定、评审组织机构、评审人员名单等）披露给未参加评审的任何无关人员，包括上级领导、同级和下级人员，任何与评审无关的人员（包括亲朋好友和同事）不得进入评审场所；</w:t>
      </w:r>
    </w:p>
    <w:p w14:paraId="734806BB">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（4）</w:t>
      </w:r>
      <w:r>
        <w:rPr>
          <w:rFonts w:hint="eastAsia" w:ascii="宋体" w:hAnsi="宋体" w:eastAsia="宋体" w:cs="宋体"/>
          <w:color w:val="auto"/>
          <w:szCs w:val="24"/>
          <w:highlight w:val="none"/>
          <w:lang w:val="en-US" w:eastAsia="zh-CN"/>
        </w:rPr>
        <w:t>如有需要举行</w:t>
      </w:r>
      <w:r>
        <w:rPr>
          <w:rFonts w:hint="eastAsia" w:ascii="宋体" w:hAnsi="宋体" w:eastAsia="宋体" w:cs="宋体"/>
          <w:color w:val="auto"/>
          <w:szCs w:val="24"/>
          <w:highlight w:val="none"/>
          <w:lang w:val="zh-CN"/>
        </w:rPr>
        <w:t>澄清会，在举行与各投标人的澄清会之前评标委员会应明确参加会议的人员及主谈人。任何需要投标人在澄清会上澄清的问题必须经评标委员会成员签字并由主谈人提出。在澄清期间，对于涉及本规定保密范畴的所有内容，主谈人不得向投标人透露；</w:t>
      </w:r>
    </w:p>
    <w:p w14:paraId="2157DE2A">
      <w:pPr>
        <w:autoSpaceDE w:val="0"/>
        <w:autoSpaceDN w:val="0"/>
        <w:adjustRightInd w:val="0"/>
        <w:spacing w:line="360" w:lineRule="auto"/>
        <w:ind w:left="436" w:leftChars="-59" w:hanging="560" w:hangingChars="267"/>
        <w:rPr>
          <w:rFonts w:hint="eastAsia" w:ascii="宋体" w:hAnsi="宋体" w:eastAsia="宋体" w:cs="宋体"/>
          <w:color w:val="auto"/>
          <w:szCs w:val="24"/>
          <w:highlight w:val="none"/>
          <w:lang w:val="zh-CN"/>
        </w:rPr>
      </w:pPr>
      <w:r>
        <w:rPr>
          <w:rFonts w:hint="eastAsia" w:ascii="宋体" w:hAnsi="宋体" w:eastAsia="宋体" w:cs="宋体"/>
          <w:color w:val="auto"/>
          <w:szCs w:val="24"/>
          <w:highlight w:val="none"/>
          <w:lang w:val="zh-CN"/>
        </w:rPr>
        <w:t>（5）任何评审人员和工作人员不得对外公布评审的一切内容。</w:t>
      </w:r>
    </w:p>
    <w:bookmarkEnd w:id="713"/>
    <w:bookmarkEnd w:id="727"/>
    <w:bookmarkEnd w:id="728"/>
    <w:bookmarkEnd w:id="729"/>
    <w:p w14:paraId="7A0D2013">
      <w:pPr>
        <w:widowControl/>
        <w:jc w:val="left"/>
        <w:rPr>
          <w:rFonts w:hint="eastAsia" w:ascii="宋体" w:hAnsi="宋体" w:eastAsia="宋体" w:cs="宋体"/>
          <w:color w:val="auto"/>
          <w:szCs w:val="24"/>
          <w:highlight w:val="none"/>
          <w:lang w:val="zh-CN"/>
        </w:rPr>
      </w:pPr>
    </w:p>
    <w:sectPr>
      <w:pgSz w:w="12240" w:h="15840"/>
      <w:pgMar w:top="1191" w:right="1737" w:bottom="1191" w:left="1043" w:header="720" w:footer="720" w:gutter="0"/>
      <w:cols w:space="720" w:num="1"/>
      <w:titlePg/>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仿宋_GB2312">
    <w:panose1 w:val="02010609030101010101"/>
    <w:charset w:val="86"/>
    <w:family w:val="auto"/>
    <w:pitch w:val="default"/>
    <w:sig w:usb0="00000001" w:usb1="080E0000" w:usb2="00000000" w:usb3="00000000" w:csb0="00040000" w:csb1="00000000"/>
  </w:font>
  <w:font w:name="ˎ̥">
    <w:altName w:val="Times New Roman"/>
    <w:panose1 w:val="00000000000000000000"/>
    <w:charset w:val="01"/>
    <w:family w:val="roman"/>
    <w:pitch w:val="default"/>
    <w:sig w:usb0="00000000" w:usb1="00000000" w:usb2="00000000" w:usb3="00000000" w:csb0="00040001"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FrutigerNext LT Light">
    <w:altName w:val="宋体"/>
    <w:panose1 w:val="00000000000000000000"/>
    <w:charset w:val="86"/>
    <w:family w:val="swiss"/>
    <w:pitch w:val="default"/>
    <w:sig w:usb0="00000000" w:usb1="00000000" w:usb2="0000001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61D034">
    <w:pPr>
      <w:pStyle w:val="25"/>
      <w:jc w:val="center"/>
    </w:pPr>
    <w:r>
      <w:rPr>
        <w:rFonts w:hint="eastAsia"/>
      </w:rPr>
      <w:t>第</w:t>
    </w:r>
    <w:r>
      <w:rPr>
        <w:bCs/>
      </w:rPr>
      <w:fldChar w:fldCharType="begin"/>
    </w:r>
    <w:r>
      <w:rPr>
        <w:bCs/>
      </w:rPr>
      <w:instrText xml:space="preserve">PAGE</w:instrText>
    </w:r>
    <w:r>
      <w:rPr>
        <w:bCs/>
      </w:rPr>
      <w:fldChar w:fldCharType="separate"/>
    </w:r>
    <w:r>
      <w:rPr>
        <w:bCs/>
      </w:rPr>
      <w:t>20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176</w:t>
    </w:r>
    <w:r>
      <w:rPr>
        <w:bCs/>
      </w:rPr>
      <w:fldChar w:fldCharType="end"/>
    </w:r>
    <w:r>
      <w:rPr>
        <w:rFonts w:hint="eastAsia"/>
        <w:bCs/>
      </w:rPr>
      <w:t>页</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913CA37">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176</w:t>
    </w:r>
    <w:r>
      <w:rPr>
        <w:bCs/>
      </w:rPr>
      <w:fldChar w:fldCharType="end"/>
    </w:r>
    <w:r>
      <w:rPr>
        <w:rFonts w:hint="eastAsia"/>
        <w:bCs/>
      </w:rPr>
      <w:t>页</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509054">
    <w:pPr>
      <w:pStyle w:val="25"/>
      <w:jc w:val="center"/>
    </w:pPr>
    <w:r>
      <w:rPr>
        <w:rFonts w:hint="eastAsia"/>
      </w:rPr>
      <w:t>第</w:t>
    </w:r>
    <w:r>
      <w:rPr>
        <w:bCs/>
      </w:rPr>
      <w:fldChar w:fldCharType="begin"/>
    </w:r>
    <w:r>
      <w:rPr>
        <w:bCs/>
      </w:rPr>
      <w:instrText xml:space="preserve">PAGE</w:instrText>
    </w:r>
    <w:r>
      <w:rPr>
        <w:bCs/>
      </w:rPr>
      <w:fldChar w:fldCharType="separate"/>
    </w:r>
    <w:r>
      <w:rPr>
        <w:bCs/>
      </w:rPr>
      <w:t>20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176</w:t>
    </w:r>
    <w:r>
      <w:rPr>
        <w:bCs/>
      </w:rPr>
      <w:fldChar w:fldCharType="end"/>
    </w:r>
    <w:r>
      <w:rPr>
        <w:rFonts w:hint="eastAsia"/>
        <w:bCs/>
      </w:rPr>
      <w:t>页</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9D69AE">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176</w:t>
    </w:r>
    <w:r>
      <w:rPr>
        <w:bCs/>
      </w:rPr>
      <w:fldChar w:fldCharType="end"/>
    </w:r>
    <w:r>
      <w:rPr>
        <w:rFonts w:hint="eastAsia"/>
        <w:bCs/>
      </w:rPr>
      <w:t>页</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1C5FF8">
    <w:pPr>
      <w:pStyle w:val="25"/>
      <w:jc w:val="center"/>
    </w:pPr>
    <w:r>
      <w:rPr>
        <w:rFonts w:hint="eastAsia"/>
      </w:rPr>
      <w:t>第</w:t>
    </w:r>
    <w:r>
      <w:rPr>
        <w:bCs/>
      </w:rPr>
      <w:fldChar w:fldCharType="begin"/>
    </w:r>
    <w:r>
      <w:rPr>
        <w:bCs/>
      </w:rPr>
      <w:instrText xml:space="preserve">PAGE</w:instrText>
    </w:r>
    <w:r>
      <w:rPr>
        <w:bCs/>
      </w:rPr>
      <w:fldChar w:fldCharType="separate"/>
    </w:r>
    <w:r>
      <w:rPr>
        <w:bCs/>
      </w:rPr>
      <w:t>25</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A12265">
    <w:pPr>
      <w:pStyle w:val="25"/>
      <w:jc w:val="center"/>
    </w:pPr>
    <w:r>
      <w:rPr>
        <w:rFonts w:hint="eastAsia"/>
      </w:rPr>
      <w:t>第</w:t>
    </w:r>
    <w:r>
      <w:rPr>
        <w:bCs/>
      </w:rPr>
      <w:fldChar w:fldCharType="begin"/>
    </w:r>
    <w:r>
      <w:rPr>
        <w:bCs/>
      </w:rPr>
      <w:instrText xml:space="preserve">PAGE</w:instrText>
    </w:r>
    <w:r>
      <w:rPr>
        <w:bCs/>
      </w:rPr>
      <w:fldChar w:fldCharType="separate"/>
    </w:r>
    <w:r>
      <w:rPr>
        <w:bCs/>
      </w:rPr>
      <w:t>1</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69</w:t>
    </w:r>
    <w:r>
      <w:rPr>
        <w:bCs/>
      </w:rPr>
      <w:fldChar w:fldCharType="end"/>
    </w:r>
    <w:r>
      <w:rPr>
        <w:rFonts w:hint="eastAsia"/>
        <w:bCs/>
      </w:rPr>
      <w:t>页</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00BDF7">
    <w:pPr>
      <w:pStyle w:val="25"/>
      <w:jc w:val="center"/>
    </w:pPr>
    <w:r>
      <w:rPr>
        <w:rFonts w:hint="eastAsia"/>
      </w:rPr>
      <w:t>第</w:t>
    </w:r>
    <w:r>
      <w:rPr>
        <w:bCs/>
      </w:rPr>
      <w:fldChar w:fldCharType="begin"/>
    </w:r>
    <w:r>
      <w:rPr>
        <w:bCs/>
      </w:rPr>
      <w:instrText xml:space="preserve">PAGE</w:instrText>
    </w:r>
    <w:r>
      <w:rPr>
        <w:bCs/>
      </w:rPr>
      <w:fldChar w:fldCharType="separate"/>
    </w:r>
    <w:r>
      <w:rPr>
        <w:bCs/>
      </w:rPr>
      <w:t>40</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40</w:t>
    </w:r>
    <w:r>
      <w:rPr>
        <w:bCs/>
      </w:rPr>
      <w:fldChar w:fldCharType="end"/>
    </w:r>
    <w:r>
      <w:rPr>
        <w:rFonts w:hint="eastAsia"/>
        <w:bCs/>
      </w:rPr>
      <w:t>页</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3142CD">
    <w:pPr>
      <w:pStyle w:val="25"/>
      <w:jc w:val="center"/>
    </w:pPr>
    <w:r>
      <w:rPr>
        <w:rFonts w:hint="eastAsia"/>
      </w:rPr>
      <w:t>第</w:t>
    </w:r>
    <w:r>
      <w:rPr>
        <w:bCs/>
      </w:rPr>
      <w:fldChar w:fldCharType="begin"/>
    </w:r>
    <w:r>
      <w:rPr>
        <w:bCs/>
      </w:rPr>
      <w:instrText xml:space="preserve">PAGE</w:instrText>
    </w:r>
    <w:r>
      <w:rPr>
        <w:bCs/>
      </w:rPr>
      <w:fldChar w:fldCharType="separate"/>
    </w:r>
    <w:r>
      <w:rPr>
        <w:bCs/>
      </w:rPr>
      <w:t>49</w:t>
    </w:r>
    <w:r>
      <w:rPr>
        <w:bCs/>
      </w:rPr>
      <w:fldChar w:fldCharType="end"/>
    </w:r>
    <w:r>
      <w:rPr>
        <w:rFonts w:hint="eastAsia"/>
        <w:lang w:val="zh-CN"/>
      </w:rPr>
      <w:t>页 共</w:t>
    </w:r>
    <w:r>
      <w:rPr>
        <w:bCs/>
      </w:rPr>
      <w:fldChar w:fldCharType="begin"/>
    </w:r>
    <w:r>
      <w:rPr>
        <w:bCs/>
      </w:rPr>
      <w:instrText xml:space="preserve">NUMPAGES</w:instrText>
    </w:r>
    <w:r>
      <w:rPr>
        <w:bCs/>
      </w:rPr>
      <w:fldChar w:fldCharType="separate"/>
    </w:r>
    <w:r>
      <w:rPr>
        <w:bCs/>
      </w:rPr>
      <w:t>49</w:t>
    </w:r>
    <w:r>
      <w:rPr>
        <w:bCs/>
      </w:rPr>
      <w:fldChar w:fldCharType="end"/>
    </w:r>
    <w:r>
      <w:rPr>
        <w:rFonts w:hint="eastAsia"/>
        <w:bCs/>
      </w:rPr>
      <w:t>页</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64550D">
    <w:pPr>
      <w:pStyle w:val="25"/>
      <w:jc w:val="center"/>
    </w:pPr>
    <w:r>
      <w:rPr>
        <w:rFonts w:hint="eastAsia"/>
      </w:rPr>
      <w:t>第</w:t>
    </w:r>
    <w:r>
      <w:rPr>
        <w:lang w:val="zh-CN"/>
      </w:rPr>
      <w:t xml:space="preserve"> </w:t>
    </w:r>
    <w:r>
      <w:rPr>
        <w:bCs/>
        <w:sz w:val="24"/>
        <w:szCs w:val="24"/>
      </w:rPr>
      <w:fldChar w:fldCharType="begin"/>
    </w:r>
    <w:r>
      <w:rPr>
        <w:bCs/>
      </w:rPr>
      <w:instrText xml:space="preserve">PAGE</w:instrText>
    </w:r>
    <w:r>
      <w:rPr>
        <w:bCs/>
        <w:sz w:val="24"/>
        <w:szCs w:val="24"/>
      </w:rPr>
      <w:fldChar w:fldCharType="separate"/>
    </w:r>
    <w:r>
      <w:rPr>
        <w:bCs/>
      </w:rPr>
      <w:t>66</w:t>
    </w:r>
    <w:r>
      <w:rPr>
        <w:bCs/>
        <w:sz w:val="24"/>
        <w:szCs w:val="24"/>
      </w:rPr>
      <w:fldChar w:fldCharType="end"/>
    </w:r>
    <w:r>
      <w:rPr>
        <w:lang w:val="zh-CN"/>
      </w:rPr>
      <w:t xml:space="preserve"> </w:t>
    </w:r>
    <w:r>
      <w:rPr>
        <w:rFonts w:hint="eastAsia"/>
        <w:lang w:val="zh-CN"/>
      </w:rPr>
      <w:t>页，共</w:t>
    </w:r>
    <w:r>
      <w:rPr>
        <w:lang w:val="zh-CN"/>
      </w:rPr>
      <w:t xml:space="preserve"> </w:t>
    </w:r>
    <w:r>
      <w:rPr>
        <w:bCs/>
        <w:sz w:val="24"/>
        <w:szCs w:val="24"/>
      </w:rPr>
      <w:fldChar w:fldCharType="begin"/>
    </w:r>
    <w:r>
      <w:rPr>
        <w:bCs/>
      </w:rPr>
      <w:instrText xml:space="preserve">NUMPAGES</w:instrText>
    </w:r>
    <w:r>
      <w:rPr>
        <w:bCs/>
        <w:sz w:val="24"/>
        <w:szCs w:val="24"/>
      </w:rPr>
      <w:fldChar w:fldCharType="separate"/>
    </w:r>
    <w:r>
      <w:rPr>
        <w:bCs/>
      </w:rPr>
      <w:t>68</w:t>
    </w:r>
    <w:r>
      <w:rPr>
        <w:bCs/>
        <w:sz w:val="24"/>
        <w:szCs w:val="24"/>
      </w:rPr>
      <w:fldChar w:fldCharType="end"/>
    </w:r>
    <w:r>
      <w:rPr>
        <w:b/>
        <w:bCs/>
        <w:sz w:val="24"/>
        <w:szCs w:val="24"/>
      </w:rPr>
      <w:t xml:space="preserve"> </w:t>
    </w:r>
    <w:r>
      <w:rPr>
        <w:rFonts w:hint="eastAsia"/>
      </w:rPr>
      <w:t>页</w:t>
    </w:r>
  </w:p>
  <w:p w14:paraId="427FE320">
    <w:pPr>
      <w:pStyle w:val="25"/>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8D6FBB"/>
    <w:multiLevelType w:val="multilevel"/>
    <w:tmpl w:val="2F8D6FBB"/>
    <w:lvl w:ilvl="0" w:tentative="0">
      <w:start w:val="1"/>
      <w:numFmt w:val="decimal"/>
      <w:lvlText w:val="%1."/>
      <w:legacy w:legacy="1" w:legacySpace="0" w:legacyIndent="360"/>
      <w:lvlJc w:val="left"/>
      <w:rPr>
        <w:rFonts w:hint="eastAsia" w:ascii="宋体" w:hAnsi="宋体" w:eastAsia="宋体"/>
      </w:rPr>
    </w:lvl>
    <w:lvl w:ilvl="1" w:tentative="0">
      <w:start w:val="5"/>
      <w:numFmt w:val="decimal"/>
      <w:isLgl/>
      <w:lvlText w:val="%1.%2"/>
      <w:lvlJc w:val="left"/>
      <w:pPr>
        <w:tabs>
          <w:tab w:val="left" w:pos="0"/>
        </w:tabs>
        <w:ind w:left="0" w:firstLine="0"/>
      </w:pPr>
      <w:rPr>
        <w:rFonts w:hint="default"/>
      </w:rPr>
    </w:lvl>
    <w:lvl w:ilvl="2" w:tentative="0">
      <w:start w:val="1"/>
      <w:numFmt w:val="decimal"/>
      <w:isLgl/>
      <w:lvlText w:val="%1.%2.%3"/>
      <w:lvlJc w:val="left"/>
      <w:pPr>
        <w:tabs>
          <w:tab w:val="left" w:pos="0"/>
        </w:tabs>
        <w:ind w:left="0" w:firstLine="0"/>
      </w:pPr>
      <w:rPr>
        <w:rFonts w:hint="default"/>
      </w:rPr>
    </w:lvl>
    <w:lvl w:ilvl="3" w:tentative="0">
      <w:start w:val="1"/>
      <w:numFmt w:val="decimal"/>
      <w:isLgl/>
      <w:lvlText w:val="%1.%2.%3.%4"/>
      <w:lvlJc w:val="left"/>
      <w:pPr>
        <w:tabs>
          <w:tab w:val="left" w:pos="0"/>
        </w:tabs>
        <w:ind w:left="0" w:firstLine="0"/>
      </w:pPr>
      <w:rPr>
        <w:rFonts w:hint="default"/>
      </w:rPr>
    </w:lvl>
    <w:lvl w:ilvl="4" w:tentative="0">
      <w:start w:val="1"/>
      <w:numFmt w:val="decimal"/>
      <w:isLgl/>
      <w:lvlText w:val="%1.%2.%3.%4.%5"/>
      <w:lvlJc w:val="left"/>
      <w:pPr>
        <w:tabs>
          <w:tab w:val="left" w:pos="0"/>
        </w:tabs>
        <w:ind w:left="0" w:firstLine="0"/>
      </w:pPr>
      <w:rPr>
        <w:rFonts w:hint="default"/>
      </w:rPr>
    </w:lvl>
    <w:lvl w:ilvl="5" w:tentative="0">
      <w:start w:val="1"/>
      <w:numFmt w:val="decimal"/>
      <w:isLgl/>
      <w:lvlText w:val="%1.%2.%3.%4.%5.%6"/>
      <w:lvlJc w:val="left"/>
      <w:pPr>
        <w:tabs>
          <w:tab w:val="left" w:pos="0"/>
        </w:tabs>
        <w:ind w:left="0" w:firstLine="0"/>
      </w:pPr>
      <w:rPr>
        <w:rFonts w:hint="default"/>
      </w:rPr>
    </w:lvl>
    <w:lvl w:ilvl="6" w:tentative="0">
      <w:start w:val="1"/>
      <w:numFmt w:val="decimal"/>
      <w:isLgl/>
      <w:lvlText w:val="%1.%2.%3.%4.%5.%6.%7"/>
      <w:lvlJc w:val="left"/>
      <w:pPr>
        <w:tabs>
          <w:tab w:val="left" w:pos="0"/>
        </w:tabs>
        <w:ind w:left="0" w:firstLine="0"/>
      </w:pPr>
      <w:rPr>
        <w:rFonts w:hint="default"/>
      </w:rPr>
    </w:lvl>
    <w:lvl w:ilvl="7" w:tentative="0">
      <w:start w:val="1"/>
      <w:numFmt w:val="decimal"/>
      <w:isLgl/>
      <w:lvlText w:val="%1.%2.%3.%4.%5.%6.%7.%8"/>
      <w:lvlJc w:val="left"/>
      <w:pPr>
        <w:tabs>
          <w:tab w:val="left" w:pos="0"/>
        </w:tabs>
        <w:ind w:left="0" w:firstLine="0"/>
      </w:pPr>
      <w:rPr>
        <w:rFonts w:hint="default"/>
      </w:rPr>
    </w:lvl>
    <w:lvl w:ilvl="8" w:tentative="0">
      <w:start w:val="1"/>
      <w:numFmt w:val="decimal"/>
      <w:isLgl/>
      <w:lvlText w:val="%1.%2.%3.%4.%5.%6.%7.%8.%9"/>
      <w:lvlJc w:val="left"/>
      <w:pPr>
        <w:tabs>
          <w:tab w:val="left" w:pos="0"/>
        </w:tabs>
        <w:ind w:left="0" w:firstLine="0"/>
      </w:pPr>
      <w:rPr>
        <w:rFonts w:hint="default"/>
      </w:rPr>
    </w:lvl>
  </w:abstractNum>
  <w:abstractNum w:abstractNumId="1">
    <w:nsid w:val="442A3BA7"/>
    <w:multiLevelType w:val="multilevel"/>
    <w:tmpl w:val="442A3BA7"/>
    <w:lvl w:ilvl="0" w:tentative="0">
      <w:start w:val="1"/>
      <w:numFmt w:val="decimal"/>
      <w:lvlText w:val="%1"/>
      <w:lvlJc w:val="left"/>
      <w:pPr>
        <w:ind w:left="360" w:hanging="360"/>
      </w:pPr>
      <w:rPr>
        <w:rFonts w:hint="default" w:ascii="宋体" w:hAnsi="宋体" w:eastAsia="宋体"/>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hideSpellingErrors/>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MzZDFmYWE3YTY0ZjdjODg3NWJlYzQ1MzZmOTgxY2EifQ=="/>
  </w:docVars>
  <w:rsids>
    <w:rsidRoot w:val="001E63B6"/>
    <w:rsid w:val="000011AE"/>
    <w:rsid w:val="00004430"/>
    <w:rsid w:val="00006AEC"/>
    <w:rsid w:val="00015A2E"/>
    <w:rsid w:val="000245A6"/>
    <w:rsid w:val="0002570D"/>
    <w:rsid w:val="00027708"/>
    <w:rsid w:val="00035595"/>
    <w:rsid w:val="00040BE6"/>
    <w:rsid w:val="00040F92"/>
    <w:rsid w:val="00046C4B"/>
    <w:rsid w:val="00052FA1"/>
    <w:rsid w:val="00054A52"/>
    <w:rsid w:val="00054D9C"/>
    <w:rsid w:val="000622F9"/>
    <w:rsid w:val="000640CD"/>
    <w:rsid w:val="000768C6"/>
    <w:rsid w:val="000770B9"/>
    <w:rsid w:val="0008097F"/>
    <w:rsid w:val="00084D8D"/>
    <w:rsid w:val="000853A8"/>
    <w:rsid w:val="00086BE3"/>
    <w:rsid w:val="00094AF8"/>
    <w:rsid w:val="000A31BD"/>
    <w:rsid w:val="000A34F7"/>
    <w:rsid w:val="000A65CD"/>
    <w:rsid w:val="000A73D7"/>
    <w:rsid w:val="000B4B09"/>
    <w:rsid w:val="000C1661"/>
    <w:rsid w:val="000C18B7"/>
    <w:rsid w:val="000C5D06"/>
    <w:rsid w:val="000C6A11"/>
    <w:rsid w:val="000D0B5D"/>
    <w:rsid w:val="000D5537"/>
    <w:rsid w:val="000D75D3"/>
    <w:rsid w:val="000E3ECA"/>
    <w:rsid w:val="000E4A4F"/>
    <w:rsid w:val="000E4D54"/>
    <w:rsid w:val="000F0A84"/>
    <w:rsid w:val="001059DC"/>
    <w:rsid w:val="0010738F"/>
    <w:rsid w:val="0011440A"/>
    <w:rsid w:val="00114519"/>
    <w:rsid w:val="001233ED"/>
    <w:rsid w:val="00127946"/>
    <w:rsid w:val="00131E91"/>
    <w:rsid w:val="001450A8"/>
    <w:rsid w:val="001523C0"/>
    <w:rsid w:val="00152F07"/>
    <w:rsid w:val="0015711A"/>
    <w:rsid w:val="001644BA"/>
    <w:rsid w:val="001647C7"/>
    <w:rsid w:val="00165203"/>
    <w:rsid w:val="00166309"/>
    <w:rsid w:val="00170004"/>
    <w:rsid w:val="00174AE6"/>
    <w:rsid w:val="001758D3"/>
    <w:rsid w:val="00177B51"/>
    <w:rsid w:val="0018078B"/>
    <w:rsid w:val="00183284"/>
    <w:rsid w:val="00183344"/>
    <w:rsid w:val="0019682B"/>
    <w:rsid w:val="001A1FCB"/>
    <w:rsid w:val="001B74B3"/>
    <w:rsid w:val="001C2086"/>
    <w:rsid w:val="001C4AC2"/>
    <w:rsid w:val="001C6FAA"/>
    <w:rsid w:val="001D00B3"/>
    <w:rsid w:val="001D5A65"/>
    <w:rsid w:val="001D6B15"/>
    <w:rsid w:val="001E4158"/>
    <w:rsid w:val="001E6227"/>
    <w:rsid w:val="001E63B6"/>
    <w:rsid w:val="001E6DD8"/>
    <w:rsid w:val="001F0290"/>
    <w:rsid w:val="001F6A01"/>
    <w:rsid w:val="00202DB9"/>
    <w:rsid w:val="00215B7A"/>
    <w:rsid w:val="00223D5B"/>
    <w:rsid w:val="0022528C"/>
    <w:rsid w:val="002258BB"/>
    <w:rsid w:val="00225B7D"/>
    <w:rsid w:val="002260FC"/>
    <w:rsid w:val="002315B7"/>
    <w:rsid w:val="002347FE"/>
    <w:rsid w:val="0024360C"/>
    <w:rsid w:val="002451A7"/>
    <w:rsid w:val="00247373"/>
    <w:rsid w:val="00260C05"/>
    <w:rsid w:val="00261575"/>
    <w:rsid w:val="00262407"/>
    <w:rsid w:val="00275E0E"/>
    <w:rsid w:val="0028146F"/>
    <w:rsid w:val="002831F6"/>
    <w:rsid w:val="00290CBF"/>
    <w:rsid w:val="0029590E"/>
    <w:rsid w:val="002A3EB3"/>
    <w:rsid w:val="002B1734"/>
    <w:rsid w:val="002B5DBC"/>
    <w:rsid w:val="002B7423"/>
    <w:rsid w:val="002B7CA9"/>
    <w:rsid w:val="002C4A4A"/>
    <w:rsid w:val="002D0003"/>
    <w:rsid w:val="002D1442"/>
    <w:rsid w:val="002E4079"/>
    <w:rsid w:val="002F68EE"/>
    <w:rsid w:val="002F7DEF"/>
    <w:rsid w:val="003014E2"/>
    <w:rsid w:val="00302D85"/>
    <w:rsid w:val="0030753D"/>
    <w:rsid w:val="00311DA1"/>
    <w:rsid w:val="003121B1"/>
    <w:rsid w:val="0031709C"/>
    <w:rsid w:val="003223D5"/>
    <w:rsid w:val="00322AA4"/>
    <w:rsid w:val="00325EF0"/>
    <w:rsid w:val="00326230"/>
    <w:rsid w:val="00326290"/>
    <w:rsid w:val="00330DA7"/>
    <w:rsid w:val="00332C2D"/>
    <w:rsid w:val="00335872"/>
    <w:rsid w:val="003462FF"/>
    <w:rsid w:val="00347A73"/>
    <w:rsid w:val="00347CB0"/>
    <w:rsid w:val="00352495"/>
    <w:rsid w:val="00353707"/>
    <w:rsid w:val="00354BE6"/>
    <w:rsid w:val="0035524D"/>
    <w:rsid w:val="00357E51"/>
    <w:rsid w:val="003628C2"/>
    <w:rsid w:val="00364854"/>
    <w:rsid w:val="00366BB7"/>
    <w:rsid w:val="003721DF"/>
    <w:rsid w:val="003748D5"/>
    <w:rsid w:val="0037694B"/>
    <w:rsid w:val="00381E11"/>
    <w:rsid w:val="003824D1"/>
    <w:rsid w:val="00393CBD"/>
    <w:rsid w:val="00395C76"/>
    <w:rsid w:val="003A2B25"/>
    <w:rsid w:val="003A5520"/>
    <w:rsid w:val="003B077B"/>
    <w:rsid w:val="003B3342"/>
    <w:rsid w:val="003B5C9C"/>
    <w:rsid w:val="003C193B"/>
    <w:rsid w:val="003D0D72"/>
    <w:rsid w:val="003D17A4"/>
    <w:rsid w:val="003D39E2"/>
    <w:rsid w:val="003D3F68"/>
    <w:rsid w:val="003E006E"/>
    <w:rsid w:val="003E30F8"/>
    <w:rsid w:val="003E399E"/>
    <w:rsid w:val="003E6830"/>
    <w:rsid w:val="003F3875"/>
    <w:rsid w:val="003F42C0"/>
    <w:rsid w:val="003F51B0"/>
    <w:rsid w:val="004033E1"/>
    <w:rsid w:val="00405E84"/>
    <w:rsid w:val="0040607F"/>
    <w:rsid w:val="00417860"/>
    <w:rsid w:val="00420A7A"/>
    <w:rsid w:val="004235AF"/>
    <w:rsid w:val="0042558D"/>
    <w:rsid w:val="00427A89"/>
    <w:rsid w:val="0043107A"/>
    <w:rsid w:val="00432C43"/>
    <w:rsid w:val="004359C6"/>
    <w:rsid w:val="004360FC"/>
    <w:rsid w:val="004378C7"/>
    <w:rsid w:val="00437B9C"/>
    <w:rsid w:val="00437FC4"/>
    <w:rsid w:val="00440B79"/>
    <w:rsid w:val="00441805"/>
    <w:rsid w:val="004551D1"/>
    <w:rsid w:val="0045753C"/>
    <w:rsid w:val="004577C3"/>
    <w:rsid w:val="0046038A"/>
    <w:rsid w:val="00460F3E"/>
    <w:rsid w:val="00464570"/>
    <w:rsid w:val="004761B2"/>
    <w:rsid w:val="00481AFA"/>
    <w:rsid w:val="0049337D"/>
    <w:rsid w:val="004B093D"/>
    <w:rsid w:val="004B604C"/>
    <w:rsid w:val="004E4ADE"/>
    <w:rsid w:val="004E5028"/>
    <w:rsid w:val="004E5F4E"/>
    <w:rsid w:val="004F2802"/>
    <w:rsid w:val="00500B9E"/>
    <w:rsid w:val="00503499"/>
    <w:rsid w:val="00506501"/>
    <w:rsid w:val="00507BC4"/>
    <w:rsid w:val="00513DB6"/>
    <w:rsid w:val="00524E92"/>
    <w:rsid w:val="00531E28"/>
    <w:rsid w:val="005344B1"/>
    <w:rsid w:val="005423E7"/>
    <w:rsid w:val="005572B4"/>
    <w:rsid w:val="0056010A"/>
    <w:rsid w:val="00563302"/>
    <w:rsid w:val="00571307"/>
    <w:rsid w:val="005743EA"/>
    <w:rsid w:val="00576F2E"/>
    <w:rsid w:val="00581210"/>
    <w:rsid w:val="00581FC3"/>
    <w:rsid w:val="005832B2"/>
    <w:rsid w:val="005851F1"/>
    <w:rsid w:val="005910B4"/>
    <w:rsid w:val="00596A23"/>
    <w:rsid w:val="005B735D"/>
    <w:rsid w:val="005C4A71"/>
    <w:rsid w:val="005C6F40"/>
    <w:rsid w:val="005D4119"/>
    <w:rsid w:val="005D66C2"/>
    <w:rsid w:val="005E2AC9"/>
    <w:rsid w:val="005E4D67"/>
    <w:rsid w:val="005F3D7C"/>
    <w:rsid w:val="005F481F"/>
    <w:rsid w:val="00602D7E"/>
    <w:rsid w:val="00603BD0"/>
    <w:rsid w:val="0060555D"/>
    <w:rsid w:val="00606161"/>
    <w:rsid w:val="006062B3"/>
    <w:rsid w:val="00612EB1"/>
    <w:rsid w:val="0061352C"/>
    <w:rsid w:val="006165C8"/>
    <w:rsid w:val="006175B4"/>
    <w:rsid w:val="00617AAD"/>
    <w:rsid w:val="00621CDC"/>
    <w:rsid w:val="006229B2"/>
    <w:rsid w:val="00625E3D"/>
    <w:rsid w:val="00630B61"/>
    <w:rsid w:val="006402A6"/>
    <w:rsid w:val="00644B65"/>
    <w:rsid w:val="006530F8"/>
    <w:rsid w:val="006537BE"/>
    <w:rsid w:val="006654C0"/>
    <w:rsid w:val="00681997"/>
    <w:rsid w:val="0068405C"/>
    <w:rsid w:val="00691017"/>
    <w:rsid w:val="0069152C"/>
    <w:rsid w:val="006A29A5"/>
    <w:rsid w:val="006A2BD9"/>
    <w:rsid w:val="006A3C57"/>
    <w:rsid w:val="006A4F83"/>
    <w:rsid w:val="006A5072"/>
    <w:rsid w:val="006B5151"/>
    <w:rsid w:val="006C2D84"/>
    <w:rsid w:val="006C2F7D"/>
    <w:rsid w:val="006C3580"/>
    <w:rsid w:val="006C3F4D"/>
    <w:rsid w:val="006C6349"/>
    <w:rsid w:val="006D479F"/>
    <w:rsid w:val="006E2E51"/>
    <w:rsid w:val="006F6DB2"/>
    <w:rsid w:val="00704B3A"/>
    <w:rsid w:val="00710CF8"/>
    <w:rsid w:val="00711E08"/>
    <w:rsid w:val="007138FD"/>
    <w:rsid w:val="00716BB1"/>
    <w:rsid w:val="007172FD"/>
    <w:rsid w:val="007200C8"/>
    <w:rsid w:val="007215F6"/>
    <w:rsid w:val="00721BAA"/>
    <w:rsid w:val="007402CA"/>
    <w:rsid w:val="00745968"/>
    <w:rsid w:val="00747A3E"/>
    <w:rsid w:val="007730C9"/>
    <w:rsid w:val="00775150"/>
    <w:rsid w:val="00776B48"/>
    <w:rsid w:val="0078099D"/>
    <w:rsid w:val="00787DE8"/>
    <w:rsid w:val="007942D8"/>
    <w:rsid w:val="00794983"/>
    <w:rsid w:val="00796ED7"/>
    <w:rsid w:val="007A7740"/>
    <w:rsid w:val="007B4F1D"/>
    <w:rsid w:val="007C002A"/>
    <w:rsid w:val="007C024B"/>
    <w:rsid w:val="007C0AE0"/>
    <w:rsid w:val="007C14DC"/>
    <w:rsid w:val="007D408A"/>
    <w:rsid w:val="007D4A5A"/>
    <w:rsid w:val="007D6B20"/>
    <w:rsid w:val="007E0673"/>
    <w:rsid w:val="007E32FC"/>
    <w:rsid w:val="007F01A2"/>
    <w:rsid w:val="007F0378"/>
    <w:rsid w:val="007F2ABC"/>
    <w:rsid w:val="007F7FEC"/>
    <w:rsid w:val="0081027D"/>
    <w:rsid w:val="00817B3D"/>
    <w:rsid w:val="00822299"/>
    <w:rsid w:val="008270D5"/>
    <w:rsid w:val="008279A7"/>
    <w:rsid w:val="00831B7F"/>
    <w:rsid w:val="0085250F"/>
    <w:rsid w:val="008525D6"/>
    <w:rsid w:val="0085388E"/>
    <w:rsid w:val="00856F5E"/>
    <w:rsid w:val="008604D1"/>
    <w:rsid w:val="008659E9"/>
    <w:rsid w:val="0087095D"/>
    <w:rsid w:val="00871835"/>
    <w:rsid w:val="00871F12"/>
    <w:rsid w:val="00875420"/>
    <w:rsid w:val="00876184"/>
    <w:rsid w:val="00876819"/>
    <w:rsid w:val="00880A50"/>
    <w:rsid w:val="00884732"/>
    <w:rsid w:val="0089007C"/>
    <w:rsid w:val="008928AE"/>
    <w:rsid w:val="00893092"/>
    <w:rsid w:val="00894583"/>
    <w:rsid w:val="008A4C9B"/>
    <w:rsid w:val="008B08C5"/>
    <w:rsid w:val="008B6384"/>
    <w:rsid w:val="008B6557"/>
    <w:rsid w:val="008B74A7"/>
    <w:rsid w:val="008C02C2"/>
    <w:rsid w:val="008C1CB3"/>
    <w:rsid w:val="008C7F21"/>
    <w:rsid w:val="008D1795"/>
    <w:rsid w:val="008D4357"/>
    <w:rsid w:val="008D565D"/>
    <w:rsid w:val="008D6357"/>
    <w:rsid w:val="008E5EA1"/>
    <w:rsid w:val="008E6AB7"/>
    <w:rsid w:val="008F13C0"/>
    <w:rsid w:val="008F38EE"/>
    <w:rsid w:val="009001CB"/>
    <w:rsid w:val="009004F6"/>
    <w:rsid w:val="009077A0"/>
    <w:rsid w:val="009113DE"/>
    <w:rsid w:val="00913121"/>
    <w:rsid w:val="009171D5"/>
    <w:rsid w:val="00917709"/>
    <w:rsid w:val="00917C84"/>
    <w:rsid w:val="009220F2"/>
    <w:rsid w:val="009227C1"/>
    <w:rsid w:val="00923EDB"/>
    <w:rsid w:val="00925D9A"/>
    <w:rsid w:val="00926978"/>
    <w:rsid w:val="00932BD9"/>
    <w:rsid w:val="0094670F"/>
    <w:rsid w:val="009479D0"/>
    <w:rsid w:val="00961BA9"/>
    <w:rsid w:val="00967923"/>
    <w:rsid w:val="009701D2"/>
    <w:rsid w:val="00970774"/>
    <w:rsid w:val="00972FAE"/>
    <w:rsid w:val="0097462A"/>
    <w:rsid w:val="00986292"/>
    <w:rsid w:val="00987779"/>
    <w:rsid w:val="00992BFE"/>
    <w:rsid w:val="009A2AA5"/>
    <w:rsid w:val="009A63FB"/>
    <w:rsid w:val="009B55D4"/>
    <w:rsid w:val="009B787A"/>
    <w:rsid w:val="009B7A49"/>
    <w:rsid w:val="009B7AD9"/>
    <w:rsid w:val="009C387D"/>
    <w:rsid w:val="009C571F"/>
    <w:rsid w:val="009D0461"/>
    <w:rsid w:val="009D4188"/>
    <w:rsid w:val="009D4EFC"/>
    <w:rsid w:val="009D7FA3"/>
    <w:rsid w:val="009E216D"/>
    <w:rsid w:val="009E6283"/>
    <w:rsid w:val="009E63CA"/>
    <w:rsid w:val="009F34CB"/>
    <w:rsid w:val="009F7460"/>
    <w:rsid w:val="00A03E44"/>
    <w:rsid w:val="00A075A8"/>
    <w:rsid w:val="00A10A7B"/>
    <w:rsid w:val="00A15F6A"/>
    <w:rsid w:val="00A311C2"/>
    <w:rsid w:val="00A32233"/>
    <w:rsid w:val="00A36A24"/>
    <w:rsid w:val="00A376FB"/>
    <w:rsid w:val="00A45306"/>
    <w:rsid w:val="00A45D73"/>
    <w:rsid w:val="00A62F8C"/>
    <w:rsid w:val="00A64725"/>
    <w:rsid w:val="00A6666A"/>
    <w:rsid w:val="00A73490"/>
    <w:rsid w:val="00A819B6"/>
    <w:rsid w:val="00A91C8B"/>
    <w:rsid w:val="00A95824"/>
    <w:rsid w:val="00AB2EDC"/>
    <w:rsid w:val="00AB47F4"/>
    <w:rsid w:val="00AC136E"/>
    <w:rsid w:val="00AC1F6A"/>
    <w:rsid w:val="00AC413D"/>
    <w:rsid w:val="00AD3A9D"/>
    <w:rsid w:val="00AD79D3"/>
    <w:rsid w:val="00AE5434"/>
    <w:rsid w:val="00AE6DBF"/>
    <w:rsid w:val="00AE75DB"/>
    <w:rsid w:val="00B0092D"/>
    <w:rsid w:val="00B01C60"/>
    <w:rsid w:val="00B01D22"/>
    <w:rsid w:val="00B03A00"/>
    <w:rsid w:val="00B0445D"/>
    <w:rsid w:val="00B0447C"/>
    <w:rsid w:val="00B05E53"/>
    <w:rsid w:val="00B072AA"/>
    <w:rsid w:val="00B10650"/>
    <w:rsid w:val="00B10E08"/>
    <w:rsid w:val="00B11436"/>
    <w:rsid w:val="00B12341"/>
    <w:rsid w:val="00B25D19"/>
    <w:rsid w:val="00B359D9"/>
    <w:rsid w:val="00B35BC7"/>
    <w:rsid w:val="00B40B8B"/>
    <w:rsid w:val="00B4404D"/>
    <w:rsid w:val="00B50993"/>
    <w:rsid w:val="00B63168"/>
    <w:rsid w:val="00B63E9B"/>
    <w:rsid w:val="00B64963"/>
    <w:rsid w:val="00B70085"/>
    <w:rsid w:val="00B7099F"/>
    <w:rsid w:val="00B71873"/>
    <w:rsid w:val="00B72A5D"/>
    <w:rsid w:val="00B736B7"/>
    <w:rsid w:val="00B73C45"/>
    <w:rsid w:val="00B82E01"/>
    <w:rsid w:val="00B84DD7"/>
    <w:rsid w:val="00B91811"/>
    <w:rsid w:val="00B94460"/>
    <w:rsid w:val="00B9561A"/>
    <w:rsid w:val="00BA437F"/>
    <w:rsid w:val="00BA5C29"/>
    <w:rsid w:val="00BB6C9A"/>
    <w:rsid w:val="00BC0594"/>
    <w:rsid w:val="00BC11FC"/>
    <w:rsid w:val="00BC1F54"/>
    <w:rsid w:val="00BC4C9D"/>
    <w:rsid w:val="00BC54FC"/>
    <w:rsid w:val="00BD2118"/>
    <w:rsid w:val="00BD5092"/>
    <w:rsid w:val="00BD5997"/>
    <w:rsid w:val="00BE6F50"/>
    <w:rsid w:val="00BF1BA3"/>
    <w:rsid w:val="00BF588D"/>
    <w:rsid w:val="00C03447"/>
    <w:rsid w:val="00C07EF5"/>
    <w:rsid w:val="00C128FE"/>
    <w:rsid w:val="00C13304"/>
    <w:rsid w:val="00C1777A"/>
    <w:rsid w:val="00C212E3"/>
    <w:rsid w:val="00C22FAE"/>
    <w:rsid w:val="00C24C44"/>
    <w:rsid w:val="00C26B0C"/>
    <w:rsid w:val="00C30F18"/>
    <w:rsid w:val="00C331D1"/>
    <w:rsid w:val="00C35958"/>
    <w:rsid w:val="00C372A8"/>
    <w:rsid w:val="00C375FF"/>
    <w:rsid w:val="00C40848"/>
    <w:rsid w:val="00C50E47"/>
    <w:rsid w:val="00C562AA"/>
    <w:rsid w:val="00C574F4"/>
    <w:rsid w:val="00C747C6"/>
    <w:rsid w:val="00C756C3"/>
    <w:rsid w:val="00C80F66"/>
    <w:rsid w:val="00C84AE8"/>
    <w:rsid w:val="00C85D1B"/>
    <w:rsid w:val="00C96DDA"/>
    <w:rsid w:val="00CA7F1F"/>
    <w:rsid w:val="00CB5D3E"/>
    <w:rsid w:val="00CC4C46"/>
    <w:rsid w:val="00CC6AAB"/>
    <w:rsid w:val="00CC77FF"/>
    <w:rsid w:val="00CC7CF5"/>
    <w:rsid w:val="00CD60D6"/>
    <w:rsid w:val="00CE3C5A"/>
    <w:rsid w:val="00CE59C6"/>
    <w:rsid w:val="00CE7586"/>
    <w:rsid w:val="00D03659"/>
    <w:rsid w:val="00D03EDF"/>
    <w:rsid w:val="00D10DC0"/>
    <w:rsid w:val="00D11555"/>
    <w:rsid w:val="00D13D6D"/>
    <w:rsid w:val="00D20C74"/>
    <w:rsid w:val="00D24FD7"/>
    <w:rsid w:val="00D25647"/>
    <w:rsid w:val="00D34FE4"/>
    <w:rsid w:val="00D377A7"/>
    <w:rsid w:val="00D44C95"/>
    <w:rsid w:val="00D452A7"/>
    <w:rsid w:val="00D4584F"/>
    <w:rsid w:val="00D54725"/>
    <w:rsid w:val="00D559FF"/>
    <w:rsid w:val="00D62B8C"/>
    <w:rsid w:val="00D63276"/>
    <w:rsid w:val="00D66F39"/>
    <w:rsid w:val="00D84B36"/>
    <w:rsid w:val="00D85853"/>
    <w:rsid w:val="00D936A0"/>
    <w:rsid w:val="00D97162"/>
    <w:rsid w:val="00D97CE9"/>
    <w:rsid w:val="00DA36E7"/>
    <w:rsid w:val="00DA4FC7"/>
    <w:rsid w:val="00DA550D"/>
    <w:rsid w:val="00DA7017"/>
    <w:rsid w:val="00DB13DD"/>
    <w:rsid w:val="00DB1B31"/>
    <w:rsid w:val="00DB1C27"/>
    <w:rsid w:val="00DB38EE"/>
    <w:rsid w:val="00DB7973"/>
    <w:rsid w:val="00DC13AB"/>
    <w:rsid w:val="00DC5EF2"/>
    <w:rsid w:val="00DC7EF7"/>
    <w:rsid w:val="00DD6B5E"/>
    <w:rsid w:val="00DD6BD4"/>
    <w:rsid w:val="00DE5E58"/>
    <w:rsid w:val="00DE7B46"/>
    <w:rsid w:val="00E0162C"/>
    <w:rsid w:val="00E11487"/>
    <w:rsid w:val="00E14ACC"/>
    <w:rsid w:val="00E15A8C"/>
    <w:rsid w:val="00E4144C"/>
    <w:rsid w:val="00E44F84"/>
    <w:rsid w:val="00E463C6"/>
    <w:rsid w:val="00E53121"/>
    <w:rsid w:val="00E5318E"/>
    <w:rsid w:val="00E53532"/>
    <w:rsid w:val="00E6034D"/>
    <w:rsid w:val="00E71967"/>
    <w:rsid w:val="00E754B1"/>
    <w:rsid w:val="00E801B5"/>
    <w:rsid w:val="00E905E8"/>
    <w:rsid w:val="00E93F56"/>
    <w:rsid w:val="00E952D9"/>
    <w:rsid w:val="00E96773"/>
    <w:rsid w:val="00E97CB9"/>
    <w:rsid w:val="00EB27E9"/>
    <w:rsid w:val="00EB37C9"/>
    <w:rsid w:val="00EC134E"/>
    <w:rsid w:val="00ED0445"/>
    <w:rsid w:val="00ED3C3B"/>
    <w:rsid w:val="00EE48C3"/>
    <w:rsid w:val="00EF199D"/>
    <w:rsid w:val="00EF4E12"/>
    <w:rsid w:val="00EF5326"/>
    <w:rsid w:val="00EF65F3"/>
    <w:rsid w:val="00F01510"/>
    <w:rsid w:val="00F02A6D"/>
    <w:rsid w:val="00F0424C"/>
    <w:rsid w:val="00F10495"/>
    <w:rsid w:val="00F10DA8"/>
    <w:rsid w:val="00F1168A"/>
    <w:rsid w:val="00F12A10"/>
    <w:rsid w:val="00F2391C"/>
    <w:rsid w:val="00F31E30"/>
    <w:rsid w:val="00F3326F"/>
    <w:rsid w:val="00F34781"/>
    <w:rsid w:val="00F41A5D"/>
    <w:rsid w:val="00F470A2"/>
    <w:rsid w:val="00F51F93"/>
    <w:rsid w:val="00F552E5"/>
    <w:rsid w:val="00F56AA8"/>
    <w:rsid w:val="00F67C91"/>
    <w:rsid w:val="00F723F9"/>
    <w:rsid w:val="00F82315"/>
    <w:rsid w:val="00F83D3C"/>
    <w:rsid w:val="00F840D6"/>
    <w:rsid w:val="00F8691C"/>
    <w:rsid w:val="00F900BE"/>
    <w:rsid w:val="00F97392"/>
    <w:rsid w:val="00F97DF6"/>
    <w:rsid w:val="00FA4EEC"/>
    <w:rsid w:val="00FB335B"/>
    <w:rsid w:val="00FB4EAA"/>
    <w:rsid w:val="00FC5512"/>
    <w:rsid w:val="00FC6366"/>
    <w:rsid w:val="00FD0CD9"/>
    <w:rsid w:val="00FD4970"/>
    <w:rsid w:val="00FD6927"/>
    <w:rsid w:val="00FE02D9"/>
    <w:rsid w:val="00FE14F9"/>
    <w:rsid w:val="00FF2EFF"/>
    <w:rsid w:val="00FF4843"/>
    <w:rsid w:val="00FF5EEA"/>
    <w:rsid w:val="01011432"/>
    <w:rsid w:val="010351AA"/>
    <w:rsid w:val="01C30D10"/>
    <w:rsid w:val="01FA6321"/>
    <w:rsid w:val="02444454"/>
    <w:rsid w:val="02A0745C"/>
    <w:rsid w:val="02AE55E9"/>
    <w:rsid w:val="02C80459"/>
    <w:rsid w:val="02D37031"/>
    <w:rsid w:val="02E62FD5"/>
    <w:rsid w:val="03015719"/>
    <w:rsid w:val="030A119C"/>
    <w:rsid w:val="03642109"/>
    <w:rsid w:val="037D42D2"/>
    <w:rsid w:val="03BB3E65"/>
    <w:rsid w:val="03C03826"/>
    <w:rsid w:val="04041910"/>
    <w:rsid w:val="040E4592"/>
    <w:rsid w:val="04620439"/>
    <w:rsid w:val="047107B7"/>
    <w:rsid w:val="04820ADC"/>
    <w:rsid w:val="051554AC"/>
    <w:rsid w:val="05162DCF"/>
    <w:rsid w:val="057550EE"/>
    <w:rsid w:val="058F7720"/>
    <w:rsid w:val="059C4D99"/>
    <w:rsid w:val="060F737B"/>
    <w:rsid w:val="06231E4A"/>
    <w:rsid w:val="06840B3B"/>
    <w:rsid w:val="068723D9"/>
    <w:rsid w:val="06A75D00"/>
    <w:rsid w:val="06C903F7"/>
    <w:rsid w:val="070B3431"/>
    <w:rsid w:val="070C28DE"/>
    <w:rsid w:val="07DE5B8E"/>
    <w:rsid w:val="08053EFD"/>
    <w:rsid w:val="08144141"/>
    <w:rsid w:val="08591B53"/>
    <w:rsid w:val="089D5105"/>
    <w:rsid w:val="08B21E29"/>
    <w:rsid w:val="08F157D6"/>
    <w:rsid w:val="09075A53"/>
    <w:rsid w:val="09233535"/>
    <w:rsid w:val="095962AF"/>
    <w:rsid w:val="09D647DF"/>
    <w:rsid w:val="09EA33AB"/>
    <w:rsid w:val="0A200529"/>
    <w:rsid w:val="0A281EEF"/>
    <w:rsid w:val="0A9B46A5"/>
    <w:rsid w:val="0AA417AC"/>
    <w:rsid w:val="0B3A7A6C"/>
    <w:rsid w:val="0BC038D2"/>
    <w:rsid w:val="0BE5207C"/>
    <w:rsid w:val="0BFE4EEC"/>
    <w:rsid w:val="0C0544CC"/>
    <w:rsid w:val="0C4905FF"/>
    <w:rsid w:val="0C4A1EDF"/>
    <w:rsid w:val="0C9C64B3"/>
    <w:rsid w:val="0CA77331"/>
    <w:rsid w:val="0CC55B89"/>
    <w:rsid w:val="0D350DE1"/>
    <w:rsid w:val="0D501777"/>
    <w:rsid w:val="0D611BD6"/>
    <w:rsid w:val="0D735465"/>
    <w:rsid w:val="0DED346A"/>
    <w:rsid w:val="0DEE2D3E"/>
    <w:rsid w:val="0DFA16E3"/>
    <w:rsid w:val="0E3914FE"/>
    <w:rsid w:val="0E8F4521"/>
    <w:rsid w:val="0EE54141"/>
    <w:rsid w:val="0EF10D38"/>
    <w:rsid w:val="0F241091"/>
    <w:rsid w:val="0F8120BC"/>
    <w:rsid w:val="0F8B4658"/>
    <w:rsid w:val="0F985657"/>
    <w:rsid w:val="102869DB"/>
    <w:rsid w:val="107E5522"/>
    <w:rsid w:val="10BC03C7"/>
    <w:rsid w:val="10C25C2E"/>
    <w:rsid w:val="10D03F34"/>
    <w:rsid w:val="11285AF1"/>
    <w:rsid w:val="11294683"/>
    <w:rsid w:val="117401CE"/>
    <w:rsid w:val="118041DE"/>
    <w:rsid w:val="11D96D2F"/>
    <w:rsid w:val="125E784D"/>
    <w:rsid w:val="12650CA7"/>
    <w:rsid w:val="127F3913"/>
    <w:rsid w:val="12C0114D"/>
    <w:rsid w:val="12C02EFB"/>
    <w:rsid w:val="12EB7007"/>
    <w:rsid w:val="130F4A87"/>
    <w:rsid w:val="13B344DC"/>
    <w:rsid w:val="13C94031"/>
    <w:rsid w:val="13D2292A"/>
    <w:rsid w:val="14237C67"/>
    <w:rsid w:val="142A1DB8"/>
    <w:rsid w:val="143D057B"/>
    <w:rsid w:val="14693EF4"/>
    <w:rsid w:val="14D24E71"/>
    <w:rsid w:val="14D863CE"/>
    <w:rsid w:val="14E804E7"/>
    <w:rsid w:val="151A3879"/>
    <w:rsid w:val="15674B2D"/>
    <w:rsid w:val="15A13C38"/>
    <w:rsid w:val="16234426"/>
    <w:rsid w:val="163C4F8E"/>
    <w:rsid w:val="166E2C6E"/>
    <w:rsid w:val="16917C74"/>
    <w:rsid w:val="16B60189"/>
    <w:rsid w:val="16CB3E87"/>
    <w:rsid w:val="16EB1AA8"/>
    <w:rsid w:val="16F0191F"/>
    <w:rsid w:val="16F07B27"/>
    <w:rsid w:val="16F969DB"/>
    <w:rsid w:val="1700420E"/>
    <w:rsid w:val="17146A2E"/>
    <w:rsid w:val="17606A5A"/>
    <w:rsid w:val="177B7D38"/>
    <w:rsid w:val="17C60E60"/>
    <w:rsid w:val="17D554A5"/>
    <w:rsid w:val="17DE6959"/>
    <w:rsid w:val="18194E5B"/>
    <w:rsid w:val="18221F62"/>
    <w:rsid w:val="18595ED3"/>
    <w:rsid w:val="18B5243D"/>
    <w:rsid w:val="18CC5B47"/>
    <w:rsid w:val="18E72462"/>
    <w:rsid w:val="19754EE1"/>
    <w:rsid w:val="198343FB"/>
    <w:rsid w:val="19874772"/>
    <w:rsid w:val="198D4854"/>
    <w:rsid w:val="19981E2F"/>
    <w:rsid w:val="199D3F96"/>
    <w:rsid w:val="19E15BE2"/>
    <w:rsid w:val="1A864A2A"/>
    <w:rsid w:val="1A992223"/>
    <w:rsid w:val="1AA20473"/>
    <w:rsid w:val="1AE14356"/>
    <w:rsid w:val="1AE54A0E"/>
    <w:rsid w:val="1AE833AF"/>
    <w:rsid w:val="1AF71484"/>
    <w:rsid w:val="1B0940FF"/>
    <w:rsid w:val="1B2D30F7"/>
    <w:rsid w:val="1B5B3CD7"/>
    <w:rsid w:val="1B7A3E63"/>
    <w:rsid w:val="1C27223D"/>
    <w:rsid w:val="1C3D55BC"/>
    <w:rsid w:val="1C72434F"/>
    <w:rsid w:val="1CAE64BA"/>
    <w:rsid w:val="1CD57C7B"/>
    <w:rsid w:val="1CD622FA"/>
    <w:rsid w:val="1CD8751E"/>
    <w:rsid w:val="1CE36717"/>
    <w:rsid w:val="1D583653"/>
    <w:rsid w:val="1D7D17AC"/>
    <w:rsid w:val="1D8F11D2"/>
    <w:rsid w:val="1DB67095"/>
    <w:rsid w:val="1DDD4CB8"/>
    <w:rsid w:val="1DE2466D"/>
    <w:rsid w:val="1E5339EA"/>
    <w:rsid w:val="1E7B6870"/>
    <w:rsid w:val="1EEB2C26"/>
    <w:rsid w:val="1F114ADE"/>
    <w:rsid w:val="1F446D63"/>
    <w:rsid w:val="1F501AAA"/>
    <w:rsid w:val="1F6F7407"/>
    <w:rsid w:val="1FBB33C8"/>
    <w:rsid w:val="1FCB79EF"/>
    <w:rsid w:val="1FF0173A"/>
    <w:rsid w:val="203D2BA3"/>
    <w:rsid w:val="205B0707"/>
    <w:rsid w:val="207A1985"/>
    <w:rsid w:val="20915ED7"/>
    <w:rsid w:val="20A0611A"/>
    <w:rsid w:val="20B16579"/>
    <w:rsid w:val="20E27B73"/>
    <w:rsid w:val="20E406FC"/>
    <w:rsid w:val="211762CF"/>
    <w:rsid w:val="21311468"/>
    <w:rsid w:val="213D1BBA"/>
    <w:rsid w:val="21826735"/>
    <w:rsid w:val="218C669E"/>
    <w:rsid w:val="21F4671D"/>
    <w:rsid w:val="21F678A6"/>
    <w:rsid w:val="2217065D"/>
    <w:rsid w:val="22351B45"/>
    <w:rsid w:val="2268791F"/>
    <w:rsid w:val="22842F43"/>
    <w:rsid w:val="22C5455D"/>
    <w:rsid w:val="22C62CF4"/>
    <w:rsid w:val="22CA64DE"/>
    <w:rsid w:val="22D430E5"/>
    <w:rsid w:val="22DB07E7"/>
    <w:rsid w:val="23451001"/>
    <w:rsid w:val="23A06120"/>
    <w:rsid w:val="23A10CD3"/>
    <w:rsid w:val="23D9206E"/>
    <w:rsid w:val="2412732E"/>
    <w:rsid w:val="24523BCF"/>
    <w:rsid w:val="24667E33"/>
    <w:rsid w:val="247104F9"/>
    <w:rsid w:val="24737443"/>
    <w:rsid w:val="24782AD4"/>
    <w:rsid w:val="247B4A27"/>
    <w:rsid w:val="24DE1906"/>
    <w:rsid w:val="24F353B2"/>
    <w:rsid w:val="24FB45D8"/>
    <w:rsid w:val="2559758D"/>
    <w:rsid w:val="25916979"/>
    <w:rsid w:val="25950217"/>
    <w:rsid w:val="259D70CC"/>
    <w:rsid w:val="25C7239A"/>
    <w:rsid w:val="260E093B"/>
    <w:rsid w:val="26146280"/>
    <w:rsid w:val="26747E2C"/>
    <w:rsid w:val="26F21627"/>
    <w:rsid w:val="27027FD4"/>
    <w:rsid w:val="27082C6B"/>
    <w:rsid w:val="27581B31"/>
    <w:rsid w:val="275B723E"/>
    <w:rsid w:val="277C5352"/>
    <w:rsid w:val="277D71B5"/>
    <w:rsid w:val="278425AF"/>
    <w:rsid w:val="27952750"/>
    <w:rsid w:val="27AA3D57"/>
    <w:rsid w:val="27CB3585"/>
    <w:rsid w:val="27F8683B"/>
    <w:rsid w:val="280E0D54"/>
    <w:rsid w:val="28207F86"/>
    <w:rsid w:val="283A6E54"/>
    <w:rsid w:val="28643ED1"/>
    <w:rsid w:val="286E02B3"/>
    <w:rsid w:val="28AC24C6"/>
    <w:rsid w:val="28B27332"/>
    <w:rsid w:val="28C8735A"/>
    <w:rsid w:val="28CD7B64"/>
    <w:rsid w:val="28DA73F5"/>
    <w:rsid w:val="292329C4"/>
    <w:rsid w:val="298E0913"/>
    <w:rsid w:val="29932000"/>
    <w:rsid w:val="29A712B9"/>
    <w:rsid w:val="29AE6B2F"/>
    <w:rsid w:val="29B449E4"/>
    <w:rsid w:val="29D357B2"/>
    <w:rsid w:val="29E3739C"/>
    <w:rsid w:val="29F55728"/>
    <w:rsid w:val="2A077209"/>
    <w:rsid w:val="2A141CA3"/>
    <w:rsid w:val="2A286500"/>
    <w:rsid w:val="2A30050E"/>
    <w:rsid w:val="2A8E3487"/>
    <w:rsid w:val="2A9E4307"/>
    <w:rsid w:val="2AAE58D7"/>
    <w:rsid w:val="2ACD3FAF"/>
    <w:rsid w:val="2AE87E66"/>
    <w:rsid w:val="2AF43C32"/>
    <w:rsid w:val="2AFE1A2C"/>
    <w:rsid w:val="2B163BA8"/>
    <w:rsid w:val="2B7A0AA7"/>
    <w:rsid w:val="2C1D2D14"/>
    <w:rsid w:val="2C334F43"/>
    <w:rsid w:val="2C855E7D"/>
    <w:rsid w:val="2CFC2BFE"/>
    <w:rsid w:val="2D2A393B"/>
    <w:rsid w:val="2D4A5D8B"/>
    <w:rsid w:val="2D583CF2"/>
    <w:rsid w:val="2D7357AD"/>
    <w:rsid w:val="2D742E08"/>
    <w:rsid w:val="2D855015"/>
    <w:rsid w:val="2DA90D03"/>
    <w:rsid w:val="2DF13843"/>
    <w:rsid w:val="2DF225C7"/>
    <w:rsid w:val="2E12514F"/>
    <w:rsid w:val="2E421B72"/>
    <w:rsid w:val="2E76670C"/>
    <w:rsid w:val="2F195A15"/>
    <w:rsid w:val="2F397563"/>
    <w:rsid w:val="2F49026F"/>
    <w:rsid w:val="2FC35462"/>
    <w:rsid w:val="30847F8C"/>
    <w:rsid w:val="308C2216"/>
    <w:rsid w:val="30937A49"/>
    <w:rsid w:val="30B17ECF"/>
    <w:rsid w:val="30CD2F5B"/>
    <w:rsid w:val="30F55519"/>
    <w:rsid w:val="310B5831"/>
    <w:rsid w:val="312955B3"/>
    <w:rsid w:val="312C7150"/>
    <w:rsid w:val="314D028A"/>
    <w:rsid w:val="319475D5"/>
    <w:rsid w:val="321E77E6"/>
    <w:rsid w:val="32747406"/>
    <w:rsid w:val="32780CA4"/>
    <w:rsid w:val="32BC3287"/>
    <w:rsid w:val="32DD31FD"/>
    <w:rsid w:val="33095B3D"/>
    <w:rsid w:val="33233306"/>
    <w:rsid w:val="33462B51"/>
    <w:rsid w:val="33723946"/>
    <w:rsid w:val="339A2E9C"/>
    <w:rsid w:val="339D3D80"/>
    <w:rsid w:val="33BA151A"/>
    <w:rsid w:val="33D3107B"/>
    <w:rsid w:val="33E07860"/>
    <w:rsid w:val="341E6BA4"/>
    <w:rsid w:val="34367069"/>
    <w:rsid w:val="355530AA"/>
    <w:rsid w:val="35633E8E"/>
    <w:rsid w:val="358E07DF"/>
    <w:rsid w:val="35DF4502"/>
    <w:rsid w:val="360F540F"/>
    <w:rsid w:val="36383696"/>
    <w:rsid w:val="364631D7"/>
    <w:rsid w:val="36806379"/>
    <w:rsid w:val="368928C2"/>
    <w:rsid w:val="368A71F8"/>
    <w:rsid w:val="36E52680"/>
    <w:rsid w:val="3709794E"/>
    <w:rsid w:val="371638DF"/>
    <w:rsid w:val="376A1FCD"/>
    <w:rsid w:val="3776777C"/>
    <w:rsid w:val="377E4FAF"/>
    <w:rsid w:val="37850378"/>
    <w:rsid w:val="37971BCD"/>
    <w:rsid w:val="37B066E8"/>
    <w:rsid w:val="37BD420F"/>
    <w:rsid w:val="38286CC9"/>
    <w:rsid w:val="38E4228F"/>
    <w:rsid w:val="38F00B77"/>
    <w:rsid w:val="392D0F5C"/>
    <w:rsid w:val="39CE38A0"/>
    <w:rsid w:val="39FF1B87"/>
    <w:rsid w:val="3A2D43ED"/>
    <w:rsid w:val="3A47039F"/>
    <w:rsid w:val="3A571AE7"/>
    <w:rsid w:val="3A5D7BD1"/>
    <w:rsid w:val="3A6B10EF"/>
    <w:rsid w:val="3A79380C"/>
    <w:rsid w:val="3AFA2581"/>
    <w:rsid w:val="3B1F29B6"/>
    <w:rsid w:val="3B2A2E48"/>
    <w:rsid w:val="3B4200A1"/>
    <w:rsid w:val="3B8D45DF"/>
    <w:rsid w:val="3B9528C7"/>
    <w:rsid w:val="3BCA5C37"/>
    <w:rsid w:val="3C357C06"/>
    <w:rsid w:val="3C5C711F"/>
    <w:rsid w:val="3C8A61A4"/>
    <w:rsid w:val="3C964B49"/>
    <w:rsid w:val="3C9943D8"/>
    <w:rsid w:val="3C9A1786"/>
    <w:rsid w:val="3CAD798A"/>
    <w:rsid w:val="3D1D2A82"/>
    <w:rsid w:val="3D581DFE"/>
    <w:rsid w:val="3D734E8A"/>
    <w:rsid w:val="3DDD26FC"/>
    <w:rsid w:val="3DF67891"/>
    <w:rsid w:val="3E18158D"/>
    <w:rsid w:val="3E1D38C4"/>
    <w:rsid w:val="3E7C1B1C"/>
    <w:rsid w:val="3EBD382F"/>
    <w:rsid w:val="3ECB49F2"/>
    <w:rsid w:val="3ED14C7B"/>
    <w:rsid w:val="3EDE6333"/>
    <w:rsid w:val="3F5B255F"/>
    <w:rsid w:val="3F6B1EDC"/>
    <w:rsid w:val="3FC217B1"/>
    <w:rsid w:val="3FFD07E4"/>
    <w:rsid w:val="40275AB8"/>
    <w:rsid w:val="402F5BFF"/>
    <w:rsid w:val="407E7A6D"/>
    <w:rsid w:val="408B24EB"/>
    <w:rsid w:val="4095597C"/>
    <w:rsid w:val="40A36A84"/>
    <w:rsid w:val="40B13A14"/>
    <w:rsid w:val="40DC5A18"/>
    <w:rsid w:val="411C3143"/>
    <w:rsid w:val="41285F8B"/>
    <w:rsid w:val="41761584"/>
    <w:rsid w:val="41B077F8"/>
    <w:rsid w:val="41DD1BED"/>
    <w:rsid w:val="423050F8"/>
    <w:rsid w:val="42385C98"/>
    <w:rsid w:val="423D5A66"/>
    <w:rsid w:val="42C7371B"/>
    <w:rsid w:val="42D02437"/>
    <w:rsid w:val="42F94AE0"/>
    <w:rsid w:val="431F2574"/>
    <w:rsid w:val="434846C3"/>
    <w:rsid w:val="437377FC"/>
    <w:rsid w:val="4377703C"/>
    <w:rsid w:val="439A6EE9"/>
    <w:rsid w:val="43B50E83"/>
    <w:rsid w:val="444B446B"/>
    <w:rsid w:val="44755AC2"/>
    <w:rsid w:val="44CA6317"/>
    <w:rsid w:val="44D75CFE"/>
    <w:rsid w:val="44EF63A5"/>
    <w:rsid w:val="44FE772F"/>
    <w:rsid w:val="45154A79"/>
    <w:rsid w:val="45231B23"/>
    <w:rsid w:val="45461087"/>
    <w:rsid w:val="454F6D22"/>
    <w:rsid w:val="457F23F7"/>
    <w:rsid w:val="458A2D71"/>
    <w:rsid w:val="458E697F"/>
    <w:rsid w:val="459534C4"/>
    <w:rsid w:val="459F7FF5"/>
    <w:rsid w:val="45A100BA"/>
    <w:rsid w:val="45B46040"/>
    <w:rsid w:val="45C74FBF"/>
    <w:rsid w:val="45D24718"/>
    <w:rsid w:val="468C0D6B"/>
    <w:rsid w:val="468C48C7"/>
    <w:rsid w:val="46A165C4"/>
    <w:rsid w:val="46E05EB2"/>
    <w:rsid w:val="47280A93"/>
    <w:rsid w:val="47337020"/>
    <w:rsid w:val="474D4056"/>
    <w:rsid w:val="476D6EF5"/>
    <w:rsid w:val="477041E8"/>
    <w:rsid w:val="479C322F"/>
    <w:rsid w:val="47ED3A8B"/>
    <w:rsid w:val="482B7A7B"/>
    <w:rsid w:val="48565AD2"/>
    <w:rsid w:val="48586940"/>
    <w:rsid w:val="48AE4FC8"/>
    <w:rsid w:val="48D80297"/>
    <w:rsid w:val="48D97943"/>
    <w:rsid w:val="493814AC"/>
    <w:rsid w:val="4950607F"/>
    <w:rsid w:val="49807CF2"/>
    <w:rsid w:val="49873024"/>
    <w:rsid w:val="498D2E30"/>
    <w:rsid w:val="49A11F60"/>
    <w:rsid w:val="49CC7DFC"/>
    <w:rsid w:val="4A0155CC"/>
    <w:rsid w:val="4A335BCE"/>
    <w:rsid w:val="4A4A62A6"/>
    <w:rsid w:val="4A657908"/>
    <w:rsid w:val="4AB12B4E"/>
    <w:rsid w:val="4AD11442"/>
    <w:rsid w:val="4AEE5B50"/>
    <w:rsid w:val="4B34135D"/>
    <w:rsid w:val="4B596751"/>
    <w:rsid w:val="4BAC4FAF"/>
    <w:rsid w:val="4BC8467F"/>
    <w:rsid w:val="4BEA27BB"/>
    <w:rsid w:val="4BF663FF"/>
    <w:rsid w:val="4C1C371B"/>
    <w:rsid w:val="4CA7245A"/>
    <w:rsid w:val="4CC71C18"/>
    <w:rsid w:val="4CD34A27"/>
    <w:rsid w:val="4CF51418"/>
    <w:rsid w:val="4CFE53E3"/>
    <w:rsid w:val="4D1A2C2C"/>
    <w:rsid w:val="4D5D10BD"/>
    <w:rsid w:val="4D6C37E5"/>
    <w:rsid w:val="4DB3043D"/>
    <w:rsid w:val="4DD70B1D"/>
    <w:rsid w:val="4DD74D5E"/>
    <w:rsid w:val="4DEE5E67"/>
    <w:rsid w:val="4E0D453F"/>
    <w:rsid w:val="4E1B4533"/>
    <w:rsid w:val="4E222111"/>
    <w:rsid w:val="4E2B2FD7"/>
    <w:rsid w:val="4E8C7B5A"/>
    <w:rsid w:val="4E8F31A6"/>
    <w:rsid w:val="4EB329FB"/>
    <w:rsid w:val="4ED01077"/>
    <w:rsid w:val="4ED96B17"/>
    <w:rsid w:val="4F04178B"/>
    <w:rsid w:val="4F0A4599"/>
    <w:rsid w:val="4F5D32A4"/>
    <w:rsid w:val="4F9E636D"/>
    <w:rsid w:val="4FE63648"/>
    <w:rsid w:val="50184C79"/>
    <w:rsid w:val="504D4FA8"/>
    <w:rsid w:val="505F4453"/>
    <w:rsid w:val="50D30FD6"/>
    <w:rsid w:val="50D852D8"/>
    <w:rsid w:val="50FB50F5"/>
    <w:rsid w:val="51905BB3"/>
    <w:rsid w:val="51A25EE6"/>
    <w:rsid w:val="51B0094E"/>
    <w:rsid w:val="51EF5042"/>
    <w:rsid w:val="51EF7FC0"/>
    <w:rsid w:val="51F7178E"/>
    <w:rsid w:val="52075749"/>
    <w:rsid w:val="521C44FF"/>
    <w:rsid w:val="525A1D1D"/>
    <w:rsid w:val="52AD5988"/>
    <w:rsid w:val="52DA30A5"/>
    <w:rsid w:val="531E2D4A"/>
    <w:rsid w:val="53356733"/>
    <w:rsid w:val="53773B5B"/>
    <w:rsid w:val="537C7CC2"/>
    <w:rsid w:val="53EC64A0"/>
    <w:rsid w:val="54096788"/>
    <w:rsid w:val="542B3971"/>
    <w:rsid w:val="54DB555C"/>
    <w:rsid w:val="54EA7388"/>
    <w:rsid w:val="54F06565"/>
    <w:rsid w:val="554F0427"/>
    <w:rsid w:val="5579645D"/>
    <w:rsid w:val="55BF6A67"/>
    <w:rsid w:val="55E55977"/>
    <w:rsid w:val="56261924"/>
    <w:rsid w:val="564203BE"/>
    <w:rsid w:val="565B702F"/>
    <w:rsid w:val="566B274A"/>
    <w:rsid w:val="56905D0D"/>
    <w:rsid w:val="56B37004"/>
    <w:rsid w:val="56B91708"/>
    <w:rsid w:val="56C854A7"/>
    <w:rsid w:val="570269DB"/>
    <w:rsid w:val="570D3802"/>
    <w:rsid w:val="57203535"/>
    <w:rsid w:val="572F5526"/>
    <w:rsid w:val="575256B8"/>
    <w:rsid w:val="57573E4D"/>
    <w:rsid w:val="57614D79"/>
    <w:rsid w:val="57DD2115"/>
    <w:rsid w:val="57E24C8E"/>
    <w:rsid w:val="580544D9"/>
    <w:rsid w:val="58104D51"/>
    <w:rsid w:val="581A4BFA"/>
    <w:rsid w:val="5853793A"/>
    <w:rsid w:val="58743647"/>
    <w:rsid w:val="588C0756"/>
    <w:rsid w:val="58BA6D2D"/>
    <w:rsid w:val="59017667"/>
    <w:rsid w:val="59185336"/>
    <w:rsid w:val="591F0B0B"/>
    <w:rsid w:val="592409DF"/>
    <w:rsid w:val="59633BAD"/>
    <w:rsid w:val="59640F83"/>
    <w:rsid w:val="598B6C60"/>
    <w:rsid w:val="599975CF"/>
    <w:rsid w:val="59E3448E"/>
    <w:rsid w:val="59FB128F"/>
    <w:rsid w:val="59FE7432"/>
    <w:rsid w:val="5A04713E"/>
    <w:rsid w:val="5A442BEE"/>
    <w:rsid w:val="5A5F4810"/>
    <w:rsid w:val="5A707BFD"/>
    <w:rsid w:val="5AAC0B50"/>
    <w:rsid w:val="5B0E04AE"/>
    <w:rsid w:val="5B0E436F"/>
    <w:rsid w:val="5B0F11F3"/>
    <w:rsid w:val="5B286E5C"/>
    <w:rsid w:val="5B310151"/>
    <w:rsid w:val="5B3572FB"/>
    <w:rsid w:val="5B3B6561"/>
    <w:rsid w:val="5B4A50BF"/>
    <w:rsid w:val="5B821B75"/>
    <w:rsid w:val="5B8D4F11"/>
    <w:rsid w:val="5B9A03B8"/>
    <w:rsid w:val="5BE12FA3"/>
    <w:rsid w:val="5BE24306"/>
    <w:rsid w:val="5BFB1E7B"/>
    <w:rsid w:val="5C4D6613"/>
    <w:rsid w:val="5C7659A5"/>
    <w:rsid w:val="5C880C53"/>
    <w:rsid w:val="5C9A1694"/>
    <w:rsid w:val="5CD10E2D"/>
    <w:rsid w:val="5CF7289E"/>
    <w:rsid w:val="5CFF3BED"/>
    <w:rsid w:val="5D177188"/>
    <w:rsid w:val="5D384590"/>
    <w:rsid w:val="5D664C65"/>
    <w:rsid w:val="5D8866EC"/>
    <w:rsid w:val="5D8B5480"/>
    <w:rsid w:val="5DC81509"/>
    <w:rsid w:val="5E221EA4"/>
    <w:rsid w:val="5E286051"/>
    <w:rsid w:val="5E5A7849"/>
    <w:rsid w:val="5E8C14B0"/>
    <w:rsid w:val="5EBF421E"/>
    <w:rsid w:val="5ED910CD"/>
    <w:rsid w:val="5EDA7428"/>
    <w:rsid w:val="5EED2465"/>
    <w:rsid w:val="5F08322C"/>
    <w:rsid w:val="5F096FA4"/>
    <w:rsid w:val="5F4C0C3F"/>
    <w:rsid w:val="5F6146EB"/>
    <w:rsid w:val="5FAD03AF"/>
    <w:rsid w:val="5FC43AF9"/>
    <w:rsid w:val="5FCD3F3D"/>
    <w:rsid w:val="603A7008"/>
    <w:rsid w:val="60653243"/>
    <w:rsid w:val="60B22ECB"/>
    <w:rsid w:val="61347A04"/>
    <w:rsid w:val="615A5895"/>
    <w:rsid w:val="6184256C"/>
    <w:rsid w:val="618D2305"/>
    <w:rsid w:val="61A26ECD"/>
    <w:rsid w:val="61A42FB4"/>
    <w:rsid w:val="621E2D67"/>
    <w:rsid w:val="622A225E"/>
    <w:rsid w:val="62373E29"/>
    <w:rsid w:val="629848C7"/>
    <w:rsid w:val="62B13874"/>
    <w:rsid w:val="62C01E93"/>
    <w:rsid w:val="630C0E11"/>
    <w:rsid w:val="63672753"/>
    <w:rsid w:val="63972DD1"/>
    <w:rsid w:val="63D47B81"/>
    <w:rsid w:val="63E22536"/>
    <w:rsid w:val="63F06720"/>
    <w:rsid w:val="64134BBC"/>
    <w:rsid w:val="643C226B"/>
    <w:rsid w:val="646937B4"/>
    <w:rsid w:val="649317EA"/>
    <w:rsid w:val="64CE1249"/>
    <w:rsid w:val="652274FC"/>
    <w:rsid w:val="65257F68"/>
    <w:rsid w:val="6554084E"/>
    <w:rsid w:val="65664400"/>
    <w:rsid w:val="656E24E3"/>
    <w:rsid w:val="65E62E7A"/>
    <w:rsid w:val="662F72F1"/>
    <w:rsid w:val="66743F27"/>
    <w:rsid w:val="66897318"/>
    <w:rsid w:val="66C739CD"/>
    <w:rsid w:val="66DB09CF"/>
    <w:rsid w:val="66DC6F9E"/>
    <w:rsid w:val="66EC7F6C"/>
    <w:rsid w:val="66FD119D"/>
    <w:rsid w:val="67287B59"/>
    <w:rsid w:val="6761038C"/>
    <w:rsid w:val="6762507E"/>
    <w:rsid w:val="67AD2B6A"/>
    <w:rsid w:val="67BB5990"/>
    <w:rsid w:val="681E586F"/>
    <w:rsid w:val="683E1A6D"/>
    <w:rsid w:val="685066B7"/>
    <w:rsid w:val="688357CB"/>
    <w:rsid w:val="68AD09A1"/>
    <w:rsid w:val="68B27D65"/>
    <w:rsid w:val="68C83A2C"/>
    <w:rsid w:val="69156FF4"/>
    <w:rsid w:val="69BD59C2"/>
    <w:rsid w:val="69EF4FC9"/>
    <w:rsid w:val="69F452BC"/>
    <w:rsid w:val="6A37733C"/>
    <w:rsid w:val="6A383046"/>
    <w:rsid w:val="6A6B466F"/>
    <w:rsid w:val="6AAD178D"/>
    <w:rsid w:val="6B0E67AD"/>
    <w:rsid w:val="6B2A62D8"/>
    <w:rsid w:val="6B4F71B4"/>
    <w:rsid w:val="6BB40298"/>
    <w:rsid w:val="6BC8789F"/>
    <w:rsid w:val="6BE627E7"/>
    <w:rsid w:val="6C2766C6"/>
    <w:rsid w:val="6C642EFA"/>
    <w:rsid w:val="6C6A466A"/>
    <w:rsid w:val="6C7D68DC"/>
    <w:rsid w:val="6C946C78"/>
    <w:rsid w:val="6CC649E7"/>
    <w:rsid w:val="6CE626D3"/>
    <w:rsid w:val="6D06067F"/>
    <w:rsid w:val="6D4533B3"/>
    <w:rsid w:val="6D4B15EF"/>
    <w:rsid w:val="6DA305C4"/>
    <w:rsid w:val="6DCB712B"/>
    <w:rsid w:val="6DD8201C"/>
    <w:rsid w:val="6DDA5CDD"/>
    <w:rsid w:val="6E0D142C"/>
    <w:rsid w:val="6E105C5A"/>
    <w:rsid w:val="6E124509"/>
    <w:rsid w:val="6E1C4A4C"/>
    <w:rsid w:val="6E1F5E9D"/>
    <w:rsid w:val="6E612D84"/>
    <w:rsid w:val="6EC801D0"/>
    <w:rsid w:val="6ED01673"/>
    <w:rsid w:val="6EE95058"/>
    <w:rsid w:val="6F0A702F"/>
    <w:rsid w:val="6F2C6481"/>
    <w:rsid w:val="6F5F71DE"/>
    <w:rsid w:val="6FBC4288"/>
    <w:rsid w:val="70001E2F"/>
    <w:rsid w:val="700C27C9"/>
    <w:rsid w:val="702D4936"/>
    <w:rsid w:val="709D3A6D"/>
    <w:rsid w:val="70AD7876"/>
    <w:rsid w:val="70BC3E77"/>
    <w:rsid w:val="70D535C3"/>
    <w:rsid w:val="70DD61B2"/>
    <w:rsid w:val="70FF75D4"/>
    <w:rsid w:val="7151758B"/>
    <w:rsid w:val="7177064C"/>
    <w:rsid w:val="71822E6D"/>
    <w:rsid w:val="72181794"/>
    <w:rsid w:val="72231CD3"/>
    <w:rsid w:val="729C445C"/>
    <w:rsid w:val="72F84F0E"/>
    <w:rsid w:val="730B4C41"/>
    <w:rsid w:val="7318171D"/>
    <w:rsid w:val="7346535B"/>
    <w:rsid w:val="736507F6"/>
    <w:rsid w:val="738F5872"/>
    <w:rsid w:val="73A47784"/>
    <w:rsid w:val="740361E6"/>
    <w:rsid w:val="7420488D"/>
    <w:rsid w:val="74C40DF7"/>
    <w:rsid w:val="74DD63C6"/>
    <w:rsid w:val="74FD02DE"/>
    <w:rsid w:val="751D3132"/>
    <w:rsid w:val="75470E99"/>
    <w:rsid w:val="75A86FF9"/>
    <w:rsid w:val="763767F1"/>
    <w:rsid w:val="764861AD"/>
    <w:rsid w:val="764D5571"/>
    <w:rsid w:val="76531630"/>
    <w:rsid w:val="766E2F60"/>
    <w:rsid w:val="76F334CB"/>
    <w:rsid w:val="77197998"/>
    <w:rsid w:val="77281627"/>
    <w:rsid w:val="772A5792"/>
    <w:rsid w:val="776E1C43"/>
    <w:rsid w:val="779D7E32"/>
    <w:rsid w:val="781B45E8"/>
    <w:rsid w:val="78395DAD"/>
    <w:rsid w:val="787467FA"/>
    <w:rsid w:val="78BE0AD8"/>
    <w:rsid w:val="78CD2873"/>
    <w:rsid w:val="78D930EC"/>
    <w:rsid w:val="78E33F6B"/>
    <w:rsid w:val="790D22C6"/>
    <w:rsid w:val="792C51C7"/>
    <w:rsid w:val="79346574"/>
    <w:rsid w:val="79942FD2"/>
    <w:rsid w:val="79BC3831"/>
    <w:rsid w:val="79E166FC"/>
    <w:rsid w:val="79FF4DD4"/>
    <w:rsid w:val="7A0438CB"/>
    <w:rsid w:val="7A146AD1"/>
    <w:rsid w:val="7A1545F8"/>
    <w:rsid w:val="7A293A42"/>
    <w:rsid w:val="7A4B0B98"/>
    <w:rsid w:val="7A6171B2"/>
    <w:rsid w:val="7A637111"/>
    <w:rsid w:val="7AB76BC1"/>
    <w:rsid w:val="7AC73B44"/>
    <w:rsid w:val="7AD729D8"/>
    <w:rsid w:val="7B1149A6"/>
    <w:rsid w:val="7B226FCC"/>
    <w:rsid w:val="7B4B6523"/>
    <w:rsid w:val="7C4720D5"/>
    <w:rsid w:val="7C9C2DAE"/>
    <w:rsid w:val="7CD67231"/>
    <w:rsid w:val="7CF32EBB"/>
    <w:rsid w:val="7D1B3CD3"/>
    <w:rsid w:val="7D487E24"/>
    <w:rsid w:val="7D630A43"/>
    <w:rsid w:val="7D637428"/>
    <w:rsid w:val="7D6457E7"/>
    <w:rsid w:val="7E5F1447"/>
    <w:rsid w:val="7E635932"/>
    <w:rsid w:val="7E8848F2"/>
    <w:rsid w:val="7E8A08DC"/>
    <w:rsid w:val="7EA52C7F"/>
    <w:rsid w:val="7ED14F91"/>
    <w:rsid w:val="7EE6351F"/>
    <w:rsid w:val="7EF46ED2"/>
    <w:rsid w:val="7F086EED"/>
    <w:rsid w:val="7F112B84"/>
    <w:rsid w:val="7FA31A04"/>
    <w:rsid w:val="7FAB38E6"/>
    <w:rsid w:val="7FD12D6F"/>
    <w:rsid w:val="7FD43489"/>
    <w:rsid w:val="7FE9630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0"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0" w:semiHidden="0" w:name="caption"/>
    <w:lsdException w:uiPriority="99" w:name="table of figures"/>
    <w:lsdException w:uiPriority="99" w:name="envelope address"/>
    <w:lsdException w:uiPriority="99" w:name="envelope return"/>
    <w:lsdException w:uiPriority="99" w:name="footnote reference"/>
    <w:lsdException w:qFormat="1" w:unhideWhenUsed="0"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qFormat="1" w:uiPriority="0" w:semiHidden="0"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99"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99" w:semiHidden="0" w:name="Date"/>
    <w:lsdException w:qFormat="1" w:uiPriority="99" w:name="Body Text First Indent"/>
    <w:lsdException w:uiPriority="99" w:name="Body Text First Indent 2"/>
    <w:lsdException w:uiPriority="99"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99" w:semiHidden="0" w:name="Hyperlink"/>
    <w:lsdException w:qFormat="1" w:uiPriority="99" w:semiHidden="0" w:name="FollowedHyperlink"/>
    <w:lsdException w:qFormat="1" w:unhideWhenUsed="0" w:uiPriority="0" w:semiHidden="0" w:name="Strong"/>
    <w:lsdException w:qFormat="1" w:unhideWhenUsed="0" w:uiPriority="0" w:semiHidden="0" w:name="Emphasis"/>
    <w:lsdException w:qFormat="1" w:unhideWhenUsed="0" w:uiPriority="99" w:name="Document Map"/>
    <w:lsdException w:qFormat="1" w:unhideWhenUsed="0" w:uiPriority="0" w:semiHidden="0"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link w:val="150"/>
    <w:qFormat/>
    <w:uiPriority w:val="9"/>
    <w:pPr>
      <w:autoSpaceDE w:val="0"/>
      <w:autoSpaceDN w:val="0"/>
      <w:adjustRightInd w:val="0"/>
      <w:jc w:val="left"/>
      <w:outlineLvl w:val="0"/>
    </w:pPr>
    <w:rPr>
      <w:rFonts w:ascii="宋体" w:hAnsi="Calibri" w:eastAsia="宋体" w:cs="Times New Roman"/>
      <w:kern w:val="0"/>
      <w:sz w:val="24"/>
      <w:szCs w:val="24"/>
    </w:rPr>
  </w:style>
  <w:style w:type="paragraph" w:styleId="4">
    <w:name w:val="heading 2"/>
    <w:basedOn w:val="1"/>
    <w:next w:val="1"/>
    <w:link w:val="48"/>
    <w:qFormat/>
    <w:uiPriority w:val="0"/>
    <w:pPr>
      <w:autoSpaceDE w:val="0"/>
      <w:autoSpaceDN w:val="0"/>
      <w:adjustRightInd w:val="0"/>
      <w:jc w:val="left"/>
      <w:outlineLvl w:val="1"/>
    </w:pPr>
    <w:rPr>
      <w:rFonts w:ascii="宋体" w:hAnsi="Calibri" w:eastAsia="宋体" w:cs="Times New Roman"/>
      <w:kern w:val="0"/>
      <w:sz w:val="24"/>
      <w:szCs w:val="24"/>
    </w:rPr>
  </w:style>
  <w:style w:type="paragraph" w:styleId="5">
    <w:name w:val="heading 3"/>
    <w:basedOn w:val="1"/>
    <w:next w:val="1"/>
    <w:link w:val="144"/>
    <w:qFormat/>
    <w:uiPriority w:val="0"/>
    <w:pPr>
      <w:autoSpaceDE w:val="0"/>
      <w:autoSpaceDN w:val="0"/>
      <w:adjustRightInd w:val="0"/>
      <w:jc w:val="left"/>
      <w:outlineLvl w:val="2"/>
    </w:pPr>
    <w:rPr>
      <w:rFonts w:ascii="宋体" w:hAnsi="Calibri" w:eastAsia="宋体" w:cs="Times New Roman"/>
      <w:kern w:val="0"/>
      <w:sz w:val="24"/>
      <w:szCs w:val="24"/>
    </w:rPr>
  </w:style>
  <w:style w:type="paragraph" w:styleId="6">
    <w:name w:val="heading 4"/>
    <w:basedOn w:val="1"/>
    <w:next w:val="1"/>
    <w:link w:val="50"/>
    <w:qFormat/>
    <w:uiPriority w:val="9"/>
    <w:pPr>
      <w:keepNext/>
      <w:keepLines/>
      <w:autoSpaceDE w:val="0"/>
      <w:autoSpaceDN w:val="0"/>
      <w:adjustRightInd w:val="0"/>
      <w:spacing w:before="280" w:after="290" w:line="376" w:lineRule="auto"/>
      <w:jc w:val="left"/>
      <w:outlineLvl w:val="3"/>
    </w:pPr>
    <w:rPr>
      <w:rFonts w:ascii="Arial" w:hAnsi="Arial" w:eastAsia="黑体" w:cs="Times New Roman"/>
      <w:b/>
      <w:bCs/>
      <w:kern w:val="0"/>
      <w:sz w:val="28"/>
      <w:szCs w:val="28"/>
    </w:rPr>
  </w:style>
  <w:style w:type="paragraph" w:styleId="7">
    <w:name w:val="heading 5"/>
    <w:basedOn w:val="1"/>
    <w:next w:val="1"/>
    <w:link w:val="132"/>
    <w:qFormat/>
    <w:uiPriority w:val="9"/>
    <w:pPr>
      <w:keepNext/>
      <w:keepLines/>
      <w:autoSpaceDE w:val="0"/>
      <w:autoSpaceDN w:val="0"/>
      <w:adjustRightInd w:val="0"/>
      <w:spacing w:before="280" w:after="290" w:line="376" w:lineRule="auto"/>
      <w:jc w:val="left"/>
      <w:outlineLvl w:val="4"/>
    </w:pPr>
    <w:rPr>
      <w:rFonts w:ascii="宋体" w:hAnsi="Calibri" w:eastAsia="宋体" w:cs="Times New Roman"/>
      <w:b/>
      <w:bCs/>
      <w:kern w:val="0"/>
      <w:sz w:val="28"/>
      <w:szCs w:val="28"/>
    </w:rPr>
  </w:style>
  <w:style w:type="paragraph" w:styleId="8">
    <w:name w:val="heading 6"/>
    <w:basedOn w:val="1"/>
    <w:next w:val="9"/>
    <w:link w:val="142"/>
    <w:qFormat/>
    <w:uiPriority w:val="9"/>
    <w:pPr>
      <w:keepLines/>
      <w:tabs>
        <w:tab w:val="left" w:pos="1152"/>
      </w:tabs>
      <w:adjustRightInd w:val="0"/>
      <w:snapToGrid w:val="0"/>
      <w:spacing w:beforeLines="50" w:line="360" w:lineRule="auto"/>
      <w:ind w:left="1152" w:hanging="1152"/>
      <w:jc w:val="left"/>
      <w:textAlignment w:val="baseline"/>
      <w:outlineLvl w:val="5"/>
    </w:pPr>
    <w:rPr>
      <w:rFonts w:ascii="Times New Roman" w:hAnsi="Calibri" w:eastAsia="黑体" w:cs="Times New Roman"/>
      <w:b/>
      <w:bCs/>
      <w:kern w:val="0"/>
      <w:sz w:val="28"/>
      <w:szCs w:val="24"/>
    </w:rPr>
  </w:style>
  <w:style w:type="paragraph" w:styleId="10">
    <w:name w:val="heading 7"/>
    <w:basedOn w:val="1"/>
    <w:next w:val="9"/>
    <w:link w:val="53"/>
    <w:qFormat/>
    <w:uiPriority w:val="9"/>
    <w:pPr>
      <w:keepNext/>
      <w:keepLines/>
      <w:tabs>
        <w:tab w:val="left" w:pos="1296"/>
      </w:tabs>
      <w:adjustRightInd w:val="0"/>
      <w:snapToGrid w:val="0"/>
      <w:spacing w:before="240" w:after="120"/>
      <w:ind w:left="1296" w:hanging="1296"/>
      <w:textAlignment w:val="baseline"/>
      <w:outlineLvl w:val="6"/>
    </w:pPr>
    <w:rPr>
      <w:rFonts w:ascii="Times New Roman" w:hAnsi="Calibri" w:eastAsia="黑体" w:cs="Times New Roman"/>
      <w:b/>
      <w:bCs/>
      <w:kern w:val="0"/>
      <w:sz w:val="28"/>
      <w:szCs w:val="24"/>
    </w:rPr>
  </w:style>
  <w:style w:type="paragraph" w:styleId="11">
    <w:name w:val="heading 8"/>
    <w:basedOn w:val="1"/>
    <w:next w:val="9"/>
    <w:link w:val="54"/>
    <w:qFormat/>
    <w:uiPriority w:val="9"/>
    <w:pPr>
      <w:keepNext/>
      <w:keepLines/>
      <w:tabs>
        <w:tab w:val="left" w:pos="1440"/>
      </w:tabs>
      <w:snapToGrid w:val="0"/>
      <w:spacing w:before="240" w:after="120"/>
      <w:ind w:left="1440" w:hanging="1440"/>
      <w:outlineLvl w:val="7"/>
    </w:pPr>
    <w:rPr>
      <w:rFonts w:ascii="Times New Roman" w:hAnsi="Calibri" w:eastAsia="黑体" w:cs="Times New Roman"/>
      <w:b/>
      <w:kern w:val="0"/>
      <w:sz w:val="28"/>
      <w:szCs w:val="24"/>
    </w:rPr>
  </w:style>
  <w:style w:type="paragraph" w:styleId="12">
    <w:name w:val="heading 9"/>
    <w:basedOn w:val="1"/>
    <w:next w:val="9"/>
    <w:link w:val="55"/>
    <w:qFormat/>
    <w:uiPriority w:val="9"/>
    <w:pPr>
      <w:keepNext/>
      <w:keepLines/>
      <w:tabs>
        <w:tab w:val="left" w:pos="1584"/>
      </w:tabs>
      <w:snapToGrid w:val="0"/>
      <w:spacing w:before="240" w:after="120"/>
      <w:ind w:left="1584" w:hanging="1584"/>
      <w:outlineLvl w:val="8"/>
    </w:pPr>
    <w:rPr>
      <w:rFonts w:ascii="Times New Roman" w:hAnsi="Calibri" w:eastAsia="黑体" w:cs="Times New Roman"/>
      <w:b/>
      <w:kern w:val="0"/>
      <w:sz w:val="28"/>
      <w:szCs w:val="24"/>
    </w:rPr>
  </w:style>
  <w:style w:type="character" w:default="1" w:styleId="39">
    <w:name w:val="Default Paragraph Font"/>
    <w:semiHidden/>
    <w:unhideWhenUsed/>
    <w:qFormat/>
    <w:uiPriority w:val="1"/>
  </w:style>
  <w:style w:type="table" w:default="1" w:styleId="37">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118"/>
    <w:qFormat/>
    <w:uiPriority w:val="99"/>
    <w:pPr>
      <w:autoSpaceDE w:val="0"/>
      <w:autoSpaceDN w:val="0"/>
      <w:adjustRightInd w:val="0"/>
      <w:ind w:right="-26"/>
      <w:jc w:val="center"/>
    </w:pPr>
    <w:rPr>
      <w:rFonts w:ascii="宋体" w:eastAsia="宋体"/>
      <w:b/>
      <w:bCs/>
      <w:sz w:val="84"/>
      <w:szCs w:val="84"/>
      <w:lang w:val="zh-CN"/>
    </w:rPr>
  </w:style>
  <w:style w:type="paragraph" w:customStyle="1" w:styleId="9">
    <w:name w:val="模板正文"/>
    <w:basedOn w:val="1"/>
    <w:link w:val="94"/>
    <w:qFormat/>
    <w:uiPriority w:val="0"/>
    <w:pPr>
      <w:wordWrap w:val="0"/>
      <w:autoSpaceDE w:val="0"/>
      <w:autoSpaceDN w:val="0"/>
      <w:adjustRightInd w:val="0"/>
      <w:spacing w:beforeLines="50" w:line="360" w:lineRule="auto"/>
      <w:ind w:firstLine="200" w:firstLineChars="200"/>
      <w:jc w:val="left"/>
    </w:pPr>
    <w:rPr>
      <w:rFonts w:ascii="宋体" w:eastAsia="仿宋"/>
      <w:sz w:val="24"/>
      <w:szCs w:val="21"/>
    </w:rPr>
  </w:style>
  <w:style w:type="paragraph" w:styleId="13">
    <w:name w:val="Normal Indent"/>
    <w:basedOn w:val="1"/>
    <w:qFormat/>
    <w:uiPriority w:val="0"/>
    <w:pPr>
      <w:widowControl/>
      <w:autoSpaceDE w:val="0"/>
      <w:autoSpaceDN w:val="0"/>
      <w:adjustRightInd w:val="0"/>
      <w:ind w:firstLine="420" w:firstLineChars="200"/>
      <w:jc w:val="left"/>
    </w:pPr>
    <w:rPr>
      <w:rFonts w:ascii="宋体" w:hAnsi="Calibri" w:eastAsia="宋体" w:cs="Times New Roman"/>
      <w:kern w:val="0"/>
      <w:sz w:val="20"/>
      <w:szCs w:val="20"/>
    </w:rPr>
  </w:style>
  <w:style w:type="paragraph" w:styleId="14">
    <w:name w:val="caption"/>
    <w:basedOn w:val="1"/>
    <w:next w:val="1"/>
    <w:link w:val="83"/>
    <w:qFormat/>
    <w:uiPriority w:val="0"/>
    <w:pPr>
      <w:autoSpaceDE w:val="0"/>
      <w:autoSpaceDN w:val="0"/>
      <w:adjustRightInd w:val="0"/>
      <w:spacing w:before="152" w:after="160"/>
      <w:jc w:val="left"/>
    </w:pPr>
    <w:rPr>
      <w:rFonts w:ascii="Arial" w:hAnsi="Arial" w:eastAsia="黑体" w:cs="Arial"/>
    </w:rPr>
  </w:style>
  <w:style w:type="paragraph" w:styleId="15">
    <w:name w:val="Document Map"/>
    <w:basedOn w:val="1"/>
    <w:link w:val="116"/>
    <w:semiHidden/>
    <w:qFormat/>
    <w:uiPriority w:val="99"/>
    <w:pPr>
      <w:shd w:val="clear" w:color="auto" w:fill="000080"/>
      <w:autoSpaceDE w:val="0"/>
      <w:autoSpaceDN w:val="0"/>
      <w:adjustRightInd w:val="0"/>
      <w:jc w:val="left"/>
    </w:pPr>
    <w:rPr>
      <w:rFonts w:ascii="宋体" w:hAnsi="Times New Roman" w:eastAsia="宋体" w:cs="Times New Roman"/>
      <w:kern w:val="0"/>
      <w:sz w:val="24"/>
      <w:szCs w:val="24"/>
    </w:rPr>
  </w:style>
  <w:style w:type="paragraph" w:styleId="16">
    <w:name w:val="toa heading"/>
    <w:basedOn w:val="1"/>
    <w:next w:val="1"/>
    <w:qFormat/>
    <w:uiPriority w:val="0"/>
    <w:pPr>
      <w:autoSpaceDE w:val="0"/>
      <w:autoSpaceDN w:val="0"/>
      <w:adjustRightInd w:val="0"/>
      <w:snapToGrid w:val="0"/>
      <w:spacing w:before="120" w:line="360" w:lineRule="auto"/>
    </w:pPr>
    <w:rPr>
      <w:rFonts w:ascii="Arial" w:hAnsi="Arial"/>
      <w:snapToGrid w:val="0"/>
      <w:color w:val="000000"/>
      <w:kern w:val="0"/>
      <w:szCs w:val="20"/>
    </w:rPr>
  </w:style>
  <w:style w:type="paragraph" w:styleId="17">
    <w:name w:val="annotation text"/>
    <w:basedOn w:val="1"/>
    <w:link w:val="163"/>
    <w:unhideWhenUsed/>
    <w:qFormat/>
    <w:uiPriority w:val="99"/>
    <w:pPr>
      <w:jc w:val="left"/>
    </w:pPr>
  </w:style>
  <w:style w:type="paragraph" w:styleId="18">
    <w:name w:val="Body Text 3"/>
    <w:basedOn w:val="1"/>
    <w:link w:val="156"/>
    <w:qFormat/>
    <w:uiPriority w:val="0"/>
    <w:pPr>
      <w:autoSpaceDE w:val="0"/>
      <w:autoSpaceDN w:val="0"/>
      <w:adjustRightInd w:val="0"/>
      <w:ind w:right="-26"/>
      <w:jc w:val="center"/>
    </w:pPr>
    <w:rPr>
      <w:rFonts w:ascii="宋体" w:hAnsi="Times New Roman" w:eastAsia="宋体" w:cs="Times New Roman"/>
      <w:b/>
      <w:bCs/>
      <w:color w:val="3366FF"/>
      <w:sz w:val="52"/>
      <w:szCs w:val="52"/>
      <w:lang w:val="zh-CN"/>
    </w:rPr>
  </w:style>
  <w:style w:type="paragraph" w:styleId="19">
    <w:name w:val="Body Text Indent"/>
    <w:basedOn w:val="1"/>
    <w:link w:val="92"/>
    <w:qFormat/>
    <w:uiPriority w:val="0"/>
    <w:pPr>
      <w:ind w:left="567" w:leftChars="270"/>
    </w:pPr>
    <w:rPr>
      <w:rFonts w:ascii="Times New Roman" w:hAnsi="Times New Roman" w:eastAsia="宋体" w:cs="Times New Roman"/>
      <w:szCs w:val="20"/>
    </w:rPr>
  </w:style>
  <w:style w:type="paragraph" w:styleId="20">
    <w:name w:val="toc 3"/>
    <w:basedOn w:val="1"/>
    <w:next w:val="1"/>
    <w:unhideWhenUsed/>
    <w:qFormat/>
    <w:uiPriority w:val="39"/>
    <w:pPr>
      <w:tabs>
        <w:tab w:val="right" w:leader="dot" w:pos="10144"/>
      </w:tabs>
      <w:ind w:left="840" w:leftChars="400"/>
    </w:pPr>
  </w:style>
  <w:style w:type="paragraph" w:styleId="21">
    <w:name w:val="Plain Text"/>
    <w:basedOn w:val="1"/>
    <w:link w:val="100"/>
    <w:qFormat/>
    <w:uiPriority w:val="0"/>
    <w:rPr>
      <w:rFonts w:ascii="宋体" w:hAnsi="Courier New" w:eastAsia="宋体"/>
    </w:rPr>
  </w:style>
  <w:style w:type="paragraph" w:styleId="22">
    <w:name w:val="Date"/>
    <w:basedOn w:val="1"/>
    <w:next w:val="1"/>
    <w:link w:val="108"/>
    <w:qFormat/>
    <w:uiPriority w:val="99"/>
    <w:pPr>
      <w:autoSpaceDE w:val="0"/>
      <w:autoSpaceDN w:val="0"/>
      <w:adjustRightInd w:val="0"/>
      <w:ind w:left="100" w:leftChars="2500"/>
      <w:jc w:val="left"/>
    </w:pPr>
    <w:rPr>
      <w:rFonts w:ascii="宋体" w:hAnsi="Times New Roman" w:eastAsia="宋体" w:cs="Times New Roman"/>
      <w:b/>
      <w:bCs/>
      <w:szCs w:val="21"/>
      <w:lang w:val="zh-CN"/>
    </w:rPr>
  </w:style>
  <w:style w:type="paragraph" w:styleId="23">
    <w:name w:val="Body Text Indent 2"/>
    <w:basedOn w:val="1"/>
    <w:link w:val="101"/>
    <w:qFormat/>
    <w:uiPriority w:val="0"/>
    <w:pPr>
      <w:tabs>
        <w:tab w:val="left" w:pos="8640"/>
      </w:tabs>
      <w:ind w:left="1260"/>
    </w:pPr>
    <w:rPr>
      <w:rFonts w:ascii="宋体" w:hAnsi="Times New Roman" w:eastAsia="宋体" w:cs="Times New Roman"/>
      <w:szCs w:val="20"/>
    </w:rPr>
  </w:style>
  <w:style w:type="paragraph" w:styleId="24">
    <w:name w:val="Balloon Text"/>
    <w:basedOn w:val="1"/>
    <w:link w:val="74"/>
    <w:qFormat/>
    <w:uiPriority w:val="0"/>
    <w:rPr>
      <w:rFonts w:ascii="Times New Roman" w:hAnsi="Times New Roman" w:eastAsia="宋体" w:cs="Times New Roman"/>
      <w:sz w:val="18"/>
      <w:szCs w:val="18"/>
    </w:rPr>
  </w:style>
  <w:style w:type="paragraph" w:styleId="25">
    <w:name w:val="footer"/>
    <w:basedOn w:val="1"/>
    <w:link w:val="78"/>
    <w:qFormat/>
    <w:uiPriority w:val="99"/>
    <w:pPr>
      <w:tabs>
        <w:tab w:val="center" w:pos="4153"/>
        <w:tab w:val="right" w:pos="8306"/>
      </w:tabs>
      <w:autoSpaceDE w:val="0"/>
      <w:autoSpaceDN w:val="0"/>
      <w:adjustRightInd w:val="0"/>
      <w:snapToGrid w:val="0"/>
      <w:jc w:val="left"/>
    </w:pPr>
    <w:rPr>
      <w:rFonts w:ascii="宋体" w:eastAsia="宋体"/>
      <w:sz w:val="18"/>
      <w:szCs w:val="18"/>
    </w:rPr>
  </w:style>
  <w:style w:type="paragraph" w:styleId="26">
    <w:name w:val="header"/>
    <w:basedOn w:val="1"/>
    <w:link w:val="120"/>
    <w:qFormat/>
    <w:uiPriority w:val="99"/>
    <w:pPr>
      <w:pBdr>
        <w:bottom w:val="single" w:color="auto" w:sz="6" w:space="1"/>
      </w:pBdr>
      <w:tabs>
        <w:tab w:val="center" w:pos="4153"/>
        <w:tab w:val="right" w:pos="8306"/>
      </w:tabs>
      <w:autoSpaceDE w:val="0"/>
      <w:autoSpaceDN w:val="0"/>
      <w:adjustRightInd w:val="0"/>
      <w:snapToGrid w:val="0"/>
      <w:jc w:val="center"/>
    </w:pPr>
    <w:rPr>
      <w:rFonts w:ascii="宋体" w:eastAsia="宋体"/>
      <w:sz w:val="18"/>
      <w:szCs w:val="18"/>
    </w:rPr>
  </w:style>
  <w:style w:type="paragraph" w:styleId="27">
    <w:name w:val="toc 1"/>
    <w:basedOn w:val="1"/>
    <w:next w:val="1"/>
    <w:unhideWhenUsed/>
    <w:qFormat/>
    <w:uiPriority w:val="39"/>
  </w:style>
  <w:style w:type="paragraph" w:styleId="28">
    <w:name w:val="List"/>
    <w:basedOn w:val="1"/>
    <w:unhideWhenUsed/>
    <w:qFormat/>
    <w:uiPriority w:val="0"/>
    <w:pPr>
      <w:autoSpaceDE w:val="0"/>
      <w:autoSpaceDN w:val="0"/>
      <w:adjustRightInd w:val="0"/>
      <w:ind w:left="200" w:hanging="200" w:hangingChars="200"/>
      <w:contextualSpacing/>
      <w:jc w:val="left"/>
    </w:pPr>
    <w:rPr>
      <w:rFonts w:ascii="宋体" w:hAnsi="Calibri" w:eastAsia="宋体" w:cs="Times New Roman"/>
      <w:kern w:val="0"/>
      <w:sz w:val="24"/>
      <w:szCs w:val="24"/>
    </w:rPr>
  </w:style>
  <w:style w:type="paragraph" w:styleId="29">
    <w:name w:val="Body Text Indent 3"/>
    <w:basedOn w:val="1"/>
    <w:link w:val="154"/>
    <w:qFormat/>
    <w:uiPriority w:val="0"/>
    <w:pPr>
      <w:autoSpaceDE w:val="0"/>
      <w:autoSpaceDN w:val="0"/>
      <w:adjustRightInd w:val="0"/>
      <w:spacing w:line="360" w:lineRule="auto"/>
      <w:ind w:firstLine="480" w:firstLineChars="200"/>
      <w:jc w:val="left"/>
    </w:pPr>
    <w:rPr>
      <w:rFonts w:ascii="宋体" w:hAnsi="Times New Roman" w:eastAsia="宋体" w:cs="Times New Roman"/>
      <w:kern w:val="0"/>
      <w:sz w:val="24"/>
      <w:szCs w:val="24"/>
    </w:rPr>
  </w:style>
  <w:style w:type="paragraph" w:styleId="30">
    <w:name w:val="toc 2"/>
    <w:basedOn w:val="1"/>
    <w:next w:val="1"/>
    <w:semiHidden/>
    <w:unhideWhenUsed/>
    <w:qFormat/>
    <w:uiPriority w:val="39"/>
    <w:pPr>
      <w:ind w:left="420" w:leftChars="200"/>
    </w:pPr>
  </w:style>
  <w:style w:type="paragraph" w:styleId="31">
    <w:name w:val="Body Text 2"/>
    <w:basedOn w:val="1"/>
    <w:link w:val="143"/>
    <w:qFormat/>
    <w:uiPriority w:val="0"/>
    <w:pPr>
      <w:tabs>
        <w:tab w:val="left" w:pos="0"/>
      </w:tabs>
      <w:spacing w:line="400" w:lineRule="atLeast"/>
    </w:pPr>
    <w:rPr>
      <w:rFonts w:ascii="Arial" w:hAnsi="Arial" w:eastAsia="宋体" w:cs="Times New Roman"/>
      <w:color w:val="000000"/>
      <w:szCs w:val="24"/>
    </w:rPr>
  </w:style>
  <w:style w:type="paragraph" w:styleId="32">
    <w:name w:val="HTML Preformatted"/>
    <w:basedOn w:val="1"/>
    <w:link w:val="86"/>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jc w:val="left"/>
    </w:pPr>
    <w:rPr>
      <w:rFonts w:ascii="Arial" w:hAnsi="Arial" w:eastAsia="宋体" w:cs="Arial"/>
      <w:szCs w:val="21"/>
    </w:rPr>
  </w:style>
  <w:style w:type="paragraph" w:styleId="33">
    <w:name w:val="Normal (Web)"/>
    <w:basedOn w:val="1"/>
    <w:link w:val="93"/>
    <w:qFormat/>
    <w:uiPriority w:val="0"/>
    <w:pPr>
      <w:widowControl/>
      <w:spacing w:before="100" w:beforeAutospacing="1" w:after="100" w:afterAutospacing="1"/>
      <w:jc w:val="left"/>
    </w:pPr>
    <w:rPr>
      <w:rFonts w:ascii="宋体" w:hAnsi="宋体"/>
      <w:sz w:val="15"/>
      <w:szCs w:val="15"/>
    </w:rPr>
  </w:style>
  <w:style w:type="paragraph" w:styleId="34">
    <w:name w:val="Title"/>
    <w:basedOn w:val="1"/>
    <w:next w:val="1"/>
    <w:link w:val="58"/>
    <w:qFormat/>
    <w:uiPriority w:val="10"/>
    <w:pPr>
      <w:spacing w:before="120" w:after="60" w:line="300" w:lineRule="auto"/>
      <w:jc w:val="left"/>
      <w:outlineLvl w:val="0"/>
    </w:pPr>
    <w:rPr>
      <w:rFonts w:ascii="等线 Light" w:hAnsi="等线 Light" w:eastAsia="仿宋"/>
      <w:b/>
      <w:bCs/>
      <w:sz w:val="28"/>
      <w:szCs w:val="32"/>
    </w:rPr>
  </w:style>
  <w:style w:type="paragraph" w:styleId="35">
    <w:name w:val="annotation subject"/>
    <w:basedOn w:val="17"/>
    <w:next w:val="17"/>
    <w:link w:val="110"/>
    <w:qFormat/>
    <w:uiPriority w:val="99"/>
    <w:pPr>
      <w:autoSpaceDE w:val="0"/>
      <w:autoSpaceDN w:val="0"/>
      <w:adjustRightInd w:val="0"/>
    </w:pPr>
    <w:rPr>
      <w:rFonts w:ascii="宋体" w:hAnsi="Times New Roman" w:eastAsia="宋体" w:cs="Times New Roman"/>
      <w:b/>
      <w:bCs/>
      <w:kern w:val="0"/>
      <w:sz w:val="24"/>
      <w:szCs w:val="24"/>
    </w:rPr>
  </w:style>
  <w:style w:type="paragraph" w:styleId="36">
    <w:name w:val="Body Text First Indent"/>
    <w:basedOn w:val="2"/>
    <w:link w:val="201"/>
    <w:semiHidden/>
    <w:unhideWhenUsed/>
    <w:qFormat/>
    <w:uiPriority w:val="99"/>
    <w:pPr>
      <w:autoSpaceDE/>
      <w:autoSpaceDN/>
      <w:adjustRightInd/>
      <w:spacing w:after="120"/>
      <w:ind w:right="0" w:firstLine="420" w:firstLineChars="100"/>
      <w:jc w:val="both"/>
    </w:pPr>
    <w:rPr>
      <w:rFonts w:asciiTheme="minorHAnsi" w:eastAsiaTheme="minorEastAsia"/>
      <w:b w:val="0"/>
      <w:bCs w:val="0"/>
      <w:sz w:val="21"/>
      <w:szCs w:val="22"/>
      <w:lang w:val="en-US"/>
    </w:rPr>
  </w:style>
  <w:style w:type="table" w:styleId="38">
    <w:name w:val="Table Grid"/>
    <w:basedOn w:val="37"/>
    <w:qFormat/>
    <w:uiPriority w:val="0"/>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0">
    <w:name w:val="Strong"/>
    <w:qFormat/>
    <w:uiPriority w:val="0"/>
    <w:rPr>
      <w:b/>
      <w:bCs/>
    </w:rPr>
  </w:style>
  <w:style w:type="character" w:styleId="41">
    <w:name w:val="FollowedHyperlink"/>
    <w:unhideWhenUsed/>
    <w:qFormat/>
    <w:uiPriority w:val="99"/>
    <w:rPr>
      <w:color w:val="954F72"/>
      <w:u w:val="single"/>
    </w:rPr>
  </w:style>
  <w:style w:type="character" w:styleId="42">
    <w:name w:val="Emphasis"/>
    <w:qFormat/>
    <w:uiPriority w:val="0"/>
    <w:rPr>
      <w:i/>
      <w:iCs/>
    </w:rPr>
  </w:style>
  <w:style w:type="character" w:styleId="43">
    <w:name w:val="Hyperlink"/>
    <w:qFormat/>
    <w:uiPriority w:val="99"/>
    <w:rPr>
      <w:rFonts w:hint="default" w:ascii="Arial" w:hAnsi="Arial" w:cs="Arial"/>
      <w:color w:val="000000"/>
      <w:sz w:val="20"/>
      <w:szCs w:val="20"/>
      <w:u w:val="none"/>
    </w:rPr>
  </w:style>
  <w:style w:type="character" w:styleId="44">
    <w:name w:val="annotation reference"/>
    <w:basedOn w:val="39"/>
    <w:qFormat/>
    <w:uiPriority w:val="99"/>
    <w:rPr>
      <w:sz w:val="21"/>
      <w:szCs w:val="21"/>
    </w:rPr>
  </w:style>
  <w:style w:type="paragraph" w:customStyle="1" w:styleId="45">
    <w:name w:val="文档正文"/>
    <w:basedOn w:val="1"/>
    <w:qFormat/>
    <w:uiPriority w:val="0"/>
    <w:pPr>
      <w:spacing w:line="360" w:lineRule="auto"/>
    </w:pPr>
    <w:rPr>
      <w:rFonts w:ascii="宋体" w:cs="Arial"/>
      <w:bCs/>
    </w:rPr>
  </w:style>
  <w:style w:type="paragraph" w:customStyle="1" w:styleId="46">
    <w:name w:val="首行缩进"/>
    <w:basedOn w:val="1"/>
    <w:qFormat/>
    <w:uiPriority w:val="0"/>
    <w:pPr>
      <w:ind w:firstLine="480" w:firstLineChars="200"/>
    </w:pPr>
    <w:rPr>
      <w:lang w:val="zh-CN"/>
    </w:rPr>
  </w:style>
  <w:style w:type="character" w:customStyle="1" w:styleId="47">
    <w:name w:val="标题 1 字符"/>
    <w:basedOn w:val="39"/>
    <w:qFormat/>
    <w:uiPriority w:val="0"/>
    <w:rPr>
      <w:b/>
      <w:bCs/>
      <w:kern w:val="44"/>
      <w:sz w:val="44"/>
      <w:szCs w:val="44"/>
    </w:rPr>
  </w:style>
  <w:style w:type="character" w:customStyle="1" w:styleId="48">
    <w:name w:val="标题 2 Char"/>
    <w:basedOn w:val="39"/>
    <w:link w:val="4"/>
    <w:qFormat/>
    <w:uiPriority w:val="0"/>
    <w:rPr>
      <w:rFonts w:ascii="宋体" w:hAnsi="Calibri" w:eastAsia="宋体" w:cs="Times New Roman"/>
      <w:kern w:val="0"/>
      <w:sz w:val="24"/>
      <w:szCs w:val="24"/>
    </w:rPr>
  </w:style>
  <w:style w:type="character" w:customStyle="1" w:styleId="49">
    <w:name w:val="标题 3 字符"/>
    <w:basedOn w:val="39"/>
    <w:qFormat/>
    <w:uiPriority w:val="0"/>
    <w:rPr>
      <w:b/>
      <w:bCs/>
      <w:sz w:val="32"/>
      <w:szCs w:val="32"/>
    </w:rPr>
  </w:style>
  <w:style w:type="character" w:customStyle="1" w:styleId="50">
    <w:name w:val="标题 4 Char1"/>
    <w:basedOn w:val="39"/>
    <w:link w:val="6"/>
    <w:qFormat/>
    <w:uiPriority w:val="9"/>
    <w:rPr>
      <w:rFonts w:ascii="Arial" w:hAnsi="Arial" w:eastAsia="黑体" w:cs="Times New Roman"/>
      <w:b/>
      <w:bCs/>
      <w:kern w:val="0"/>
      <w:sz w:val="28"/>
      <w:szCs w:val="28"/>
    </w:rPr>
  </w:style>
  <w:style w:type="character" w:customStyle="1" w:styleId="51">
    <w:name w:val="标题 5 字符"/>
    <w:basedOn w:val="39"/>
    <w:qFormat/>
    <w:uiPriority w:val="9"/>
    <w:rPr>
      <w:b/>
      <w:bCs/>
      <w:sz w:val="28"/>
      <w:szCs w:val="28"/>
    </w:rPr>
  </w:style>
  <w:style w:type="character" w:customStyle="1" w:styleId="52">
    <w:name w:val="标题 6 字符"/>
    <w:basedOn w:val="39"/>
    <w:qFormat/>
    <w:uiPriority w:val="0"/>
    <w:rPr>
      <w:rFonts w:asciiTheme="majorHAnsi" w:hAnsiTheme="majorHAnsi" w:eastAsiaTheme="majorEastAsia" w:cstheme="majorBidi"/>
      <w:b/>
      <w:bCs/>
      <w:sz w:val="24"/>
      <w:szCs w:val="24"/>
    </w:rPr>
  </w:style>
  <w:style w:type="character" w:customStyle="1" w:styleId="53">
    <w:name w:val="标题 7 Char"/>
    <w:basedOn w:val="39"/>
    <w:link w:val="10"/>
    <w:qFormat/>
    <w:uiPriority w:val="9"/>
    <w:rPr>
      <w:rFonts w:ascii="Times New Roman" w:hAnsi="Calibri" w:eastAsia="黑体" w:cs="Times New Roman"/>
      <w:b/>
      <w:bCs/>
      <w:kern w:val="0"/>
      <w:sz w:val="28"/>
      <w:szCs w:val="24"/>
    </w:rPr>
  </w:style>
  <w:style w:type="character" w:customStyle="1" w:styleId="54">
    <w:name w:val="标题 8 Char"/>
    <w:basedOn w:val="39"/>
    <w:link w:val="11"/>
    <w:qFormat/>
    <w:uiPriority w:val="9"/>
    <w:rPr>
      <w:rFonts w:ascii="Times New Roman" w:hAnsi="Calibri" w:eastAsia="黑体" w:cs="Times New Roman"/>
      <w:b/>
      <w:kern w:val="0"/>
      <w:sz w:val="28"/>
      <w:szCs w:val="24"/>
    </w:rPr>
  </w:style>
  <w:style w:type="character" w:customStyle="1" w:styleId="55">
    <w:name w:val="标题 9 Char"/>
    <w:basedOn w:val="39"/>
    <w:link w:val="12"/>
    <w:qFormat/>
    <w:uiPriority w:val="9"/>
    <w:rPr>
      <w:rFonts w:ascii="Times New Roman" w:hAnsi="Calibri" w:eastAsia="黑体" w:cs="Times New Roman"/>
      <w:b/>
      <w:kern w:val="0"/>
      <w:sz w:val="28"/>
      <w:szCs w:val="24"/>
    </w:rPr>
  </w:style>
  <w:style w:type="character" w:customStyle="1" w:styleId="56">
    <w:name w:val="正文文本缩进 字符"/>
    <w:qFormat/>
    <w:uiPriority w:val="0"/>
    <w:rPr>
      <w:rFonts w:ascii="Times New Roman" w:hAnsi="Times New Roman" w:eastAsia="宋体" w:cs="Times New Roman"/>
      <w:szCs w:val="20"/>
    </w:rPr>
  </w:style>
  <w:style w:type="character" w:customStyle="1" w:styleId="57">
    <w:name w:val="普通(网站) Char"/>
    <w:qFormat/>
    <w:locked/>
    <w:uiPriority w:val="0"/>
    <w:rPr>
      <w:rFonts w:ascii="宋体" w:hAnsi="宋体"/>
      <w:sz w:val="15"/>
      <w:szCs w:val="15"/>
    </w:rPr>
  </w:style>
  <w:style w:type="character" w:customStyle="1" w:styleId="58">
    <w:name w:val="标题 Char"/>
    <w:link w:val="34"/>
    <w:qFormat/>
    <w:uiPriority w:val="10"/>
    <w:rPr>
      <w:rFonts w:ascii="等线 Light" w:hAnsi="等线 Light" w:eastAsia="仿宋"/>
      <w:b/>
      <w:bCs/>
      <w:sz w:val="28"/>
      <w:szCs w:val="32"/>
    </w:rPr>
  </w:style>
  <w:style w:type="character" w:customStyle="1" w:styleId="59">
    <w:name w:val="日期 Char"/>
    <w:semiHidden/>
    <w:qFormat/>
    <w:uiPriority w:val="99"/>
    <w:rPr>
      <w:kern w:val="2"/>
      <w:sz w:val="21"/>
    </w:rPr>
  </w:style>
  <w:style w:type="character" w:customStyle="1" w:styleId="60">
    <w:name w:val="文档结构图 字符1"/>
    <w:semiHidden/>
    <w:qFormat/>
    <w:uiPriority w:val="99"/>
    <w:rPr>
      <w:rFonts w:ascii="Microsoft YaHei UI" w:hAnsi="Calibri" w:eastAsia="Microsoft YaHei UI" w:cs="Times New Roman"/>
      <w:kern w:val="0"/>
      <w:sz w:val="18"/>
      <w:szCs w:val="18"/>
    </w:rPr>
  </w:style>
  <w:style w:type="character" w:customStyle="1" w:styleId="61">
    <w:name w:val="批注文字 Char"/>
    <w:semiHidden/>
    <w:qFormat/>
    <w:uiPriority w:val="99"/>
    <w:rPr>
      <w:kern w:val="2"/>
      <w:sz w:val="21"/>
    </w:rPr>
  </w:style>
  <w:style w:type="character" w:customStyle="1" w:styleId="62">
    <w:name w:val="正文缩进2格 Char"/>
    <w:link w:val="63"/>
    <w:qFormat/>
    <w:uiPriority w:val="0"/>
    <w:rPr>
      <w:rFonts w:ascii="仿宋_GB2312" w:hAnsi="宋体" w:eastAsia="仿宋_GB2312"/>
      <w:sz w:val="31"/>
      <w:szCs w:val="28"/>
    </w:rPr>
  </w:style>
  <w:style w:type="paragraph" w:customStyle="1" w:styleId="63">
    <w:name w:val="正文缩进2格"/>
    <w:basedOn w:val="1"/>
    <w:link w:val="62"/>
    <w:qFormat/>
    <w:uiPriority w:val="0"/>
    <w:pPr>
      <w:spacing w:line="600" w:lineRule="exact"/>
      <w:ind w:firstLine="639" w:firstLineChars="206"/>
    </w:pPr>
    <w:rPr>
      <w:rFonts w:ascii="仿宋_GB2312" w:hAnsi="宋体" w:eastAsia="仿宋_GB2312"/>
      <w:sz w:val="31"/>
      <w:szCs w:val="28"/>
    </w:rPr>
  </w:style>
  <w:style w:type="character" w:customStyle="1" w:styleId="64">
    <w:name w:val="批注文字 字符"/>
    <w:semiHidden/>
    <w:qFormat/>
    <w:uiPriority w:val="99"/>
    <w:rPr>
      <w:rFonts w:ascii="Times New Roman" w:hAnsi="Times New Roman"/>
      <w:kern w:val="2"/>
      <w:sz w:val="24"/>
      <w:szCs w:val="24"/>
    </w:rPr>
  </w:style>
  <w:style w:type="character" w:customStyle="1" w:styleId="65">
    <w:name w:val="正文文本缩进 Char"/>
    <w:qFormat/>
    <w:uiPriority w:val="0"/>
    <w:rPr>
      <w:rFonts w:ascii="Times New Roman" w:hAnsi="Times New Roman" w:eastAsia="宋体" w:cs="Times New Roman"/>
      <w:szCs w:val="20"/>
      <w:lang w:val="en-US" w:eastAsia="zh-CN"/>
    </w:rPr>
  </w:style>
  <w:style w:type="character" w:customStyle="1" w:styleId="66">
    <w:name w:val="批注框文本 字符1"/>
    <w:semiHidden/>
    <w:qFormat/>
    <w:uiPriority w:val="99"/>
    <w:rPr>
      <w:rFonts w:ascii="宋体" w:hAnsi="Calibri" w:eastAsia="宋体" w:cs="Times New Roman"/>
      <w:kern w:val="0"/>
      <w:sz w:val="18"/>
      <w:szCs w:val="18"/>
    </w:rPr>
  </w:style>
  <w:style w:type="character" w:customStyle="1" w:styleId="67">
    <w:name w:val="List Paragraph Char"/>
    <w:link w:val="68"/>
    <w:qFormat/>
    <w:uiPriority w:val="34"/>
    <w:rPr>
      <w:rFonts w:ascii="Calibri" w:hAnsi="Calibri"/>
    </w:rPr>
  </w:style>
  <w:style w:type="paragraph" w:customStyle="1" w:styleId="68">
    <w:name w:val="列出段落1"/>
    <w:basedOn w:val="1"/>
    <w:link w:val="67"/>
    <w:qFormat/>
    <w:uiPriority w:val="34"/>
    <w:pPr>
      <w:ind w:firstLine="420" w:firstLineChars="200"/>
    </w:pPr>
    <w:rPr>
      <w:rFonts w:ascii="Calibri" w:hAnsi="Calibri"/>
    </w:rPr>
  </w:style>
  <w:style w:type="character" w:customStyle="1" w:styleId="69">
    <w:name w:val="标书正文 字符"/>
    <w:link w:val="70"/>
    <w:qFormat/>
    <w:uiPriority w:val="0"/>
    <w:rPr>
      <w:rFonts w:ascii="Calibri" w:hAnsi="Calibri" w:eastAsia="仿宋"/>
      <w:sz w:val="24"/>
      <w:szCs w:val="21"/>
    </w:rPr>
  </w:style>
  <w:style w:type="paragraph" w:customStyle="1" w:styleId="70">
    <w:name w:val="标书正文"/>
    <w:basedOn w:val="1"/>
    <w:link w:val="69"/>
    <w:qFormat/>
    <w:uiPriority w:val="0"/>
    <w:pPr>
      <w:adjustRightInd w:val="0"/>
      <w:snapToGrid w:val="0"/>
      <w:spacing w:beforeLines="50" w:line="360" w:lineRule="auto"/>
      <w:ind w:firstLine="200" w:firstLineChars="200"/>
    </w:pPr>
    <w:rPr>
      <w:rFonts w:ascii="Calibri" w:hAnsi="Calibri" w:eastAsia="仿宋"/>
      <w:sz w:val="24"/>
      <w:szCs w:val="21"/>
    </w:rPr>
  </w:style>
  <w:style w:type="character" w:customStyle="1" w:styleId="71">
    <w:name w:val="正文文本 字符"/>
    <w:semiHidden/>
    <w:qFormat/>
    <w:uiPriority w:val="99"/>
    <w:rPr>
      <w:rFonts w:ascii="Times New Roman" w:hAnsi="Times New Roman"/>
      <w:kern w:val="2"/>
      <w:sz w:val="24"/>
      <w:szCs w:val="24"/>
    </w:rPr>
  </w:style>
  <w:style w:type="character" w:customStyle="1" w:styleId="72">
    <w:name w:val="页脚 Char"/>
    <w:qFormat/>
    <w:uiPriority w:val="0"/>
    <w:rPr>
      <w:kern w:val="2"/>
      <w:sz w:val="18"/>
      <w:szCs w:val="18"/>
    </w:rPr>
  </w:style>
  <w:style w:type="character" w:customStyle="1" w:styleId="73">
    <w:name w:val="neir1"/>
    <w:qFormat/>
    <w:uiPriority w:val="0"/>
    <w:rPr>
      <w:rFonts w:hint="default" w:ascii="ˎ̥" w:hAnsi="ˎ̥"/>
      <w:color w:val="333333"/>
      <w:sz w:val="21"/>
      <w:szCs w:val="21"/>
      <w:u w:val="none"/>
    </w:rPr>
  </w:style>
  <w:style w:type="character" w:customStyle="1" w:styleId="74">
    <w:name w:val="批注框文本 Char1"/>
    <w:link w:val="24"/>
    <w:qFormat/>
    <w:uiPriority w:val="0"/>
    <w:rPr>
      <w:rFonts w:ascii="Times New Roman" w:hAnsi="Times New Roman" w:eastAsia="宋体" w:cs="Times New Roman"/>
      <w:sz w:val="18"/>
      <w:szCs w:val="18"/>
    </w:rPr>
  </w:style>
  <w:style w:type="character" w:customStyle="1" w:styleId="75">
    <w:name w:val="正文文本 3 字符1"/>
    <w:semiHidden/>
    <w:qFormat/>
    <w:uiPriority w:val="99"/>
    <w:rPr>
      <w:rFonts w:ascii="宋体" w:hAnsi="Calibri" w:eastAsia="宋体" w:cs="Times New Roman"/>
      <w:kern w:val="0"/>
      <w:sz w:val="16"/>
      <w:szCs w:val="16"/>
    </w:rPr>
  </w:style>
  <w:style w:type="character" w:customStyle="1" w:styleId="76">
    <w:name w:val="正文文本 字符3"/>
    <w:semiHidden/>
    <w:qFormat/>
    <w:uiPriority w:val="99"/>
    <w:rPr>
      <w:rFonts w:ascii="宋体" w:hAnsi="Calibri" w:eastAsia="宋体" w:cs="Times New Roman"/>
      <w:kern w:val="0"/>
      <w:sz w:val="24"/>
      <w:szCs w:val="24"/>
    </w:rPr>
  </w:style>
  <w:style w:type="character" w:customStyle="1" w:styleId="77">
    <w:name w:val="日期 字符1"/>
    <w:semiHidden/>
    <w:qFormat/>
    <w:uiPriority w:val="99"/>
    <w:rPr>
      <w:rFonts w:ascii="宋体" w:hAnsi="Calibri" w:eastAsia="宋体" w:cs="Times New Roman"/>
      <w:kern w:val="0"/>
      <w:sz w:val="24"/>
      <w:szCs w:val="24"/>
    </w:rPr>
  </w:style>
  <w:style w:type="character" w:customStyle="1" w:styleId="78">
    <w:name w:val="页脚 Char2"/>
    <w:link w:val="25"/>
    <w:qFormat/>
    <w:uiPriority w:val="99"/>
    <w:rPr>
      <w:rFonts w:ascii="宋体" w:eastAsia="宋体"/>
      <w:sz w:val="18"/>
      <w:szCs w:val="18"/>
    </w:rPr>
  </w:style>
  <w:style w:type="character" w:customStyle="1" w:styleId="79">
    <w:name w:val="吉奥正文 Char"/>
    <w:link w:val="80"/>
    <w:qFormat/>
    <w:locked/>
    <w:uiPriority w:val="0"/>
    <w:rPr>
      <w:rFonts w:eastAsia="仿宋_GB2312"/>
      <w:sz w:val="28"/>
    </w:rPr>
  </w:style>
  <w:style w:type="paragraph" w:customStyle="1" w:styleId="80">
    <w:name w:val="吉奥正文"/>
    <w:basedOn w:val="1"/>
    <w:link w:val="79"/>
    <w:qFormat/>
    <w:uiPriority w:val="0"/>
    <w:pPr>
      <w:adjustRightInd w:val="0"/>
      <w:snapToGrid w:val="0"/>
      <w:spacing w:before="120" w:line="360" w:lineRule="auto"/>
      <w:ind w:firstLine="200" w:firstLineChars="200"/>
      <w:textAlignment w:val="baseline"/>
    </w:pPr>
    <w:rPr>
      <w:rFonts w:eastAsia="仿宋_GB2312"/>
      <w:sz w:val="28"/>
    </w:rPr>
  </w:style>
  <w:style w:type="character" w:customStyle="1" w:styleId="81">
    <w:name w:val="页脚 Char1"/>
    <w:qFormat/>
    <w:uiPriority w:val="99"/>
    <w:rPr>
      <w:rFonts w:ascii="宋体" w:hAnsi="Times New Roman" w:eastAsia="宋体" w:cs="Times New Roman"/>
      <w:kern w:val="0"/>
      <w:sz w:val="18"/>
      <w:szCs w:val="18"/>
    </w:rPr>
  </w:style>
  <w:style w:type="character" w:customStyle="1" w:styleId="82">
    <w:name w:val="标题 字符"/>
    <w:qFormat/>
    <w:uiPriority w:val="10"/>
    <w:rPr>
      <w:rFonts w:ascii="Cambria" w:hAnsi="Cambria" w:eastAsia="宋体" w:cs="Times New Roman"/>
      <w:b/>
      <w:bCs/>
      <w:kern w:val="0"/>
      <w:sz w:val="32"/>
      <w:szCs w:val="32"/>
      <w:lang w:val="en-US" w:eastAsia="zh-CN"/>
    </w:rPr>
  </w:style>
  <w:style w:type="character" w:customStyle="1" w:styleId="83">
    <w:name w:val="题注 Char"/>
    <w:link w:val="14"/>
    <w:qFormat/>
    <w:uiPriority w:val="0"/>
    <w:rPr>
      <w:rFonts w:ascii="Arial" w:hAnsi="Arial" w:eastAsia="黑体" w:cs="Arial"/>
    </w:rPr>
  </w:style>
  <w:style w:type="character" w:customStyle="1" w:styleId="84">
    <w:name w:val="批注文字 字符2"/>
    <w:qFormat/>
    <w:uiPriority w:val="99"/>
    <w:rPr>
      <w:rFonts w:ascii="宋体" w:hAnsi="Times New Roman" w:eastAsia="宋体" w:cs="Times New Roman"/>
      <w:kern w:val="0"/>
      <w:sz w:val="24"/>
      <w:szCs w:val="24"/>
    </w:rPr>
  </w:style>
  <w:style w:type="character" w:customStyle="1" w:styleId="85">
    <w:name w:val="批注主题 字符1"/>
    <w:semiHidden/>
    <w:qFormat/>
    <w:uiPriority w:val="99"/>
    <w:rPr>
      <w:rFonts w:ascii="宋体" w:hAnsi="Calibri" w:eastAsia="宋体" w:cs="Times New Roman"/>
      <w:b/>
      <w:bCs/>
      <w:kern w:val="0"/>
      <w:sz w:val="24"/>
      <w:szCs w:val="24"/>
    </w:rPr>
  </w:style>
  <w:style w:type="character" w:customStyle="1" w:styleId="86">
    <w:name w:val="HTML 预设格式 Char"/>
    <w:link w:val="32"/>
    <w:qFormat/>
    <w:uiPriority w:val="99"/>
    <w:rPr>
      <w:rFonts w:ascii="Arial" w:hAnsi="Arial" w:eastAsia="宋体" w:cs="Arial"/>
      <w:szCs w:val="21"/>
    </w:rPr>
  </w:style>
  <w:style w:type="character" w:customStyle="1" w:styleId="87">
    <w:name w:val="标题 3.1 Char"/>
    <w:link w:val="88"/>
    <w:qFormat/>
    <w:uiPriority w:val="0"/>
    <w:rPr>
      <w:rFonts w:ascii="宋体" w:hAnsi="宋体"/>
      <w:b/>
      <w:bCs/>
      <w:sz w:val="32"/>
      <w:szCs w:val="32"/>
    </w:rPr>
  </w:style>
  <w:style w:type="paragraph" w:customStyle="1" w:styleId="88">
    <w:name w:val="标题 3.1"/>
    <w:basedOn w:val="5"/>
    <w:link w:val="87"/>
    <w:qFormat/>
    <w:uiPriority w:val="0"/>
    <w:pPr>
      <w:keepNext/>
      <w:keepLines/>
      <w:pageBreakBefore/>
      <w:tabs>
        <w:tab w:val="left" w:pos="1440"/>
        <w:tab w:val="left" w:pos="1620"/>
      </w:tabs>
      <w:autoSpaceDE/>
      <w:autoSpaceDN/>
      <w:adjustRightInd/>
      <w:spacing w:before="260" w:after="260" w:line="600" w:lineRule="exact"/>
      <w:jc w:val="both"/>
    </w:pPr>
    <w:rPr>
      <w:rFonts w:hAnsi="宋体" w:eastAsiaTheme="minorEastAsia" w:cstheme="minorBidi"/>
      <w:b/>
      <w:bCs/>
      <w:kern w:val="2"/>
      <w:sz w:val="32"/>
      <w:szCs w:val="32"/>
    </w:rPr>
  </w:style>
  <w:style w:type="character" w:customStyle="1" w:styleId="89">
    <w:name w:val="HTML 预设格式 Char1"/>
    <w:semiHidden/>
    <w:qFormat/>
    <w:uiPriority w:val="99"/>
    <w:rPr>
      <w:rFonts w:ascii="Courier New" w:hAnsi="Courier New" w:eastAsia="宋体" w:cs="Courier New"/>
      <w:kern w:val="0"/>
      <w:sz w:val="20"/>
      <w:szCs w:val="20"/>
    </w:rPr>
  </w:style>
  <w:style w:type="character" w:customStyle="1" w:styleId="90">
    <w:name w:val="批注文字 字符1"/>
    <w:qFormat/>
    <w:uiPriority w:val="0"/>
    <w:rPr>
      <w:rFonts w:eastAsia="宋体"/>
      <w:kern w:val="2"/>
      <w:sz w:val="24"/>
      <w:szCs w:val="24"/>
      <w:lang w:val="en-US" w:eastAsia="zh-CN" w:bidi="ar-SA"/>
    </w:rPr>
  </w:style>
  <w:style w:type="character" w:customStyle="1" w:styleId="91">
    <w:name w:val="正文文本缩进 字符2"/>
    <w:semiHidden/>
    <w:qFormat/>
    <w:uiPriority w:val="99"/>
    <w:rPr>
      <w:rFonts w:ascii="宋体" w:hAnsi="Calibri" w:eastAsia="宋体" w:cs="Times New Roman"/>
      <w:kern w:val="0"/>
      <w:sz w:val="24"/>
      <w:szCs w:val="24"/>
    </w:rPr>
  </w:style>
  <w:style w:type="character" w:customStyle="1" w:styleId="92">
    <w:name w:val="正文文本缩进 Char1"/>
    <w:link w:val="19"/>
    <w:qFormat/>
    <w:uiPriority w:val="0"/>
    <w:rPr>
      <w:rFonts w:ascii="Times New Roman" w:hAnsi="Times New Roman" w:eastAsia="宋体" w:cs="Times New Roman"/>
      <w:szCs w:val="20"/>
    </w:rPr>
  </w:style>
  <w:style w:type="character" w:customStyle="1" w:styleId="93">
    <w:name w:val="普通(网站) Char1"/>
    <w:link w:val="33"/>
    <w:qFormat/>
    <w:locked/>
    <w:uiPriority w:val="0"/>
    <w:rPr>
      <w:rFonts w:ascii="宋体" w:hAnsi="宋体"/>
      <w:sz w:val="15"/>
      <w:szCs w:val="15"/>
    </w:rPr>
  </w:style>
  <w:style w:type="character" w:customStyle="1" w:styleId="94">
    <w:name w:val="模板正文 Char"/>
    <w:link w:val="9"/>
    <w:qFormat/>
    <w:uiPriority w:val="0"/>
    <w:rPr>
      <w:rFonts w:ascii="宋体" w:eastAsia="仿宋"/>
      <w:sz w:val="24"/>
      <w:szCs w:val="21"/>
    </w:rPr>
  </w:style>
  <w:style w:type="character" w:customStyle="1" w:styleId="95">
    <w:name w:val="批注主题 Char"/>
    <w:semiHidden/>
    <w:qFormat/>
    <w:uiPriority w:val="99"/>
    <w:rPr>
      <w:b/>
      <w:bCs/>
      <w:kern w:val="2"/>
      <w:sz w:val="21"/>
    </w:rPr>
  </w:style>
  <w:style w:type="character" w:customStyle="1" w:styleId="96">
    <w:name w:val="正文文本 Char1"/>
    <w:qFormat/>
    <w:uiPriority w:val="0"/>
    <w:rPr>
      <w:rFonts w:ascii="宋体" w:hAnsi="Times New Roman" w:eastAsia="宋体" w:cs="Times New Roman"/>
      <w:kern w:val="0"/>
      <w:sz w:val="24"/>
      <w:szCs w:val="24"/>
    </w:rPr>
  </w:style>
  <w:style w:type="character" w:customStyle="1" w:styleId="97">
    <w:name w:val="正文文本 字符1"/>
    <w:qFormat/>
    <w:uiPriority w:val="99"/>
    <w:rPr>
      <w:rFonts w:ascii="宋体" w:eastAsia="宋体"/>
      <w:b/>
      <w:bCs/>
      <w:sz w:val="84"/>
      <w:szCs w:val="84"/>
      <w:lang w:val="zh-CN"/>
    </w:rPr>
  </w:style>
  <w:style w:type="character" w:customStyle="1" w:styleId="98">
    <w:name w:val="标题 1 Char"/>
    <w:qFormat/>
    <w:uiPriority w:val="9"/>
    <w:rPr>
      <w:rFonts w:ascii="宋体" w:hAnsi="Times New Roman" w:eastAsia="宋体" w:cs="Times New Roman"/>
      <w:kern w:val="0"/>
      <w:sz w:val="24"/>
      <w:szCs w:val="24"/>
    </w:rPr>
  </w:style>
  <w:style w:type="character" w:customStyle="1" w:styleId="99">
    <w:name w:val="正文文本 Char2"/>
    <w:qFormat/>
    <w:uiPriority w:val="99"/>
    <w:rPr>
      <w:rFonts w:ascii="宋体" w:eastAsia="宋体"/>
      <w:b/>
      <w:bCs/>
      <w:sz w:val="84"/>
      <w:szCs w:val="84"/>
      <w:lang w:val="zh-CN"/>
    </w:rPr>
  </w:style>
  <w:style w:type="character" w:customStyle="1" w:styleId="100">
    <w:name w:val="纯文本 Char2"/>
    <w:link w:val="21"/>
    <w:qFormat/>
    <w:uiPriority w:val="0"/>
    <w:rPr>
      <w:rFonts w:ascii="宋体" w:hAnsi="Courier New" w:eastAsia="宋体"/>
    </w:rPr>
  </w:style>
  <w:style w:type="character" w:customStyle="1" w:styleId="101">
    <w:name w:val="正文文本缩进 2 Char"/>
    <w:link w:val="23"/>
    <w:qFormat/>
    <w:uiPriority w:val="0"/>
    <w:rPr>
      <w:rFonts w:ascii="宋体" w:hAnsi="Times New Roman" w:eastAsia="宋体" w:cs="Times New Roman"/>
      <w:szCs w:val="20"/>
    </w:rPr>
  </w:style>
  <w:style w:type="character" w:customStyle="1" w:styleId="102">
    <w:name w:val="HTML Markup"/>
    <w:qFormat/>
    <w:uiPriority w:val="0"/>
    <w:rPr>
      <w:vanish/>
      <w:color w:val="FF0000"/>
    </w:rPr>
  </w:style>
  <w:style w:type="character" w:customStyle="1" w:styleId="103">
    <w:name w:val="页眉 Char1"/>
    <w:qFormat/>
    <w:uiPriority w:val="0"/>
    <w:rPr>
      <w:rFonts w:ascii="宋体" w:hAnsi="Times New Roman" w:eastAsia="宋体" w:cs="Times New Roman"/>
      <w:kern w:val="0"/>
      <w:sz w:val="18"/>
      <w:szCs w:val="18"/>
    </w:rPr>
  </w:style>
  <w:style w:type="character" w:customStyle="1" w:styleId="104">
    <w:name w:val="font11"/>
    <w:basedOn w:val="39"/>
    <w:qFormat/>
    <w:uiPriority w:val="0"/>
    <w:rPr>
      <w:rFonts w:hint="eastAsia" w:ascii="宋体" w:hAnsi="宋体" w:eastAsia="宋体" w:cs="宋体"/>
      <w:color w:val="FF0000"/>
      <w:sz w:val="22"/>
      <w:szCs w:val="22"/>
      <w:u w:val="none"/>
    </w:rPr>
  </w:style>
  <w:style w:type="character" w:customStyle="1" w:styleId="105">
    <w:name w:val="style61"/>
    <w:qFormat/>
    <w:uiPriority w:val="0"/>
    <w:rPr>
      <w:b/>
      <w:bCs/>
    </w:rPr>
  </w:style>
  <w:style w:type="character" w:customStyle="1" w:styleId="106">
    <w:name w:val="表头文字 Char"/>
    <w:link w:val="107"/>
    <w:qFormat/>
    <w:uiPriority w:val="0"/>
    <w:rPr>
      <w:rFonts w:eastAsia="仿宋_GB2312"/>
      <w:b/>
      <w:sz w:val="28"/>
      <w:szCs w:val="21"/>
    </w:rPr>
  </w:style>
  <w:style w:type="paragraph" w:customStyle="1" w:styleId="107">
    <w:name w:val="表头文字"/>
    <w:basedOn w:val="1"/>
    <w:link w:val="106"/>
    <w:qFormat/>
    <w:uiPriority w:val="0"/>
    <w:pPr>
      <w:adjustRightInd w:val="0"/>
      <w:snapToGrid w:val="0"/>
      <w:spacing w:before="120" w:line="360" w:lineRule="auto"/>
      <w:jc w:val="center"/>
      <w:textAlignment w:val="baseline"/>
    </w:pPr>
    <w:rPr>
      <w:rFonts w:eastAsia="仿宋_GB2312"/>
      <w:b/>
      <w:sz w:val="28"/>
      <w:szCs w:val="21"/>
    </w:rPr>
  </w:style>
  <w:style w:type="character" w:customStyle="1" w:styleId="108">
    <w:name w:val="日期 Char1"/>
    <w:link w:val="22"/>
    <w:qFormat/>
    <w:uiPriority w:val="99"/>
    <w:rPr>
      <w:rFonts w:ascii="宋体" w:hAnsi="Times New Roman" w:eastAsia="宋体" w:cs="Times New Roman"/>
      <w:b/>
      <w:bCs/>
      <w:szCs w:val="21"/>
      <w:lang w:val="zh-CN"/>
    </w:rPr>
  </w:style>
  <w:style w:type="character" w:customStyle="1" w:styleId="109">
    <w:name w:val="纯文本 Char1"/>
    <w:qFormat/>
    <w:uiPriority w:val="0"/>
    <w:rPr>
      <w:rFonts w:ascii="宋体" w:hAnsi="Courier New" w:eastAsia="宋体" w:cs="Courier New"/>
      <w:kern w:val="0"/>
      <w:szCs w:val="21"/>
    </w:rPr>
  </w:style>
  <w:style w:type="character" w:customStyle="1" w:styleId="110">
    <w:name w:val="批注主题 Char1"/>
    <w:link w:val="35"/>
    <w:qFormat/>
    <w:uiPriority w:val="99"/>
    <w:rPr>
      <w:rFonts w:ascii="宋体" w:hAnsi="Times New Roman" w:eastAsia="宋体" w:cs="Times New Roman"/>
      <w:b/>
      <w:bCs/>
      <w:kern w:val="0"/>
      <w:sz w:val="24"/>
      <w:szCs w:val="24"/>
    </w:rPr>
  </w:style>
  <w:style w:type="character" w:customStyle="1" w:styleId="111">
    <w:name w:val="纯文本 字符"/>
    <w:qFormat/>
    <w:uiPriority w:val="99"/>
    <w:rPr>
      <w:rFonts w:ascii="宋体" w:hAnsi="Courier New" w:eastAsia="宋体" w:cs="Times New Roman"/>
      <w:szCs w:val="20"/>
      <w:lang w:val="en-US" w:eastAsia="zh-CN"/>
    </w:rPr>
  </w:style>
  <w:style w:type="character" w:customStyle="1" w:styleId="112">
    <w:name w:val="font71"/>
    <w:qFormat/>
    <w:uiPriority w:val="0"/>
    <w:rPr>
      <w:rFonts w:hint="eastAsia" w:ascii="宋体" w:hAnsi="宋体" w:eastAsia="宋体" w:cs="宋体"/>
      <w:color w:val="FF0000"/>
      <w:sz w:val="18"/>
      <w:szCs w:val="18"/>
      <w:u w:val="none"/>
    </w:rPr>
  </w:style>
  <w:style w:type="character" w:customStyle="1" w:styleId="113">
    <w:name w:val="font21"/>
    <w:qFormat/>
    <w:uiPriority w:val="0"/>
    <w:rPr>
      <w:rFonts w:hint="eastAsia" w:ascii="宋体" w:hAnsi="宋体" w:eastAsia="宋体" w:cs="宋体"/>
      <w:b/>
      <w:color w:val="000000"/>
      <w:sz w:val="21"/>
      <w:szCs w:val="21"/>
      <w:u w:val="none"/>
    </w:rPr>
  </w:style>
  <w:style w:type="character" w:customStyle="1" w:styleId="114">
    <w:name w:val="纯文本 字符3"/>
    <w:semiHidden/>
    <w:qFormat/>
    <w:uiPriority w:val="99"/>
    <w:rPr>
      <w:rFonts w:ascii="等线" w:hAnsi="Courier New" w:cs="Courier New"/>
      <w:kern w:val="0"/>
      <w:sz w:val="24"/>
      <w:szCs w:val="24"/>
    </w:rPr>
  </w:style>
  <w:style w:type="character" w:customStyle="1" w:styleId="115">
    <w:name w:val="font31"/>
    <w:qFormat/>
    <w:uiPriority w:val="0"/>
    <w:rPr>
      <w:rFonts w:hint="eastAsia" w:ascii="宋体" w:hAnsi="宋体" w:eastAsia="宋体" w:cs="宋体"/>
      <w:color w:val="000000"/>
      <w:sz w:val="18"/>
      <w:szCs w:val="18"/>
      <w:u w:val="none"/>
    </w:rPr>
  </w:style>
  <w:style w:type="character" w:customStyle="1" w:styleId="116">
    <w:name w:val="文档结构图 Char"/>
    <w:link w:val="15"/>
    <w:semiHidden/>
    <w:qFormat/>
    <w:uiPriority w:val="99"/>
    <w:rPr>
      <w:rFonts w:ascii="宋体" w:hAnsi="Times New Roman" w:eastAsia="宋体" w:cs="Times New Roman"/>
      <w:kern w:val="0"/>
      <w:sz w:val="24"/>
      <w:szCs w:val="24"/>
      <w:shd w:val="clear" w:color="auto" w:fill="000080"/>
    </w:rPr>
  </w:style>
  <w:style w:type="character" w:customStyle="1" w:styleId="117">
    <w:name w:val="普通(网站) 字符1"/>
    <w:qFormat/>
    <w:locked/>
    <w:uiPriority w:val="0"/>
    <w:rPr>
      <w:rFonts w:ascii="宋体" w:hAnsi="宋体"/>
      <w:sz w:val="15"/>
      <w:szCs w:val="15"/>
    </w:rPr>
  </w:style>
  <w:style w:type="character" w:customStyle="1" w:styleId="118">
    <w:name w:val="正文文本 Char3"/>
    <w:link w:val="2"/>
    <w:qFormat/>
    <w:uiPriority w:val="99"/>
    <w:rPr>
      <w:rFonts w:ascii="宋体" w:eastAsia="宋体"/>
      <w:b/>
      <w:bCs/>
      <w:sz w:val="84"/>
      <w:szCs w:val="84"/>
      <w:lang w:val="zh-CN"/>
    </w:rPr>
  </w:style>
  <w:style w:type="character" w:customStyle="1" w:styleId="119">
    <w:name w:val="标题 5 Char"/>
    <w:semiHidden/>
    <w:qFormat/>
    <w:uiPriority w:val="9"/>
    <w:rPr>
      <w:b/>
      <w:bCs/>
      <w:kern w:val="2"/>
      <w:sz w:val="28"/>
      <w:szCs w:val="28"/>
    </w:rPr>
  </w:style>
  <w:style w:type="character" w:customStyle="1" w:styleId="120">
    <w:name w:val="页眉 Char2"/>
    <w:link w:val="26"/>
    <w:qFormat/>
    <w:uiPriority w:val="99"/>
    <w:rPr>
      <w:rFonts w:ascii="宋体" w:eastAsia="宋体"/>
      <w:sz w:val="18"/>
      <w:szCs w:val="18"/>
    </w:rPr>
  </w:style>
  <w:style w:type="character" w:customStyle="1" w:styleId="121">
    <w:name w:val="表格文字 Char"/>
    <w:link w:val="122"/>
    <w:qFormat/>
    <w:uiPriority w:val="0"/>
    <w:rPr>
      <w:rFonts w:eastAsia="仿宋_GB2312"/>
      <w:sz w:val="28"/>
      <w:szCs w:val="24"/>
    </w:rPr>
  </w:style>
  <w:style w:type="paragraph" w:customStyle="1" w:styleId="122">
    <w:name w:val="表格文字"/>
    <w:basedOn w:val="1"/>
    <w:link w:val="121"/>
    <w:qFormat/>
    <w:uiPriority w:val="0"/>
    <w:rPr>
      <w:rFonts w:eastAsia="仿宋_GB2312"/>
      <w:sz w:val="28"/>
      <w:szCs w:val="24"/>
    </w:rPr>
  </w:style>
  <w:style w:type="character" w:customStyle="1" w:styleId="123">
    <w:name w:val="标题 字符2"/>
    <w:qFormat/>
    <w:uiPriority w:val="10"/>
    <w:rPr>
      <w:rFonts w:ascii="等线 Light" w:hAnsi="等线 Light" w:eastAsia="等线 Light" w:cs="Times New Roman"/>
      <w:b/>
      <w:bCs/>
      <w:kern w:val="0"/>
      <w:sz w:val="32"/>
      <w:szCs w:val="32"/>
    </w:rPr>
  </w:style>
  <w:style w:type="character" w:customStyle="1" w:styleId="124">
    <w:name w:val="正文缩进2格 Char Char"/>
    <w:qFormat/>
    <w:uiPriority w:val="0"/>
    <w:rPr>
      <w:rFonts w:ascii="仿宋_GB2312" w:hAnsi="宋体" w:eastAsia="仿宋_GB2312"/>
      <w:kern w:val="2"/>
      <w:sz w:val="31"/>
      <w:szCs w:val="28"/>
      <w:lang w:val="en-US" w:eastAsia="zh-CN" w:bidi="ar-SA"/>
    </w:rPr>
  </w:style>
  <w:style w:type="character" w:customStyle="1" w:styleId="125">
    <w:name w:val="小 Char"/>
    <w:qFormat/>
    <w:uiPriority w:val="0"/>
    <w:rPr>
      <w:rFonts w:ascii="宋体" w:hAnsi="Courier New" w:eastAsia="宋体"/>
      <w:kern w:val="2"/>
      <w:sz w:val="21"/>
      <w:lang w:val="en-US" w:eastAsia="zh-CN" w:bidi="ar-SA"/>
    </w:rPr>
  </w:style>
  <w:style w:type="character" w:customStyle="1" w:styleId="126">
    <w:name w:val="themebody1"/>
    <w:qFormat/>
    <w:uiPriority w:val="0"/>
    <w:rPr>
      <w:color w:val="FFFFFF"/>
    </w:rPr>
  </w:style>
  <w:style w:type="character" w:customStyle="1" w:styleId="127">
    <w:name w:val="页脚 字符1"/>
    <w:semiHidden/>
    <w:qFormat/>
    <w:uiPriority w:val="99"/>
    <w:rPr>
      <w:rFonts w:ascii="宋体" w:hAnsi="Calibri" w:eastAsia="宋体" w:cs="Times New Roman"/>
      <w:kern w:val="0"/>
      <w:sz w:val="18"/>
      <w:szCs w:val="18"/>
    </w:rPr>
  </w:style>
  <w:style w:type="character" w:customStyle="1" w:styleId="128">
    <w:name w:val="列出段落 Char"/>
    <w:link w:val="129"/>
    <w:qFormat/>
    <w:uiPriority w:val="34"/>
    <w:rPr>
      <w:kern w:val="2"/>
      <w:sz w:val="21"/>
      <w:szCs w:val="22"/>
    </w:rPr>
  </w:style>
  <w:style w:type="paragraph" w:styleId="129">
    <w:name w:val="List Paragraph"/>
    <w:basedOn w:val="1"/>
    <w:link w:val="128"/>
    <w:qFormat/>
    <w:uiPriority w:val="34"/>
    <w:pPr>
      <w:ind w:firstLine="420" w:firstLineChars="200"/>
    </w:pPr>
  </w:style>
  <w:style w:type="character" w:customStyle="1" w:styleId="130">
    <w:name w:val="正文文本 Char"/>
    <w:qFormat/>
    <w:uiPriority w:val="99"/>
    <w:rPr>
      <w:rFonts w:ascii="宋体" w:eastAsia="宋体"/>
      <w:b/>
      <w:bCs/>
      <w:sz w:val="84"/>
      <w:szCs w:val="84"/>
      <w:lang w:val="zh-CN"/>
    </w:rPr>
  </w:style>
  <w:style w:type="character" w:customStyle="1" w:styleId="131">
    <w:name w:val="页眉 字符1"/>
    <w:semiHidden/>
    <w:qFormat/>
    <w:uiPriority w:val="99"/>
    <w:rPr>
      <w:rFonts w:ascii="宋体" w:hAnsi="Calibri" w:eastAsia="宋体" w:cs="Times New Roman"/>
      <w:kern w:val="0"/>
      <w:sz w:val="18"/>
      <w:szCs w:val="18"/>
    </w:rPr>
  </w:style>
  <w:style w:type="character" w:customStyle="1" w:styleId="132">
    <w:name w:val="标题 5 Char1"/>
    <w:link w:val="7"/>
    <w:qFormat/>
    <w:uiPriority w:val="9"/>
    <w:rPr>
      <w:rFonts w:ascii="宋体" w:hAnsi="Calibri" w:eastAsia="宋体" w:cs="Times New Roman"/>
      <w:b/>
      <w:bCs/>
      <w:kern w:val="0"/>
      <w:sz w:val="28"/>
      <w:szCs w:val="28"/>
    </w:rPr>
  </w:style>
  <w:style w:type="character" w:customStyle="1" w:styleId="133">
    <w:name w:val="keyfeatures1"/>
    <w:qFormat/>
    <w:uiPriority w:val="0"/>
    <w:rPr>
      <w:rFonts w:hint="default" w:ascii="Arial" w:hAnsi="Arial" w:cs="Arial"/>
      <w:color w:val="003366"/>
      <w:sz w:val="17"/>
      <w:szCs w:val="17"/>
      <w:u w:val="none"/>
    </w:rPr>
  </w:style>
  <w:style w:type="character" w:customStyle="1" w:styleId="134">
    <w:name w:val="题注 字符"/>
    <w:qFormat/>
    <w:uiPriority w:val="0"/>
    <w:rPr>
      <w:rFonts w:ascii="宋体" w:hAnsi="宋体" w:eastAsia="黑体" w:cs="Times New Roman"/>
      <w:b/>
      <w:szCs w:val="21"/>
    </w:rPr>
  </w:style>
  <w:style w:type="character" w:customStyle="1" w:styleId="135">
    <w:name w:val="标题 4 Char"/>
    <w:qFormat/>
    <w:uiPriority w:val="0"/>
    <w:rPr>
      <w:rFonts w:ascii="宋体" w:hAnsi="宋体" w:eastAsia="宋体"/>
      <w:b/>
      <w:kern w:val="2"/>
      <w:sz w:val="21"/>
      <w:szCs w:val="24"/>
      <w:lang w:val="en-US" w:eastAsia="zh-CN" w:bidi="ar-SA"/>
    </w:rPr>
  </w:style>
  <w:style w:type="character" w:customStyle="1" w:styleId="136">
    <w:name w:val="批注文字 字符3"/>
    <w:semiHidden/>
    <w:qFormat/>
    <w:uiPriority w:val="99"/>
    <w:rPr>
      <w:rFonts w:ascii="宋体" w:hAnsi="Calibri" w:eastAsia="宋体" w:cs="Times New Roman"/>
      <w:kern w:val="0"/>
      <w:sz w:val="24"/>
      <w:szCs w:val="24"/>
    </w:rPr>
  </w:style>
  <w:style w:type="character" w:customStyle="1" w:styleId="137">
    <w:name w:val="纯文本 字符1"/>
    <w:qFormat/>
    <w:uiPriority w:val="0"/>
    <w:rPr>
      <w:rFonts w:ascii="宋体" w:hAnsi="Courier New" w:eastAsia="宋体"/>
      <w:kern w:val="2"/>
      <w:sz w:val="21"/>
      <w:szCs w:val="24"/>
      <w:lang w:val="en-US" w:eastAsia="zh-CN" w:bidi="ar-SA"/>
    </w:rPr>
  </w:style>
  <w:style w:type="character" w:customStyle="1" w:styleId="138">
    <w:name w:val="列出段落 Char1"/>
    <w:qFormat/>
    <w:uiPriority w:val="34"/>
    <w:rPr>
      <w:rFonts w:ascii="宋体"/>
      <w:sz w:val="24"/>
      <w:szCs w:val="24"/>
    </w:rPr>
  </w:style>
  <w:style w:type="character" w:customStyle="1" w:styleId="139">
    <w:name w:val="彩色列表 - 着色 1 字符"/>
    <w:link w:val="140"/>
    <w:qFormat/>
    <w:uiPriority w:val="0"/>
    <w:rPr>
      <w:rFonts w:ascii="Calibri" w:hAnsi="Calibri"/>
    </w:rPr>
  </w:style>
  <w:style w:type="paragraph" w:customStyle="1" w:styleId="140">
    <w:name w:val="彩色列表 - 着色 11"/>
    <w:basedOn w:val="1"/>
    <w:link w:val="139"/>
    <w:qFormat/>
    <w:uiPriority w:val="0"/>
    <w:pPr>
      <w:ind w:firstLine="420" w:firstLineChars="200"/>
    </w:pPr>
    <w:rPr>
      <w:rFonts w:ascii="Calibri" w:hAnsi="Calibri"/>
    </w:rPr>
  </w:style>
  <w:style w:type="character" w:customStyle="1" w:styleId="141">
    <w:name w:val="纯文本 Char"/>
    <w:qFormat/>
    <w:uiPriority w:val="0"/>
    <w:rPr>
      <w:rFonts w:ascii="宋体" w:hAnsi="Courier New" w:eastAsia="宋体" w:cs="Times New Roman"/>
      <w:szCs w:val="20"/>
    </w:rPr>
  </w:style>
  <w:style w:type="character" w:customStyle="1" w:styleId="142">
    <w:name w:val="标题 6 Char"/>
    <w:link w:val="8"/>
    <w:qFormat/>
    <w:uiPriority w:val="9"/>
    <w:rPr>
      <w:rFonts w:ascii="Times New Roman" w:hAnsi="Calibri" w:eastAsia="黑体" w:cs="Times New Roman"/>
      <w:b/>
      <w:bCs/>
      <w:kern w:val="0"/>
      <w:sz w:val="28"/>
      <w:szCs w:val="24"/>
    </w:rPr>
  </w:style>
  <w:style w:type="character" w:customStyle="1" w:styleId="143">
    <w:name w:val="正文文本 2 Char"/>
    <w:link w:val="31"/>
    <w:qFormat/>
    <w:uiPriority w:val="0"/>
    <w:rPr>
      <w:rFonts w:ascii="Arial" w:hAnsi="Arial" w:eastAsia="宋体" w:cs="Times New Roman"/>
      <w:color w:val="000000"/>
      <w:szCs w:val="24"/>
    </w:rPr>
  </w:style>
  <w:style w:type="character" w:customStyle="1" w:styleId="144">
    <w:name w:val="标题 3 Char"/>
    <w:link w:val="5"/>
    <w:qFormat/>
    <w:uiPriority w:val="0"/>
    <w:rPr>
      <w:rFonts w:ascii="宋体" w:hAnsi="Calibri" w:eastAsia="宋体" w:cs="Times New Roman"/>
      <w:kern w:val="0"/>
      <w:sz w:val="24"/>
      <w:szCs w:val="24"/>
    </w:rPr>
  </w:style>
  <w:style w:type="character" w:customStyle="1" w:styleId="145">
    <w:name w:val="正文文本缩进 2 字符1"/>
    <w:semiHidden/>
    <w:qFormat/>
    <w:uiPriority w:val="99"/>
    <w:rPr>
      <w:rFonts w:ascii="宋体" w:hAnsi="Calibri" w:eastAsia="宋体" w:cs="Times New Roman"/>
      <w:kern w:val="0"/>
      <w:sz w:val="24"/>
      <w:szCs w:val="24"/>
    </w:rPr>
  </w:style>
  <w:style w:type="character" w:customStyle="1" w:styleId="146">
    <w:name w:val="正文文本缩进 3 字符1"/>
    <w:semiHidden/>
    <w:qFormat/>
    <w:uiPriority w:val="99"/>
    <w:rPr>
      <w:rFonts w:ascii="宋体" w:hAnsi="Calibri" w:eastAsia="宋体" w:cs="Times New Roman"/>
      <w:kern w:val="0"/>
      <w:sz w:val="16"/>
      <w:szCs w:val="16"/>
    </w:rPr>
  </w:style>
  <w:style w:type="character" w:customStyle="1" w:styleId="147">
    <w:name w:val="正文文本 2 字符1"/>
    <w:semiHidden/>
    <w:qFormat/>
    <w:uiPriority w:val="99"/>
    <w:rPr>
      <w:rFonts w:ascii="宋体" w:hAnsi="Calibri" w:eastAsia="宋体" w:cs="Times New Roman"/>
      <w:kern w:val="0"/>
      <w:sz w:val="24"/>
      <w:szCs w:val="24"/>
    </w:rPr>
  </w:style>
  <w:style w:type="character" w:customStyle="1" w:styleId="148">
    <w:name w:val="eschoolnr"/>
    <w:qFormat/>
    <w:uiPriority w:val="0"/>
    <w:rPr>
      <w:sz w:val="23"/>
      <w:szCs w:val="23"/>
    </w:rPr>
  </w:style>
  <w:style w:type="character" w:customStyle="1" w:styleId="149">
    <w:name w:val="访问过的超链接1"/>
    <w:qFormat/>
    <w:uiPriority w:val="0"/>
    <w:rPr>
      <w:rFonts w:ascii="Arial" w:hAnsi="Arial" w:cs="Arial"/>
      <w:color w:val="000000"/>
      <w:sz w:val="20"/>
      <w:szCs w:val="20"/>
      <w:u w:val="none"/>
    </w:rPr>
  </w:style>
  <w:style w:type="character" w:customStyle="1" w:styleId="150">
    <w:name w:val="标题 1 Char1"/>
    <w:link w:val="3"/>
    <w:qFormat/>
    <w:uiPriority w:val="0"/>
    <w:rPr>
      <w:rFonts w:ascii="宋体" w:hAnsi="Calibri" w:eastAsia="宋体" w:cs="Times New Roman"/>
      <w:kern w:val="0"/>
      <w:sz w:val="24"/>
      <w:szCs w:val="24"/>
    </w:rPr>
  </w:style>
  <w:style w:type="character" w:customStyle="1" w:styleId="151">
    <w:name w:val="批注文字 Char1"/>
    <w:qFormat/>
    <w:uiPriority w:val="0"/>
    <w:rPr>
      <w:kern w:val="2"/>
      <w:sz w:val="21"/>
      <w:szCs w:val="24"/>
    </w:rPr>
  </w:style>
  <w:style w:type="character" w:customStyle="1" w:styleId="152">
    <w:name w:val="批注框文本 Char"/>
    <w:semiHidden/>
    <w:qFormat/>
    <w:uiPriority w:val="99"/>
    <w:rPr>
      <w:kern w:val="2"/>
      <w:sz w:val="18"/>
      <w:szCs w:val="18"/>
    </w:rPr>
  </w:style>
  <w:style w:type="character" w:customStyle="1" w:styleId="153">
    <w:name w:val="DAS正文 Char"/>
    <w:qFormat/>
    <w:uiPriority w:val="0"/>
    <w:rPr>
      <w:rFonts w:ascii="Verdana" w:hAnsi="Verdana" w:eastAsia="宋体"/>
      <w:kern w:val="2"/>
      <w:sz w:val="21"/>
      <w:szCs w:val="21"/>
      <w:lang w:val="en-US" w:eastAsia="zh-CN" w:bidi="ar-SA"/>
    </w:rPr>
  </w:style>
  <w:style w:type="character" w:customStyle="1" w:styleId="154">
    <w:name w:val="正文文本缩进 3 Char"/>
    <w:link w:val="29"/>
    <w:qFormat/>
    <w:uiPriority w:val="0"/>
    <w:rPr>
      <w:rFonts w:ascii="宋体" w:hAnsi="Times New Roman" w:eastAsia="宋体" w:cs="Times New Roman"/>
      <w:kern w:val="0"/>
      <w:sz w:val="24"/>
      <w:szCs w:val="24"/>
    </w:rPr>
  </w:style>
  <w:style w:type="character" w:customStyle="1" w:styleId="155">
    <w:name w:val="页眉 Char"/>
    <w:qFormat/>
    <w:uiPriority w:val="99"/>
    <w:rPr>
      <w:kern w:val="2"/>
      <w:sz w:val="18"/>
      <w:szCs w:val="18"/>
    </w:rPr>
  </w:style>
  <w:style w:type="character" w:customStyle="1" w:styleId="156">
    <w:name w:val="正文文本 3 Char"/>
    <w:link w:val="18"/>
    <w:qFormat/>
    <w:uiPriority w:val="0"/>
    <w:rPr>
      <w:rFonts w:ascii="宋体" w:hAnsi="Times New Roman" w:eastAsia="宋体" w:cs="Times New Roman"/>
      <w:b/>
      <w:bCs/>
      <w:color w:val="3366FF"/>
      <w:sz w:val="52"/>
      <w:szCs w:val="52"/>
      <w:lang w:val="zh-CN"/>
    </w:rPr>
  </w:style>
  <w:style w:type="character" w:customStyle="1" w:styleId="157">
    <w:name w:val="HTML 预设格式 字符1"/>
    <w:semiHidden/>
    <w:qFormat/>
    <w:uiPriority w:val="99"/>
    <w:rPr>
      <w:rFonts w:ascii="Courier New" w:hAnsi="Courier New" w:eastAsia="宋体" w:cs="Courier New"/>
      <w:kern w:val="0"/>
      <w:sz w:val="20"/>
      <w:szCs w:val="20"/>
    </w:rPr>
  </w:style>
  <w:style w:type="character" w:customStyle="1" w:styleId="158">
    <w:name w:val="彩色列表 - 强调文字颜色 1 Char"/>
    <w:link w:val="159"/>
    <w:qFormat/>
    <w:uiPriority w:val="0"/>
    <w:rPr>
      <w:rFonts w:ascii="宋体"/>
      <w:sz w:val="24"/>
      <w:szCs w:val="24"/>
    </w:rPr>
  </w:style>
  <w:style w:type="paragraph" w:customStyle="1" w:styleId="159">
    <w:name w:val="彩色列表 - 强调文字颜色 11"/>
    <w:basedOn w:val="1"/>
    <w:link w:val="158"/>
    <w:qFormat/>
    <w:uiPriority w:val="0"/>
    <w:pPr>
      <w:autoSpaceDE w:val="0"/>
      <w:autoSpaceDN w:val="0"/>
      <w:adjustRightInd w:val="0"/>
      <w:ind w:firstLine="420" w:firstLineChars="200"/>
      <w:jc w:val="left"/>
    </w:pPr>
    <w:rPr>
      <w:rFonts w:ascii="宋体"/>
      <w:sz w:val="24"/>
      <w:szCs w:val="24"/>
    </w:rPr>
  </w:style>
  <w:style w:type="character" w:customStyle="1" w:styleId="160">
    <w:name w:val="普通(网站) 字符"/>
    <w:qFormat/>
    <w:locked/>
    <w:uiPriority w:val="99"/>
    <w:rPr>
      <w:rFonts w:ascii="宋体" w:hAnsi="宋体" w:eastAsia="宋体" w:cs="Times New Roman"/>
      <w:kern w:val="0"/>
      <w:sz w:val="15"/>
      <w:szCs w:val="15"/>
      <w:lang w:val="en-US" w:eastAsia="zh-CN"/>
    </w:rPr>
  </w:style>
  <w:style w:type="paragraph" w:customStyle="1" w:styleId="161">
    <w:name w:val="_Style 123"/>
    <w:basedOn w:val="1"/>
    <w:next w:val="129"/>
    <w:qFormat/>
    <w:uiPriority w:val="34"/>
    <w:pPr>
      <w:spacing w:line="360" w:lineRule="auto"/>
      <w:ind w:firstLine="420" w:firstLineChars="200"/>
    </w:pPr>
    <w:rPr>
      <w:rFonts w:ascii="Calibri" w:hAnsi="Calibri" w:eastAsia="宋体" w:cs="Times New Roman"/>
    </w:rPr>
  </w:style>
  <w:style w:type="character" w:customStyle="1" w:styleId="162">
    <w:name w:val="纯文本 字符4"/>
    <w:basedOn w:val="39"/>
    <w:semiHidden/>
    <w:qFormat/>
    <w:uiPriority w:val="99"/>
    <w:rPr>
      <w:rFonts w:hAnsi="Courier New" w:cs="Courier New" w:asciiTheme="minorEastAsia"/>
    </w:rPr>
  </w:style>
  <w:style w:type="character" w:customStyle="1" w:styleId="163">
    <w:name w:val="批注文字 Char2"/>
    <w:basedOn w:val="39"/>
    <w:link w:val="17"/>
    <w:semiHidden/>
    <w:qFormat/>
    <w:uiPriority w:val="99"/>
  </w:style>
  <w:style w:type="character" w:customStyle="1" w:styleId="164">
    <w:name w:val="批注主题 字符2"/>
    <w:basedOn w:val="163"/>
    <w:semiHidden/>
    <w:qFormat/>
    <w:uiPriority w:val="99"/>
    <w:rPr>
      <w:b/>
      <w:bCs/>
    </w:rPr>
  </w:style>
  <w:style w:type="character" w:customStyle="1" w:styleId="165">
    <w:name w:val="标题 字符3"/>
    <w:basedOn w:val="39"/>
    <w:qFormat/>
    <w:uiPriority w:val="10"/>
    <w:rPr>
      <w:rFonts w:asciiTheme="majorHAnsi" w:hAnsiTheme="majorHAnsi" w:eastAsiaTheme="majorEastAsia" w:cstheme="majorBidi"/>
      <w:b/>
      <w:bCs/>
      <w:sz w:val="32"/>
      <w:szCs w:val="32"/>
    </w:rPr>
  </w:style>
  <w:style w:type="character" w:customStyle="1" w:styleId="166">
    <w:name w:val="正文文本缩进 字符3"/>
    <w:basedOn w:val="39"/>
    <w:semiHidden/>
    <w:qFormat/>
    <w:uiPriority w:val="99"/>
  </w:style>
  <w:style w:type="character" w:customStyle="1" w:styleId="167">
    <w:name w:val="正文文本 字符4"/>
    <w:basedOn w:val="39"/>
    <w:semiHidden/>
    <w:qFormat/>
    <w:uiPriority w:val="99"/>
  </w:style>
  <w:style w:type="character" w:customStyle="1" w:styleId="168">
    <w:name w:val="正文文本缩进 3 字符2"/>
    <w:basedOn w:val="39"/>
    <w:semiHidden/>
    <w:qFormat/>
    <w:uiPriority w:val="99"/>
    <w:rPr>
      <w:sz w:val="16"/>
      <w:szCs w:val="16"/>
    </w:rPr>
  </w:style>
  <w:style w:type="character" w:customStyle="1" w:styleId="169">
    <w:name w:val="页眉 字符2"/>
    <w:basedOn w:val="39"/>
    <w:semiHidden/>
    <w:qFormat/>
    <w:uiPriority w:val="99"/>
    <w:rPr>
      <w:sz w:val="18"/>
      <w:szCs w:val="18"/>
    </w:rPr>
  </w:style>
  <w:style w:type="character" w:customStyle="1" w:styleId="170">
    <w:name w:val="批注框文本 字符2"/>
    <w:basedOn w:val="39"/>
    <w:semiHidden/>
    <w:qFormat/>
    <w:uiPriority w:val="99"/>
    <w:rPr>
      <w:sz w:val="18"/>
      <w:szCs w:val="18"/>
    </w:rPr>
  </w:style>
  <w:style w:type="character" w:customStyle="1" w:styleId="171">
    <w:name w:val="HTML 预设格式 字符2"/>
    <w:basedOn w:val="39"/>
    <w:semiHidden/>
    <w:qFormat/>
    <w:uiPriority w:val="99"/>
    <w:rPr>
      <w:rFonts w:ascii="Courier New" w:hAnsi="Courier New" w:cs="Courier New"/>
      <w:sz w:val="20"/>
      <w:szCs w:val="20"/>
    </w:rPr>
  </w:style>
  <w:style w:type="character" w:customStyle="1" w:styleId="172">
    <w:name w:val="页脚 字符2"/>
    <w:basedOn w:val="39"/>
    <w:semiHidden/>
    <w:qFormat/>
    <w:uiPriority w:val="99"/>
    <w:rPr>
      <w:sz w:val="18"/>
      <w:szCs w:val="18"/>
    </w:rPr>
  </w:style>
  <w:style w:type="character" w:customStyle="1" w:styleId="173">
    <w:name w:val="正文文本缩进 2 字符2"/>
    <w:basedOn w:val="39"/>
    <w:semiHidden/>
    <w:qFormat/>
    <w:uiPriority w:val="99"/>
  </w:style>
  <w:style w:type="character" w:customStyle="1" w:styleId="174">
    <w:name w:val="正文文本 3 字符2"/>
    <w:basedOn w:val="39"/>
    <w:semiHidden/>
    <w:qFormat/>
    <w:uiPriority w:val="99"/>
    <w:rPr>
      <w:sz w:val="16"/>
      <w:szCs w:val="16"/>
    </w:rPr>
  </w:style>
  <w:style w:type="character" w:customStyle="1" w:styleId="175">
    <w:name w:val="正文文本 2 字符2"/>
    <w:basedOn w:val="39"/>
    <w:semiHidden/>
    <w:qFormat/>
    <w:uiPriority w:val="99"/>
  </w:style>
  <w:style w:type="paragraph" w:customStyle="1" w:styleId="176">
    <w:name w:val="WPSOffice手动目录 3"/>
    <w:qFormat/>
    <w:uiPriority w:val="0"/>
    <w:pPr>
      <w:ind w:left="400" w:leftChars="400"/>
    </w:pPr>
    <w:rPr>
      <w:rFonts w:ascii="Calibri" w:hAnsi="Calibri" w:eastAsia="宋体" w:cs="Times New Roman"/>
      <w:lang w:val="en-US" w:eastAsia="zh-CN" w:bidi="ar-SA"/>
    </w:rPr>
  </w:style>
  <w:style w:type="paragraph" w:customStyle="1" w:styleId="177">
    <w:name w:val="列表段落1"/>
    <w:basedOn w:val="1"/>
    <w:qFormat/>
    <w:uiPriority w:val="0"/>
    <w:pPr>
      <w:ind w:firstLine="420" w:firstLineChars="200"/>
    </w:pPr>
    <w:rPr>
      <w:rFonts w:ascii="Times New Roman" w:hAnsi="Times New Roman" w:eastAsia="宋体" w:cs="Times New Roman"/>
      <w:szCs w:val="20"/>
    </w:rPr>
  </w:style>
  <w:style w:type="character" w:customStyle="1" w:styleId="178">
    <w:name w:val="文档结构图 字符2"/>
    <w:basedOn w:val="39"/>
    <w:semiHidden/>
    <w:qFormat/>
    <w:uiPriority w:val="99"/>
    <w:rPr>
      <w:rFonts w:ascii="Microsoft YaHei UI" w:eastAsia="Microsoft YaHei UI"/>
      <w:sz w:val="18"/>
      <w:szCs w:val="18"/>
    </w:rPr>
  </w:style>
  <w:style w:type="character" w:customStyle="1" w:styleId="179">
    <w:name w:val="日期 字符2"/>
    <w:basedOn w:val="39"/>
    <w:semiHidden/>
    <w:qFormat/>
    <w:uiPriority w:val="99"/>
  </w:style>
  <w:style w:type="paragraph" w:customStyle="1" w:styleId="180">
    <w:name w:val="彩色底纹 - 强调文字颜色 11"/>
    <w:semiHidden/>
    <w:qFormat/>
    <w:uiPriority w:val="99"/>
    <w:rPr>
      <w:rFonts w:ascii="宋体" w:hAnsi="Calibri" w:eastAsia="宋体" w:cs="Times New Roman"/>
      <w:sz w:val="24"/>
      <w:szCs w:val="24"/>
      <w:lang w:val="en-US" w:eastAsia="zh-CN" w:bidi="ar-SA"/>
    </w:rPr>
  </w:style>
  <w:style w:type="paragraph" w:customStyle="1" w:styleId="181">
    <w:name w:val="d"/>
    <w:basedOn w:val="1"/>
    <w:qFormat/>
    <w:uiPriority w:val="0"/>
    <w:pPr>
      <w:overflowPunct w:val="0"/>
      <w:autoSpaceDE w:val="0"/>
      <w:autoSpaceDN w:val="0"/>
      <w:adjustRightInd w:val="0"/>
      <w:snapToGrid w:val="0"/>
      <w:spacing w:line="360" w:lineRule="auto"/>
      <w:ind w:firstLine="480" w:firstLineChars="200"/>
    </w:pPr>
    <w:rPr>
      <w:rFonts w:ascii="宋体" w:hAnsi="宋体" w:eastAsia="宋体" w:cs="Arial"/>
      <w:snapToGrid w:val="0"/>
      <w:kern w:val="0"/>
      <w:sz w:val="24"/>
      <w:szCs w:val="21"/>
    </w:rPr>
  </w:style>
  <w:style w:type="paragraph" w:customStyle="1" w:styleId="182">
    <w:name w:val="修订1"/>
    <w:semiHidden/>
    <w:qFormat/>
    <w:uiPriority w:val="99"/>
    <w:rPr>
      <w:rFonts w:ascii="宋体" w:hAnsi="Calibri" w:eastAsia="宋体" w:cs="Times New Roman"/>
      <w:sz w:val="24"/>
      <w:szCs w:val="24"/>
      <w:lang w:val="en-US" w:eastAsia="zh-CN" w:bidi="ar-SA"/>
    </w:rPr>
  </w:style>
  <w:style w:type="paragraph" w:customStyle="1" w:styleId="183">
    <w:name w:val="图/图注"/>
    <w:basedOn w:val="9"/>
    <w:qFormat/>
    <w:uiPriority w:val="0"/>
    <w:pPr>
      <w:wordWrap/>
      <w:autoSpaceDE/>
      <w:autoSpaceDN/>
      <w:adjustRightInd/>
      <w:spacing w:before="50"/>
      <w:ind w:firstLine="0" w:firstLineChars="0"/>
      <w:jc w:val="center"/>
    </w:pPr>
    <w:rPr>
      <w:rFonts w:ascii="Times New Roman" w:eastAsia="黑体"/>
      <w:b/>
      <w:sz w:val="21"/>
      <w:szCs w:val="22"/>
    </w:rPr>
  </w:style>
  <w:style w:type="paragraph" w:customStyle="1" w:styleId="184">
    <w:name w:val="Default"/>
    <w:qFormat/>
    <w:uiPriority w:val="0"/>
    <w:pPr>
      <w:widowControl w:val="0"/>
      <w:autoSpaceDE w:val="0"/>
      <w:autoSpaceDN w:val="0"/>
      <w:adjustRightInd w:val="0"/>
    </w:pPr>
    <w:rPr>
      <w:rFonts w:ascii="仿宋_GB2312" w:hAnsi="Calibri" w:eastAsia="仿宋_GB2312" w:cs="仿宋_GB2312"/>
      <w:color w:val="000000"/>
      <w:sz w:val="24"/>
      <w:szCs w:val="24"/>
      <w:lang w:val="en-US" w:eastAsia="zh-CN" w:bidi="ar-SA"/>
    </w:rPr>
  </w:style>
  <w:style w:type="paragraph" w:customStyle="1" w:styleId="185">
    <w:name w:val="A."/>
    <w:basedOn w:val="1"/>
    <w:qFormat/>
    <w:uiPriority w:val="0"/>
    <w:pPr>
      <w:widowControl/>
      <w:tabs>
        <w:tab w:val="left" w:pos="859"/>
        <w:tab w:val="left" w:pos="1200"/>
      </w:tabs>
      <w:spacing w:before="240" w:line="240" w:lineRule="atLeast"/>
      <w:ind w:left="859" w:hanging="453"/>
    </w:pPr>
    <w:rPr>
      <w:rFonts w:ascii="Times New Roman" w:hAnsi="Times New Roman" w:eastAsia="宋体" w:cs="Times New Roman"/>
      <w:sz w:val="24"/>
      <w:szCs w:val="24"/>
    </w:rPr>
  </w:style>
  <w:style w:type="paragraph" w:customStyle="1" w:styleId="186">
    <w:name w:val="Pa8"/>
    <w:basedOn w:val="1"/>
    <w:next w:val="1"/>
    <w:qFormat/>
    <w:uiPriority w:val="99"/>
    <w:pPr>
      <w:autoSpaceDE w:val="0"/>
      <w:autoSpaceDN w:val="0"/>
      <w:adjustRightInd w:val="0"/>
      <w:spacing w:line="181" w:lineRule="atLeast"/>
      <w:jc w:val="left"/>
    </w:pPr>
    <w:rPr>
      <w:rFonts w:ascii="FrutigerNext LT Light" w:hAnsi="Calibri" w:eastAsia="FrutigerNext LT Light" w:cs="Times New Roman"/>
      <w:kern w:val="0"/>
      <w:sz w:val="24"/>
      <w:szCs w:val="24"/>
    </w:rPr>
  </w:style>
  <w:style w:type="paragraph" w:customStyle="1" w:styleId="187">
    <w:name w:val="p0"/>
    <w:basedOn w:val="1"/>
    <w:qFormat/>
    <w:uiPriority w:val="0"/>
    <w:pPr>
      <w:widowControl/>
    </w:pPr>
    <w:rPr>
      <w:rFonts w:ascii="Times New Roman" w:hAnsi="Calibri" w:eastAsia="宋体" w:cs="Times New Roman"/>
      <w:kern w:val="0"/>
      <w:szCs w:val="20"/>
    </w:rPr>
  </w:style>
  <w:style w:type="paragraph" w:customStyle="1" w:styleId="188">
    <w:name w:val="Char Char Char Char Char Char"/>
    <w:basedOn w:val="1"/>
    <w:qFormat/>
    <w:uiPriority w:val="0"/>
    <w:pPr>
      <w:widowControl/>
      <w:spacing w:after="160" w:line="240" w:lineRule="exact"/>
      <w:jc w:val="left"/>
    </w:pPr>
    <w:rPr>
      <w:rFonts w:ascii="Times New Roman" w:hAnsi="Times New Roman" w:eastAsia="宋体" w:cs="Times New Roman"/>
      <w:szCs w:val="24"/>
    </w:rPr>
  </w:style>
  <w:style w:type="paragraph" w:customStyle="1" w:styleId="189">
    <w:name w:val="Char"/>
    <w:basedOn w:val="1"/>
    <w:qFormat/>
    <w:uiPriority w:val="0"/>
    <w:pPr>
      <w:widowControl/>
      <w:spacing w:after="160" w:line="240" w:lineRule="exact"/>
      <w:jc w:val="center"/>
    </w:pPr>
    <w:rPr>
      <w:rFonts w:ascii="Times New Roman" w:hAnsi="Times New Roman" w:eastAsia="宋体" w:cs="Times New Roman"/>
      <w:szCs w:val="24"/>
    </w:rPr>
  </w:style>
  <w:style w:type="paragraph" w:customStyle="1" w:styleId="190">
    <w:name w:val="网格表 32"/>
    <w:basedOn w:val="3"/>
    <w:next w:val="1"/>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1">
    <w:name w:val="WPSOffice手动目录 1"/>
    <w:qFormat/>
    <w:uiPriority w:val="0"/>
    <w:rPr>
      <w:rFonts w:ascii="Calibri" w:hAnsi="Calibri" w:eastAsia="宋体" w:cs="Times New Roman"/>
      <w:lang w:val="en-US" w:eastAsia="zh-CN" w:bidi="ar-SA"/>
    </w:rPr>
  </w:style>
  <w:style w:type="paragraph" w:customStyle="1" w:styleId="192">
    <w:name w:val="_Style 69"/>
    <w:basedOn w:val="1"/>
    <w:next w:val="129"/>
    <w:qFormat/>
    <w:uiPriority w:val="34"/>
    <w:pPr>
      <w:spacing w:line="360" w:lineRule="auto"/>
      <w:ind w:firstLine="420" w:firstLineChars="200"/>
    </w:pPr>
    <w:rPr>
      <w:rFonts w:ascii="Calibri" w:hAnsi="Calibri" w:eastAsia="宋体" w:cs="Times New Roman"/>
    </w:rPr>
  </w:style>
  <w:style w:type="paragraph" w:customStyle="1" w:styleId="193">
    <w:name w:val="中等深浅网格 21"/>
    <w:qFormat/>
    <w:uiPriority w:val="1"/>
    <w:pPr>
      <w:widowControl w:val="0"/>
      <w:jc w:val="both"/>
    </w:pPr>
    <w:rPr>
      <w:rFonts w:ascii="Calibri" w:hAnsi="Calibri" w:eastAsia="宋体" w:cs="Times New Roman"/>
      <w:kern w:val="2"/>
      <w:sz w:val="21"/>
      <w:szCs w:val="22"/>
      <w:lang w:val="en-US" w:eastAsia="zh-CN" w:bidi="ar-SA"/>
    </w:rPr>
  </w:style>
  <w:style w:type="paragraph" w:customStyle="1" w:styleId="194">
    <w:name w:val="保留正文"/>
    <w:basedOn w:val="2"/>
    <w:qFormat/>
    <w:uiPriority w:val="0"/>
    <w:pPr>
      <w:keepNext/>
      <w:autoSpaceDE/>
      <w:autoSpaceDN/>
      <w:adjustRightInd/>
      <w:spacing w:after="160"/>
      <w:ind w:right="0"/>
      <w:jc w:val="both"/>
    </w:pPr>
    <w:rPr>
      <w:rFonts w:ascii="Times New Roman"/>
      <w:b w:val="0"/>
      <w:bCs w:val="0"/>
      <w:sz w:val="21"/>
      <w:szCs w:val="24"/>
      <w:lang w:val="en-US"/>
    </w:rPr>
  </w:style>
  <w:style w:type="paragraph" w:customStyle="1" w:styleId="195">
    <w:name w:val="彩色底纹 - 着色 11"/>
    <w:semiHidden/>
    <w:qFormat/>
    <w:uiPriority w:val="99"/>
    <w:rPr>
      <w:rFonts w:ascii="宋体" w:hAnsi="Calibri" w:eastAsia="宋体" w:cs="Times New Roman"/>
      <w:sz w:val="24"/>
      <w:szCs w:val="24"/>
      <w:lang w:val="en-US" w:eastAsia="zh-CN" w:bidi="ar-SA"/>
    </w:rPr>
  </w:style>
  <w:style w:type="paragraph" w:customStyle="1" w:styleId="196">
    <w:name w:val="WPSOffice手动目录 2"/>
    <w:qFormat/>
    <w:uiPriority w:val="0"/>
    <w:pPr>
      <w:ind w:left="200" w:leftChars="200"/>
    </w:pPr>
    <w:rPr>
      <w:rFonts w:ascii="Calibri" w:hAnsi="Calibri" w:eastAsia="宋体" w:cs="Times New Roman"/>
      <w:lang w:val="en-US" w:eastAsia="zh-CN" w:bidi="ar-SA"/>
    </w:rPr>
  </w:style>
  <w:style w:type="paragraph" w:customStyle="1" w:styleId="197">
    <w:name w:val="网格表 31"/>
    <w:basedOn w:val="3"/>
    <w:next w:val="1"/>
    <w:unhideWhenUsed/>
    <w:qFormat/>
    <w:uiPriority w:val="39"/>
    <w:pPr>
      <w:keepNext/>
      <w:keepLines/>
      <w:widowControl/>
      <w:autoSpaceDE/>
      <w:autoSpaceDN/>
      <w:adjustRightInd/>
      <w:spacing w:before="480" w:line="276" w:lineRule="auto"/>
      <w:outlineLvl w:val="9"/>
    </w:pPr>
    <w:rPr>
      <w:rFonts w:ascii="Cambria" w:hAnsi="Cambria"/>
      <w:b/>
      <w:bCs/>
      <w:color w:val="365F91"/>
      <w:sz w:val="28"/>
      <w:szCs w:val="28"/>
    </w:rPr>
  </w:style>
  <w:style w:type="paragraph" w:customStyle="1" w:styleId="198">
    <w:name w:val="表格文字居中"/>
    <w:basedOn w:val="122"/>
    <w:qFormat/>
    <w:uiPriority w:val="0"/>
    <w:pPr>
      <w:jc w:val="center"/>
    </w:pPr>
    <w:rPr>
      <w:rFonts w:cs="宋体"/>
      <w:szCs w:val="20"/>
    </w:rPr>
  </w:style>
  <w:style w:type="paragraph" w:customStyle="1" w:styleId="199">
    <w:name w:val="正文缩进4格"/>
    <w:basedOn w:val="63"/>
    <w:qFormat/>
    <w:uiPriority w:val="0"/>
    <w:pPr>
      <w:spacing w:line="360" w:lineRule="auto"/>
      <w:ind w:left="964" w:leftChars="314" w:hanging="210" w:hangingChars="100"/>
    </w:pPr>
    <w:rPr>
      <w:rFonts w:ascii="宋体" w:eastAsia="宋体"/>
      <w:sz w:val="21"/>
      <w:szCs w:val="21"/>
      <w:lang w:val="zh-CN"/>
    </w:rPr>
  </w:style>
  <w:style w:type="paragraph" w:customStyle="1" w:styleId="200">
    <w:name w:val="版本说明标题"/>
    <w:basedOn w:val="1"/>
    <w:qFormat/>
    <w:uiPriority w:val="0"/>
    <w:pPr>
      <w:adjustRightInd w:val="0"/>
      <w:snapToGrid w:val="0"/>
      <w:spacing w:beforeLines="50" w:afterLines="50"/>
      <w:ind w:firstLine="560"/>
      <w:jc w:val="center"/>
      <w:textAlignment w:val="baseline"/>
    </w:pPr>
    <w:rPr>
      <w:rFonts w:ascii="Times New Roman" w:hAnsi="Calibri" w:eastAsia="仿宋_GB2312" w:cs="Times New Roman"/>
      <w:b/>
      <w:color w:val="000000"/>
      <w:sz w:val="28"/>
      <w:szCs w:val="28"/>
    </w:rPr>
  </w:style>
  <w:style w:type="character" w:customStyle="1" w:styleId="201">
    <w:name w:val="正文首行缩进 Char"/>
    <w:basedOn w:val="118"/>
    <w:link w:val="36"/>
    <w:semiHidden/>
    <w:qFormat/>
    <w:uiPriority w:val="99"/>
    <w:rPr>
      <w:rFonts w:ascii="宋体" w:eastAsia="宋体"/>
      <w:b w:val="0"/>
      <w:bCs w:val="0"/>
      <w:sz w:val="84"/>
      <w:szCs w:val="84"/>
      <w:lang w:val="zh-CN"/>
    </w:rPr>
  </w:style>
  <w:style w:type="paragraph" w:customStyle="1" w:styleId="202">
    <w:name w:val="修订2"/>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203">
    <w:name w:val="样式 宋体 行距: 1.5 倍行距"/>
    <w:basedOn w:val="1"/>
    <w:qFormat/>
    <w:uiPriority w:val="0"/>
    <w:pPr>
      <w:autoSpaceDE w:val="0"/>
      <w:autoSpaceDN w:val="0"/>
      <w:adjustRightInd w:val="0"/>
      <w:jc w:val="center"/>
    </w:pPr>
    <w:rPr>
      <w:rFonts w:ascii="Times New Roman" w:hAnsi="Times New Roman" w:eastAsia="宋体" w:cs="Times New Roman"/>
      <w:b/>
      <w:kern w:val="0"/>
      <w:sz w:val="24"/>
      <w:szCs w:val="24"/>
    </w:rPr>
  </w:style>
  <w:style w:type="paragraph" w:customStyle="1" w:styleId="204">
    <w:name w:val="msolistparagraph"/>
    <w:basedOn w:val="1"/>
    <w:autoRedefine/>
    <w:qFormat/>
    <w:uiPriority w:val="0"/>
    <w:pPr>
      <w:autoSpaceDE w:val="0"/>
      <w:autoSpaceDN w:val="0"/>
      <w:adjustRightInd w:val="0"/>
      <w:ind w:firstLine="420" w:firstLineChars="200"/>
      <w:jc w:val="left"/>
    </w:pPr>
    <w:rPr>
      <w:rFonts w:hint="eastAsia" w:ascii="宋体" w:hAnsi="Times New Roman" w:eastAsia="宋体" w:cs="Times New Roman"/>
      <w:kern w:val="0"/>
      <w:sz w:val="24"/>
      <w:szCs w:val="24"/>
    </w:rPr>
  </w:style>
  <w:style w:type="character" w:customStyle="1" w:styleId="205">
    <w:name w:val="font41"/>
    <w:basedOn w:val="39"/>
    <w:qFormat/>
    <w:uiPriority w:val="0"/>
    <w:rPr>
      <w:rFonts w:hint="eastAsia" w:ascii="仿宋_GB2312" w:eastAsia="仿宋_GB2312" w:cs="仿宋_GB2312"/>
      <w:color w:val="000000"/>
      <w:sz w:val="24"/>
      <w:szCs w:val="24"/>
      <w:u w:val="none"/>
    </w:rPr>
  </w:style>
  <w:style w:type="character" w:customStyle="1" w:styleId="206">
    <w:name w:val="font51"/>
    <w:basedOn w:val="39"/>
    <w:qFormat/>
    <w:uiPriority w:val="0"/>
    <w:rPr>
      <w:rFonts w:hint="eastAsia" w:ascii="宋体" w:hAnsi="宋体" w:eastAsia="宋体" w:cs="宋体"/>
      <w:color w:val="000000"/>
      <w:sz w:val="24"/>
      <w:szCs w:val="24"/>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7.xml"/><Relationship Id="rId8" Type="http://schemas.openxmlformats.org/officeDocument/2006/relationships/footer" Target="footer6.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9.xml"/><Relationship Id="rId10" Type="http://schemas.openxmlformats.org/officeDocument/2006/relationships/footer" Target="footer8.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182</Pages>
  <Words>36451</Words>
  <Characters>38307</Characters>
  <Lines>314</Lines>
  <Paragraphs>88</Paragraphs>
  <TotalTime>24</TotalTime>
  <ScaleCrop>false</ScaleCrop>
  <LinksUpToDate>false</LinksUpToDate>
  <CharactersWithSpaces>39031</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2023-07-19T02:55:00Z</dcterms:created>
  <dc:creator>HS</dc:creator>
  <cp:lastModifiedBy>123</cp:lastModifiedBy>
  <cp:lastPrinted>2026-01-08T01:01:00Z</cp:lastPrinted>
  <dcterms:modified xsi:type="dcterms:W3CDTF">2026-01-08T01:25:50Z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A538BF4F693248CEAEA44570C39072BE_13</vt:lpwstr>
  </property>
  <property fmtid="{D5CDD505-2E9C-101B-9397-08002B2CF9AE}" pid="4" name="KSOTemplateDocerSaveRecord">
    <vt:lpwstr>eyJoZGlkIjoiYzhiNGQ3OTEzYjE3OTMxMWUyYmUxMjVkY2I3YjVmOTQiLCJ1c2VySWQiOiI2MTIxNDExMDYifQ==</vt:lpwstr>
  </property>
</Properties>
</file>