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3659A">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bookmarkStart w:id="827" w:name="_GoBack"/>
    </w:p>
    <w:p w14:paraId="616CB45F">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东莞市众源环境投资有限公司2026年污泥脱水减量配合服务采购项目</w:t>
      </w:r>
    </w:p>
    <w:p w14:paraId="7DAE7891">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0866A7F8">
      <w:pPr>
        <w:autoSpaceDE w:val="0"/>
        <w:autoSpaceDN w:val="0"/>
        <w:adjustRightInd w:val="0"/>
        <w:ind w:right="-23" w:rightChars="-11"/>
        <w:jc w:val="center"/>
        <w:rPr>
          <w:rFonts w:ascii="宋体" w:hAnsi="宋体" w:eastAsia="宋体" w:cs="宋体"/>
          <w:b/>
          <w:bCs/>
          <w:color w:val="000000" w:themeColor="text1"/>
          <w:sz w:val="72"/>
          <w:szCs w:val="72"/>
          <w:highlight w:val="none"/>
          <w:lang w:val="zh-CN"/>
          <w14:textFill>
            <w14:solidFill>
              <w14:schemeClr w14:val="tx1"/>
            </w14:solidFill>
          </w14:textFill>
        </w:rPr>
      </w:pPr>
    </w:p>
    <w:p w14:paraId="419E2458">
      <w:pPr>
        <w:autoSpaceDE w:val="0"/>
        <w:autoSpaceDN w:val="0"/>
        <w:adjustRightInd w:val="0"/>
        <w:ind w:right="-23" w:rightChars="-11"/>
        <w:jc w:val="center"/>
        <w:rPr>
          <w:rFonts w:ascii="宋体" w:hAnsi="宋体" w:eastAsia="宋体" w:cs="宋体"/>
          <w:b/>
          <w:bCs/>
          <w:color w:val="000000" w:themeColor="text1"/>
          <w:sz w:val="72"/>
          <w:szCs w:val="72"/>
          <w:highlight w:val="none"/>
          <w:lang w:val="zh-CN"/>
          <w14:textFill>
            <w14:solidFill>
              <w14:schemeClr w14:val="tx1"/>
            </w14:solidFill>
          </w14:textFill>
        </w:rPr>
      </w:pPr>
      <w:r>
        <w:rPr>
          <w:rFonts w:hint="eastAsia" w:ascii="宋体" w:hAnsi="宋体" w:eastAsia="宋体" w:cs="宋体"/>
          <w:b/>
          <w:bCs/>
          <w:color w:val="000000" w:themeColor="text1"/>
          <w:sz w:val="72"/>
          <w:szCs w:val="72"/>
          <w:highlight w:val="none"/>
          <w:lang w:val="zh-CN"/>
          <w14:textFill>
            <w14:solidFill>
              <w14:schemeClr w14:val="tx1"/>
            </w14:solidFill>
          </w14:textFill>
        </w:rPr>
        <w:t>招</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标</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文</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件</w:t>
      </w:r>
    </w:p>
    <w:p w14:paraId="5028D7E8">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5DCF66F9">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61C5590E">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783CE670">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1D4B0642">
      <w:pPr>
        <w:autoSpaceDE w:val="0"/>
        <w:autoSpaceDN w:val="0"/>
        <w:adjustRightInd w:val="0"/>
        <w:spacing w:line="480" w:lineRule="auto"/>
        <w:ind w:left="1841" w:leftChars="600" w:hanging="581" w:hangingChars="181"/>
        <w:jc w:val="left"/>
        <w:rPr>
          <w:rFonts w:ascii="宋体" w:hAnsi="宋体" w:eastAsia="宋体" w:cs="宋体"/>
          <w:b/>
          <w:bCs/>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招</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标</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编</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号：</w:t>
      </w:r>
      <w:r>
        <w:rPr>
          <w:rFonts w:hint="eastAsia" w:ascii="宋体" w:hAnsi="宋体" w:eastAsia="宋体" w:cs="宋体"/>
          <w:b/>
          <w:bCs/>
          <w:color w:val="000000" w:themeColor="text1"/>
          <w:sz w:val="32"/>
          <w:szCs w:val="32"/>
          <w:highlight w:val="none"/>
          <w:u w:val="single"/>
          <w:lang w:val="zh-CN"/>
          <w14:textFill>
            <w14:solidFill>
              <w14:schemeClr w14:val="tx1"/>
            </w14:solidFill>
          </w14:textFill>
        </w:rPr>
        <w:t>SSSSSZ12600052</w:t>
      </w:r>
    </w:p>
    <w:p w14:paraId="4C990314">
      <w:pPr>
        <w:autoSpaceDE w:val="0"/>
        <w:autoSpaceDN w:val="0"/>
        <w:adjustRightInd w:val="0"/>
        <w:spacing w:line="480" w:lineRule="auto"/>
        <w:ind w:left="1841" w:leftChars="600" w:hanging="581" w:hangingChars="181"/>
        <w:jc w:val="left"/>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招</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标</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人：</w:t>
      </w:r>
      <w:r>
        <w:rPr>
          <w:rFonts w:hint="eastAsia" w:ascii="宋体" w:hAnsi="宋体" w:eastAsia="宋体" w:cs="宋体"/>
          <w:b/>
          <w:bCs/>
          <w:color w:val="000000" w:themeColor="text1"/>
          <w:sz w:val="32"/>
          <w:szCs w:val="32"/>
          <w:highlight w:val="none"/>
          <w:u w:val="single"/>
          <w:lang w:val="zh-CN"/>
          <w14:textFill>
            <w14:solidFill>
              <w14:schemeClr w14:val="tx1"/>
            </w14:solidFill>
          </w14:textFill>
        </w:rPr>
        <w:t>东莞市众源环境投资有限公司</w:t>
      </w:r>
    </w:p>
    <w:p w14:paraId="5499B20C">
      <w:pPr>
        <w:autoSpaceDE w:val="0"/>
        <w:autoSpaceDN w:val="0"/>
        <w:adjustRightInd w:val="0"/>
        <w:spacing w:line="480" w:lineRule="auto"/>
        <w:ind w:left="1841" w:leftChars="600" w:hanging="581" w:hangingChars="181"/>
        <w:jc w:val="left"/>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招标代理机构：</w:t>
      </w:r>
      <w:r>
        <w:rPr>
          <w:rFonts w:hint="eastAsia" w:ascii="宋体" w:hAnsi="宋体" w:eastAsia="宋体" w:cs="宋体"/>
          <w:b/>
          <w:bCs/>
          <w:color w:val="000000" w:themeColor="text1"/>
          <w:sz w:val="32"/>
          <w:szCs w:val="32"/>
          <w:highlight w:val="none"/>
          <w:u w:val="single"/>
          <w:lang w:val="zh-CN"/>
          <w14:textFill>
            <w14:solidFill>
              <w14:schemeClr w14:val="tx1"/>
            </w14:solidFill>
          </w14:textFill>
        </w:rPr>
        <w:t>建成工程咨询股份有限公司</w:t>
      </w:r>
    </w:p>
    <w:p w14:paraId="4591E12D">
      <w:pPr>
        <w:autoSpaceDE w:val="0"/>
        <w:autoSpaceDN w:val="0"/>
        <w:adjustRightInd w:val="0"/>
        <w:ind w:right="-23" w:rightChars="-11"/>
        <w:jc w:val="left"/>
        <w:rPr>
          <w:rFonts w:ascii="宋体" w:hAnsi="宋体" w:eastAsia="宋体" w:cs="宋体"/>
          <w:b/>
          <w:bCs/>
          <w:color w:val="000000" w:themeColor="text1"/>
          <w:kern w:val="0"/>
          <w:sz w:val="32"/>
          <w:szCs w:val="32"/>
          <w:highlight w:val="none"/>
          <w:lang w:val="zh-CN"/>
          <w14:textFill>
            <w14:solidFill>
              <w14:schemeClr w14:val="tx1"/>
            </w14:solidFill>
          </w14:textFill>
        </w:rPr>
      </w:pPr>
    </w:p>
    <w:p w14:paraId="622D43E2">
      <w:pPr>
        <w:autoSpaceDE w:val="0"/>
        <w:autoSpaceDN w:val="0"/>
        <w:adjustRightInd w:val="0"/>
        <w:ind w:right="-23" w:rightChars="-11"/>
        <w:jc w:val="center"/>
        <w:rPr>
          <w:rFonts w:ascii="宋体" w:hAnsi="宋体" w:eastAsia="宋体" w:cs="宋体"/>
          <w:b/>
          <w:bCs/>
          <w:color w:val="000000" w:themeColor="text1"/>
          <w:kern w:val="0"/>
          <w:sz w:val="84"/>
          <w:szCs w:val="84"/>
          <w:highlight w:val="none"/>
          <w:lang w:val="zh-CN"/>
          <w14:textFill>
            <w14:solidFill>
              <w14:schemeClr w14:val="tx1"/>
            </w14:solidFill>
          </w14:textFill>
        </w:rPr>
      </w:pPr>
    </w:p>
    <w:p w14:paraId="50EF7125">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2026</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7336CC25">
      <w:pPr>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br w:type="page"/>
      </w:r>
    </w:p>
    <w:p w14:paraId="2AA6DDF2">
      <w:pPr>
        <w:pageBreakBefore/>
        <w:spacing w:line="360" w:lineRule="auto"/>
        <w:jc w:val="center"/>
        <w:rPr>
          <w:rFonts w:ascii="宋体" w:hAnsi="宋体" w:eastAsia="宋体" w:cs="宋体"/>
          <w:b/>
          <w:color w:val="000000" w:themeColor="text1"/>
          <w:sz w:val="36"/>
          <w:szCs w:val="36"/>
          <w:highlight w:val="none"/>
          <w14:textFill>
            <w14:solidFill>
              <w14:schemeClr w14:val="tx1"/>
            </w14:solidFill>
          </w14:textFill>
        </w:rPr>
      </w:pPr>
      <w:bookmarkStart w:id="0" w:name="_Toc16773"/>
      <w:bookmarkStart w:id="1" w:name="_Toc7755"/>
      <w:r>
        <w:rPr>
          <w:rFonts w:hint="eastAsia" w:ascii="宋体" w:hAnsi="宋体" w:eastAsia="宋体" w:cs="宋体"/>
          <w:b/>
          <w:color w:val="000000" w:themeColor="text1"/>
          <w:sz w:val="36"/>
          <w:szCs w:val="36"/>
          <w:highlight w:val="none"/>
          <w:lang w:bidi="ar"/>
          <w14:textFill>
            <w14:solidFill>
              <w14:schemeClr w14:val="tx1"/>
            </w14:solidFill>
          </w14:textFill>
        </w:rPr>
        <w:t>重要提示</w:t>
      </w:r>
      <w:bookmarkEnd w:id="0"/>
      <w:bookmarkEnd w:id="1"/>
    </w:p>
    <w:p w14:paraId="3CEFE4B1">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bookmarkStart w:id="2" w:name="_Toc12698"/>
      <w:bookmarkStart w:id="3" w:name="_Toc22951"/>
      <w:r>
        <w:rPr>
          <w:rFonts w:hint="eastAsia" w:eastAsia="宋体" w:cs="宋体"/>
          <w:color w:val="000000" w:themeColor="text1"/>
          <w:sz w:val="24"/>
          <w:szCs w:val="24"/>
          <w:highlight w:val="none"/>
          <w:lang w:bidi="ar"/>
          <w14:textFill>
            <w14:solidFill>
              <w14:schemeClr w14:val="tx1"/>
            </w14:solidFill>
          </w14:textFill>
        </w:rPr>
        <w:t>1.本次招标项目采用电子标书。</w:t>
      </w:r>
      <w:bookmarkEnd w:id="2"/>
      <w:bookmarkEnd w:id="3"/>
    </w:p>
    <w:p w14:paraId="6E3B8764">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28B6FAD6">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3.除特别说明外，招标文件相关条款中提及的以及第六篇“投标文件格式”中包括但不限于“企业数字证书电子签名”及“电子签名”等要求签名的均指由数字证书电子签章或电子签名。</w:t>
      </w:r>
    </w:p>
    <w:p w14:paraId="46B86EDE">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175FA12C">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5.投标人在交易系统中对投标文件进行解密的电子签名认证证书必须为机构证书或制作本项目投标文件的业务证书。</w:t>
      </w:r>
    </w:p>
    <w:p w14:paraId="6311D133">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6.投标人应及时提交投标文件，如在投标文件截止时间前因网络等任何原因未能成功上传投标文件，相关后果由投标人自行承担。</w:t>
      </w:r>
    </w:p>
    <w:p w14:paraId="501A812E">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3D8B9560">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8.如未在投标文件递交截止时间前匹配对应的投标文件，视为投标人未提交。本招标文件中签到、投标文件匹配、投标保证金关联等时间均以东莞市公共资源交易E网通管理平台时间为准。</w:t>
      </w:r>
    </w:p>
    <w:p w14:paraId="467DD8C1">
      <w:pPr>
        <w:pStyle w:val="35"/>
        <w:widowControl w:val="0"/>
        <w:spacing w:before="0" w:beforeAutospacing="0" w:after="0" w:afterAutospacing="0" w:line="360" w:lineRule="auto"/>
        <w:ind w:firstLine="480" w:firstLineChars="200"/>
        <w:jc w:val="both"/>
        <w:rPr>
          <w:rFonts w:eastAsia="宋体" w:cs="宋体"/>
          <w:color w:val="000000" w:themeColor="text1"/>
          <w:sz w:val="24"/>
          <w:szCs w:val="24"/>
          <w:highlight w:val="none"/>
          <w:lang w:bidi="ar"/>
          <w14:textFill>
            <w14:solidFill>
              <w14:schemeClr w14:val="tx1"/>
            </w14:solidFill>
          </w14:textFill>
        </w:rPr>
      </w:pPr>
      <w:r>
        <w:rPr>
          <w:rFonts w:hint="eastAsia" w:eastAsia="宋体" w:cs="宋体"/>
          <w:color w:val="000000" w:themeColor="text1"/>
          <w:sz w:val="24"/>
          <w:szCs w:val="24"/>
          <w:highlight w:val="none"/>
          <w:lang w:bidi="ar"/>
          <w14:textFill>
            <w14:solidFill>
              <w14:schemeClr w14:val="tx1"/>
            </w14:solidFill>
          </w14:textFill>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4141A1CC">
      <w:pPr>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br w:type="page"/>
      </w:r>
    </w:p>
    <w:p w14:paraId="26C4ED88">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目  录</w:t>
      </w:r>
    </w:p>
    <w:p w14:paraId="354184B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"1-3"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16DDD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_Toc15718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CDDFBC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903B6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_Toc26401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_Toc26401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AA0B23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_Toc8792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_Toc8792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D1CA65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E1AB06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649BD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_Toc6360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_Toc6360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D58AE7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E3EF08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4C9C8C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_Toc31822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_Toc31822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6E2F53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_Toc8871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_Toc8871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2E09F1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_Toc2970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9E68B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F3117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_Toc15270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_Toc15270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8EC9E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29109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_Toc4106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308E3C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660FCB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_Toc27063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85BCF7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_Toc32099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_Toc32099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AD62F7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_Toc5889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61FB06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_Toc14196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投标文件的编制和签署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_Toc14196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F293CC">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99885E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_Toc11817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投标文件的加密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_Toc11817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0AE11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_Toc22605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投标文件的提交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87F001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_Toc6132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投标会时间、地点及投标文件提交的截止时间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_Toc6132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F0F2F4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_Toc8252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投标文件的拒绝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D57A46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_Toc28002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val="zh-CN"/>
          <w14:textFill>
            <w14:solidFill>
              <w14:schemeClr w14:val="tx1"/>
            </w14:solidFill>
          </w14:textFill>
        </w:rPr>
        <w:t>投标文件的补充、修改与撤回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_Toc28002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8908A2F">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_Toc24804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F641FB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_Toc3761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val="zh-CN"/>
          <w14:textFill>
            <w14:solidFill>
              <w14:schemeClr w14:val="tx1"/>
            </w14:solidFill>
          </w14:textFill>
        </w:rPr>
        <w:t>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_Toc3761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63699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_Toc24771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428A3D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_Toc15057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254F7F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_Toc21448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投标文件的有效性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F33FB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592D24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_Toc13045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_Toc13045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E1BA5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 xml:space="preserve">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8EDD72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_Toc12845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63AB14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7B5CFA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_Toc19784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_Toc19784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C4808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_Toc21915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_Toc21915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1925DD0">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_Toc28382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142F19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_Toc21137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_Toc21137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1009B6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 xml:space="preserve">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7B0740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_Toc17810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A6B84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_Toc20701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37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5A9F3E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_Toc2602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29346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_Toc27947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3BB5C4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_Toc30239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_Toc30239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07E202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41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0E8E2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42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CE96DA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_Toc3380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_Toc3380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1DC9F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_Toc14739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53E574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_Toc8325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70B15E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_Toc19120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_Toc19120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9AA62A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_Toc18997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_Toc18997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15250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6658C35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 w:name="_Toc1334"/>
      <w:bookmarkStart w:id="5" w:name="_Toc4869"/>
      <w:bookmarkStart w:id="6" w:name="_Toc142508310"/>
      <w:bookmarkStart w:id="7" w:name="_Toc17326"/>
      <w:bookmarkStart w:id="8" w:name="_Toc20249"/>
      <w:bookmarkStart w:id="9" w:name="_Toc450662846"/>
      <w:bookmarkStart w:id="10" w:name="_Toc486167660"/>
      <w:bookmarkStart w:id="11" w:name="_Toc2723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第一篇 招标公告</w:t>
      </w:r>
      <w:bookmarkEnd w:id="4"/>
      <w:bookmarkEnd w:id="5"/>
      <w:bookmarkEnd w:id="6"/>
      <w:bookmarkEnd w:id="7"/>
      <w:bookmarkEnd w:id="8"/>
      <w:bookmarkEnd w:id="9"/>
      <w:bookmarkEnd w:id="10"/>
      <w:bookmarkEnd w:id="11"/>
    </w:p>
    <w:p w14:paraId="325FDF48">
      <w:pPr>
        <w:autoSpaceDE w:val="0"/>
        <w:autoSpaceDN w:val="0"/>
        <w:adjustRightInd w:val="0"/>
        <w:snapToGrid w:val="0"/>
        <w:spacing w:line="360" w:lineRule="auto"/>
        <w:ind w:right="-34"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建成工程咨询股份有限公司</w:t>
      </w:r>
      <w:r>
        <w:rPr>
          <w:rFonts w:hint="eastAsia" w:ascii="宋体" w:hAnsi="宋体" w:eastAsia="宋体" w:cs="宋体"/>
          <w:color w:val="000000" w:themeColor="text1"/>
          <w:szCs w:val="21"/>
          <w:highlight w:val="none"/>
          <w:lang w:val="zh-CN"/>
          <w14:textFill>
            <w14:solidFill>
              <w14:schemeClr w14:val="tx1"/>
            </w14:solidFill>
          </w14:textFill>
        </w:rPr>
        <w:t>（以下简称“招标代理机构”）受</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szCs w:val="21"/>
          <w:highlight w:val="none"/>
          <w:lang w:val="zh-CN"/>
          <w14:textFill>
            <w14:solidFill>
              <w14:schemeClr w14:val="tx1"/>
            </w14:solidFill>
          </w14:textFill>
        </w:rPr>
        <w:t>（以下简称“招标人”）的委托，对</w:t>
      </w:r>
      <w:bookmarkStart w:id="12" w:name="_Hlk41903390"/>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SSSSSZ12600052</w:t>
      </w:r>
      <w:r>
        <w:rPr>
          <w:rFonts w:hint="eastAsia" w:ascii="宋体" w:hAnsi="宋体" w:eastAsia="宋体" w:cs="宋体"/>
          <w:color w:val="000000" w:themeColor="text1"/>
          <w:szCs w:val="21"/>
          <w:highlight w:val="none"/>
          <w:lang w:val="zh-CN"/>
          <w14:textFill>
            <w14:solidFill>
              <w14:schemeClr w14:val="tx1"/>
            </w14:solidFill>
          </w14:textFill>
        </w:rPr>
        <w:t>)</w:t>
      </w:r>
      <w:bookmarkEnd w:id="12"/>
      <w:r>
        <w:rPr>
          <w:rFonts w:hint="eastAsia" w:ascii="宋体" w:hAnsi="宋体" w:eastAsia="宋体" w:cs="宋体"/>
          <w:color w:val="000000" w:themeColor="text1"/>
          <w:szCs w:val="21"/>
          <w:highlight w:val="none"/>
          <w:lang w:val="zh-CN"/>
          <w14:textFill>
            <w14:solidFill>
              <w14:schemeClr w14:val="tx1"/>
            </w14:solidFill>
          </w14:textFill>
        </w:rPr>
        <w:t>进行国内公开招标，</w:t>
      </w:r>
      <w:r>
        <w:rPr>
          <w:rFonts w:hint="eastAsia" w:ascii="宋体" w:hAnsi="宋体" w:eastAsia="宋体" w:cs="宋体"/>
          <w:bCs/>
          <w:color w:val="000000" w:themeColor="text1"/>
          <w:kern w:val="0"/>
          <w:szCs w:val="21"/>
          <w:highlight w:val="none"/>
          <w14:textFill>
            <w14:solidFill>
              <w14:schemeClr w14:val="tx1"/>
            </w14:solidFill>
          </w14:textFill>
        </w:rPr>
        <w:t>详情请参见本招标文件。</w:t>
      </w:r>
      <w:r>
        <w:rPr>
          <w:rFonts w:hint="eastAsia" w:ascii="宋体" w:hAnsi="宋体" w:eastAsia="宋体" w:cs="宋体"/>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宋体"/>
          <w:bCs/>
          <w:color w:val="000000" w:themeColor="text1"/>
          <w:kern w:val="0"/>
          <w:szCs w:val="21"/>
          <w:highlight w:val="none"/>
          <w14:textFill>
            <w14:solidFill>
              <w14:schemeClr w14:val="tx1"/>
            </w14:solidFill>
          </w14:textFill>
        </w:rPr>
        <w:t>有关事项如下：</w:t>
      </w:r>
    </w:p>
    <w:p w14:paraId="525105C2">
      <w:pPr>
        <w:autoSpaceDE w:val="0"/>
        <w:autoSpaceDN w:val="0"/>
        <w:adjustRightInd w:val="0"/>
        <w:spacing w:line="360" w:lineRule="auto"/>
        <w:ind w:right="-29" w:rightChars="-14" w:firstLine="420" w:firstLineChars="200"/>
        <w:rPr>
          <w:rFonts w:ascii="宋体" w:hAnsi="宋体" w:eastAsia="宋体" w:cs="宋体"/>
          <w:color w:val="000000" w:themeColor="text1"/>
          <w:szCs w:val="21"/>
          <w:highlight w:val="none"/>
          <w:lang w:val="zh-CN"/>
          <w14:textFill>
            <w14:solidFill>
              <w14:schemeClr w14:val="tx1"/>
            </w14:solidFill>
          </w14:textFill>
        </w:rPr>
      </w:pPr>
    </w:p>
    <w:p w14:paraId="7894821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招标范围：（具体内容详见：第三篇用户需求书）</w:t>
      </w:r>
    </w:p>
    <w:tbl>
      <w:tblPr>
        <w:tblStyle w:val="39"/>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027"/>
        <w:gridCol w:w="2395"/>
        <w:gridCol w:w="2066"/>
        <w:gridCol w:w="1273"/>
      </w:tblGrid>
      <w:tr w14:paraId="631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9" w:type="dxa"/>
            <w:vAlign w:val="center"/>
          </w:tcPr>
          <w:p w14:paraId="0C0F49B5">
            <w:pPr>
              <w:autoSpaceDE w:val="0"/>
              <w:autoSpaceDN w:val="0"/>
              <w:adjustRightInd w:val="0"/>
              <w:snapToGrid w:val="0"/>
              <w:spacing w:line="360" w:lineRule="auto"/>
              <w:ind w:right="-34"/>
              <w:jc w:val="center"/>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序号</w:t>
            </w:r>
          </w:p>
        </w:tc>
        <w:tc>
          <w:tcPr>
            <w:tcW w:w="3027" w:type="dxa"/>
            <w:vAlign w:val="center"/>
          </w:tcPr>
          <w:p w14:paraId="55AA23CC">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服务内容</w:t>
            </w:r>
          </w:p>
        </w:tc>
        <w:tc>
          <w:tcPr>
            <w:tcW w:w="2395" w:type="dxa"/>
            <w:vAlign w:val="center"/>
          </w:tcPr>
          <w:p w14:paraId="5D611AEE">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服务范围</w:t>
            </w:r>
          </w:p>
        </w:tc>
        <w:tc>
          <w:tcPr>
            <w:tcW w:w="2066" w:type="dxa"/>
            <w:vAlign w:val="center"/>
          </w:tcPr>
          <w:p w14:paraId="6ACC2C2B">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预估污泥量（按含水率80%湿泥计，吨）</w:t>
            </w:r>
          </w:p>
        </w:tc>
        <w:tc>
          <w:tcPr>
            <w:tcW w:w="1273" w:type="dxa"/>
            <w:vAlign w:val="center"/>
          </w:tcPr>
          <w:p w14:paraId="1DD231B9">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服务期</w:t>
            </w:r>
          </w:p>
        </w:tc>
      </w:tr>
      <w:tr w14:paraId="059B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29" w:type="dxa"/>
            <w:vAlign w:val="center"/>
          </w:tcPr>
          <w:p w14:paraId="5EF7F140">
            <w:pPr>
              <w:autoSpaceDE w:val="0"/>
              <w:autoSpaceDN w:val="0"/>
              <w:adjustRightInd w:val="0"/>
              <w:snapToGrid w:val="0"/>
              <w:spacing w:line="360" w:lineRule="auto"/>
              <w:ind w:right="-34"/>
              <w:jc w:val="center"/>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3027" w:type="dxa"/>
            <w:vAlign w:val="center"/>
          </w:tcPr>
          <w:p w14:paraId="6D00521E">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服务单位根据项目需求，配备充足的设备操作人员，使用招标人的设备及配套设施、药剂，为招标人提供生产运营服务，负责生产现场的设备操作，协助设备维护数据记录及其他现场的工作。</w:t>
            </w:r>
          </w:p>
        </w:tc>
        <w:tc>
          <w:tcPr>
            <w:tcW w:w="2395" w:type="dxa"/>
            <w:vAlign w:val="center"/>
          </w:tcPr>
          <w:p w14:paraId="03CF2195">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预计陆续投产25个项目点</w:t>
            </w:r>
          </w:p>
        </w:tc>
        <w:tc>
          <w:tcPr>
            <w:tcW w:w="2066" w:type="dxa"/>
            <w:vAlign w:val="center"/>
          </w:tcPr>
          <w:p w14:paraId="03A8A961">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243,530.00</w:t>
            </w:r>
          </w:p>
        </w:tc>
        <w:tc>
          <w:tcPr>
            <w:tcW w:w="1273" w:type="dxa"/>
            <w:vAlign w:val="center"/>
          </w:tcPr>
          <w:p w14:paraId="1BD19C89">
            <w:pPr>
              <w:autoSpaceDE w:val="0"/>
              <w:autoSpaceDN w:val="0"/>
              <w:adjustRightInd w:val="0"/>
              <w:snapToGrid w:val="0"/>
              <w:spacing w:line="360" w:lineRule="auto"/>
              <w:ind w:right="-34"/>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自招标人发出</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《进场通知书》中载明之日起至202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年12月31日止</w:t>
            </w:r>
          </w:p>
        </w:tc>
      </w:tr>
    </w:tbl>
    <w:p w14:paraId="590AA585">
      <w:pPr>
        <w:autoSpaceDE w:val="0"/>
        <w:autoSpaceDN w:val="0"/>
        <w:adjustRightInd w:val="0"/>
        <w:spacing w:line="360" w:lineRule="auto"/>
        <w:ind w:right="-29" w:rightChars="-14"/>
        <w:rPr>
          <w:rFonts w:ascii="宋体" w:hAnsi="宋体" w:eastAsia="宋体" w:cs="宋体"/>
          <w:color w:val="000000" w:themeColor="text1"/>
          <w:szCs w:val="21"/>
          <w:highlight w:val="none"/>
          <w:lang w:val="zh-CN"/>
          <w14:textFill>
            <w14:solidFill>
              <w14:schemeClr w14:val="tx1"/>
            </w14:solidFill>
          </w14:textFill>
        </w:rPr>
      </w:pPr>
    </w:p>
    <w:p w14:paraId="042D9ABB">
      <w:pPr>
        <w:numPr>
          <w:ilvl w:val="0"/>
          <w:numId w:val="1"/>
        </w:numPr>
        <w:autoSpaceDE w:val="0"/>
        <w:autoSpaceDN w:val="0"/>
        <w:adjustRightInd w:val="0"/>
        <w:snapToGrid w:val="0"/>
        <w:spacing w:line="360" w:lineRule="auto"/>
        <w:ind w:right="-34"/>
        <w:jc w:val="lef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合格投标人资格要求：</w:t>
      </w:r>
    </w:p>
    <w:p w14:paraId="25582E6C">
      <w:pPr>
        <w:pStyle w:val="161"/>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BA4A723">
      <w:pPr>
        <w:pStyle w:val="161"/>
        <w:spacing w:line="360" w:lineRule="auto"/>
        <w:ind w:left="422" w:right="-29" w:rightChars="-14" w:hanging="422" w:hangingChars="200"/>
        <w:jc w:val="both"/>
        <w:rPr>
          <w:rFonts w:hAnsi="宋体" w:eastAsia="宋体"/>
          <w:b/>
          <w:color w:val="000000" w:themeColor="text1"/>
          <w:sz w:val="21"/>
          <w:szCs w:val="21"/>
          <w:highlight w:val="none"/>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2.2 投标人202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年1月1日以来具有一份污泥脱水减量化处理服务或污泥脱水减量配合服务业绩（合同签订日期为202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年1月1日或以后）；</w:t>
      </w:r>
    </w:p>
    <w:p w14:paraId="790FA830">
      <w:pPr>
        <w:pStyle w:val="161"/>
        <w:spacing w:line="360" w:lineRule="auto"/>
        <w:ind w:right="-29" w:rightChars="-14" w:firstLine="0" w:firstLineChars="0"/>
        <w:jc w:val="both"/>
        <w:rPr>
          <w:rFonts w:hAnsi="宋体" w:eastAsia="宋体" w:cs="宋体"/>
          <w:b/>
          <w:color w:val="000000" w:themeColor="text1"/>
          <w:sz w:val="21"/>
          <w:szCs w:val="21"/>
          <w:highlight w:val="none"/>
          <w:lang w:val="zh-CN"/>
          <w14:textFill>
            <w14:solidFill>
              <w14:schemeClr w14:val="tx1"/>
            </w14:solidFill>
          </w14:textFill>
        </w:rPr>
      </w:pPr>
      <w:bookmarkStart w:id="13" w:name="_Toc25819"/>
      <w:r>
        <w:rPr>
          <w:rFonts w:hint="eastAsia" w:hAnsi="宋体" w:eastAsia="宋体" w:cs="宋体"/>
          <w:b/>
          <w:color w:val="000000" w:themeColor="text1"/>
          <w:sz w:val="21"/>
          <w:szCs w:val="21"/>
          <w:highlight w:val="none"/>
          <w14:textFill>
            <w14:solidFill>
              <w14:schemeClr w14:val="tx1"/>
            </w14:solidFill>
          </w14:textFill>
        </w:rPr>
        <w:t>2.</w:t>
      </w:r>
      <w:r>
        <w:rPr>
          <w:rFonts w:hint="eastAsia" w:hAnsi="宋体" w:eastAsia="宋体" w:cs="宋体"/>
          <w:b/>
          <w:color w:val="000000" w:themeColor="text1"/>
          <w:sz w:val="21"/>
          <w:szCs w:val="21"/>
          <w:highlight w:val="none"/>
          <w:lang w:val="en-US" w:eastAsia="zh-CN"/>
          <w14:textFill>
            <w14:solidFill>
              <w14:schemeClr w14:val="tx1"/>
            </w14:solidFill>
          </w14:textFill>
        </w:rPr>
        <w:t>3</w:t>
      </w:r>
      <w:r>
        <w:rPr>
          <w:rFonts w:hint="eastAsia" w:hAnsi="宋体" w:eastAsia="宋体" w:cs="宋体"/>
          <w:b/>
          <w:color w:val="000000" w:themeColor="text1"/>
          <w:sz w:val="21"/>
          <w:szCs w:val="21"/>
          <w:highlight w:val="none"/>
          <w14:textFill>
            <w14:solidFill>
              <w14:schemeClr w14:val="tx1"/>
            </w14:solidFill>
          </w14:textFill>
        </w:rPr>
        <w:t xml:space="preserve"> </w:t>
      </w:r>
      <w:r>
        <w:rPr>
          <w:rFonts w:hint="eastAsia" w:hAnsi="宋体" w:eastAsia="宋体" w:cs="宋体"/>
          <w:b/>
          <w:color w:val="000000" w:themeColor="text1"/>
          <w:sz w:val="21"/>
          <w:szCs w:val="21"/>
          <w:highlight w:val="none"/>
          <w:lang w:val="zh-CN"/>
          <w14:textFill>
            <w14:solidFill>
              <w14:schemeClr w14:val="tx1"/>
            </w14:solidFill>
          </w14:textFill>
        </w:rPr>
        <w:t>本项目不接受联合体投标</w:t>
      </w:r>
      <w:bookmarkEnd w:id="13"/>
      <w:r>
        <w:rPr>
          <w:rFonts w:hint="eastAsia" w:hAnsi="宋体" w:eastAsia="宋体" w:cs="宋体"/>
          <w:b/>
          <w:color w:val="000000" w:themeColor="text1"/>
          <w:sz w:val="21"/>
          <w:szCs w:val="21"/>
          <w:highlight w:val="none"/>
          <w:lang w:val="zh-CN"/>
          <w14:textFill>
            <w14:solidFill>
              <w14:schemeClr w14:val="tx1"/>
            </w14:solidFill>
          </w14:textFill>
        </w:rPr>
        <w:t>；</w:t>
      </w:r>
    </w:p>
    <w:p w14:paraId="32CB59BE">
      <w:pPr>
        <w:pStyle w:val="161"/>
        <w:spacing w:line="360" w:lineRule="auto"/>
        <w:ind w:right="-29" w:rightChars="-14" w:firstLine="0" w:firstLineChars="0"/>
        <w:jc w:val="both"/>
        <w:rPr>
          <w:rFonts w:hAnsi="宋体" w:eastAsia="宋体" w:cs="宋体"/>
          <w:b/>
          <w:color w:val="000000" w:themeColor="text1"/>
          <w:sz w:val="21"/>
          <w:szCs w:val="21"/>
          <w:highlight w:val="none"/>
          <w:lang w:val="zh-CN"/>
          <w14:textFill>
            <w14:solidFill>
              <w14:schemeClr w14:val="tx1"/>
            </w14:solidFill>
          </w14:textFill>
        </w:rPr>
      </w:pPr>
      <w:r>
        <w:rPr>
          <w:rFonts w:hint="eastAsia" w:hAnsi="宋体" w:eastAsia="宋体" w:cs="宋体"/>
          <w:b/>
          <w:color w:val="000000" w:themeColor="text1"/>
          <w:sz w:val="21"/>
          <w:szCs w:val="21"/>
          <w:highlight w:val="none"/>
          <w14:textFill>
            <w14:solidFill>
              <w14:schemeClr w14:val="tx1"/>
            </w14:solidFill>
          </w14:textFill>
        </w:rPr>
        <w:t>2.</w:t>
      </w:r>
      <w:r>
        <w:rPr>
          <w:rFonts w:hint="eastAsia" w:hAnsi="宋体" w:eastAsia="宋体" w:cs="宋体"/>
          <w:b/>
          <w:color w:val="000000" w:themeColor="text1"/>
          <w:sz w:val="21"/>
          <w:szCs w:val="21"/>
          <w:highlight w:val="none"/>
          <w:lang w:val="en-US" w:eastAsia="zh-CN"/>
          <w14:textFill>
            <w14:solidFill>
              <w14:schemeClr w14:val="tx1"/>
            </w14:solidFill>
          </w14:textFill>
        </w:rPr>
        <w:t>4</w:t>
      </w:r>
      <w:r>
        <w:rPr>
          <w:rFonts w:hint="eastAsia" w:hAnsi="宋体" w:eastAsia="宋体" w:cs="宋体"/>
          <w:b/>
          <w:color w:val="000000" w:themeColor="text1"/>
          <w:sz w:val="21"/>
          <w:szCs w:val="21"/>
          <w:highlight w:val="none"/>
          <w14:textFill>
            <w14:solidFill>
              <w14:schemeClr w14:val="tx1"/>
            </w14:solidFill>
          </w14:textFill>
        </w:rPr>
        <w:t xml:space="preserve"> </w:t>
      </w:r>
      <w:r>
        <w:rPr>
          <w:rFonts w:hint="eastAsia" w:hAnsi="宋体" w:eastAsia="宋体" w:cs="宋体"/>
          <w:b/>
          <w:color w:val="000000" w:themeColor="text1"/>
          <w:sz w:val="21"/>
          <w:szCs w:val="21"/>
          <w:highlight w:val="none"/>
          <w:lang w:val="zh-CN"/>
          <w14:textFill>
            <w14:solidFill>
              <w14:schemeClr w14:val="tx1"/>
            </w14:solidFill>
          </w14:textFill>
        </w:rPr>
        <w:t>其他要求：</w:t>
      </w:r>
    </w:p>
    <w:p w14:paraId="528036B4">
      <w:pPr>
        <w:pStyle w:val="161"/>
        <w:autoSpaceDE/>
        <w:autoSpaceDN/>
        <w:spacing w:line="360" w:lineRule="auto"/>
        <w:ind w:left="420" w:leftChars="200" w:firstLine="0" w:firstLineChars="0"/>
        <w:jc w:val="both"/>
        <w:rPr>
          <w:rFonts w:hAnsi="宋体" w:eastAsia="宋体" w:cs="宋体"/>
          <w:b/>
          <w:color w:val="000000" w:themeColor="text1"/>
          <w:sz w:val="21"/>
          <w:szCs w:val="21"/>
          <w:highlight w:val="none"/>
          <w:lang w:val="zh-CN"/>
          <w14:textFill>
            <w14:solidFill>
              <w14:schemeClr w14:val="tx1"/>
            </w14:solidFill>
          </w14:textFill>
        </w:rPr>
      </w:pPr>
      <w:bookmarkStart w:id="14" w:name="_Toc19234"/>
      <w:bookmarkStart w:id="15" w:name="_Toc26562"/>
      <w:r>
        <w:rPr>
          <w:rFonts w:hint="eastAsia" w:hAnsi="宋体" w:eastAsia="宋体" w:cs="宋体"/>
          <w:b/>
          <w:color w:val="000000" w:themeColor="text1"/>
          <w:sz w:val="21"/>
          <w:szCs w:val="21"/>
          <w:highlight w:val="none"/>
          <w:lang w:val="zh-CN"/>
          <w14:textFill>
            <w14:solidFill>
              <w14:schemeClr w14:val="tx1"/>
            </w14:solidFill>
          </w14:textFill>
        </w:rPr>
        <w:t>（1）投标人应在东莞市公共资源交易企业库建档；</w:t>
      </w:r>
      <w:bookmarkEnd w:id="14"/>
      <w:bookmarkEnd w:id="15"/>
    </w:p>
    <w:p w14:paraId="67EBD6C4">
      <w:pPr>
        <w:pStyle w:val="161"/>
        <w:autoSpaceDE/>
        <w:autoSpaceDN/>
        <w:spacing w:line="360" w:lineRule="auto"/>
        <w:ind w:left="420" w:leftChars="200" w:firstLine="0" w:firstLineChars="0"/>
        <w:jc w:val="both"/>
        <w:rPr>
          <w:rFonts w:hAnsi="宋体" w:eastAsia="宋体" w:cs="宋体"/>
          <w:b/>
          <w:color w:val="000000" w:themeColor="text1"/>
          <w:sz w:val="21"/>
          <w:szCs w:val="21"/>
          <w:highlight w:val="none"/>
          <w:lang w:val="zh-CN"/>
          <w14:textFill>
            <w14:solidFill>
              <w14:schemeClr w14:val="tx1"/>
            </w14:solidFill>
          </w14:textFill>
        </w:rPr>
      </w:pPr>
      <w:r>
        <w:rPr>
          <w:rFonts w:hint="eastAsia" w:hAnsi="宋体" w:eastAsia="宋体" w:cs="宋体"/>
          <w:b/>
          <w:color w:val="000000" w:themeColor="text1"/>
          <w:sz w:val="21"/>
          <w:szCs w:val="21"/>
          <w:highlight w:val="none"/>
          <w:lang w:val="zh-CN"/>
          <w14:textFill>
            <w14:solidFill>
              <w14:schemeClr w14:val="tx1"/>
            </w14:solidFill>
          </w14:textFill>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13362A5B">
      <w:pPr>
        <w:autoSpaceDE w:val="0"/>
        <w:autoSpaceDN w:val="0"/>
        <w:adjustRightInd w:val="0"/>
        <w:spacing w:line="360" w:lineRule="auto"/>
        <w:ind w:right="-29" w:rightChars="-14" w:firstLine="420" w:firstLineChars="200"/>
        <w:rPr>
          <w:rFonts w:ascii="宋体" w:hAnsi="宋体" w:eastAsia="宋体" w:cs="宋体"/>
          <w:color w:val="000000" w:themeColor="text1"/>
          <w:szCs w:val="21"/>
          <w:highlight w:val="none"/>
          <w:lang w:val="zh-CN"/>
          <w14:textFill>
            <w14:solidFill>
              <w14:schemeClr w14:val="tx1"/>
            </w14:solidFill>
          </w14:textFill>
        </w:rPr>
      </w:pPr>
    </w:p>
    <w:p w14:paraId="46CEFE44">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获取招标文件的方式：凡有意参加投标者，可于</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2026</w:t>
      </w:r>
      <w:r>
        <w:rPr>
          <w:rFonts w:hint="eastAsia" w:ascii="宋体" w:hAnsi="宋体" w:eastAsia="宋体" w:cs="宋体"/>
          <w:color w:val="000000" w:themeColor="text1"/>
          <w:szCs w:val="21"/>
          <w:highlight w:val="none"/>
          <w:lang w:val="zh-CN"/>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日至投标截止时间前登录交易系统下载本次招标项目的招标文件等资料。</w:t>
      </w:r>
    </w:p>
    <w:p w14:paraId="446E294A">
      <w:pPr>
        <w:autoSpaceDE w:val="0"/>
        <w:autoSpaceDN w:val="0"/>
        <w:adjustRightInd w:val="0"/>
        <w:spacing w:line="360" w:lineRule="auto"/>
        <w:ind w:left="630" w:leftChars="100" w:right="-29" w:rightChars="-14" w:hanging="420" w:hangingChars="200"/>
        <w:rPr>
          <w:rFonts w:ascii="宋体" w:hAnsi="宋体" w:eastAsia="宋体" w:cs="宋体"/>
          <w:color w:val="000000" w:themeColor="text1"/>
          <w:szCs w:val="21"/>
          <w:highlight w:val="none"/>
          <w:lang w:val="zh-CN"/>
          <w14:textFill>
            <w14:solidFill>
              <w14:schemeClr w14:val="tx1"/>
            </w14:solidFill>
          </w14:textFill>
        </w:rPr>
      </w:pPr>
    </w:p>
    <w:p w14:paraId="4C8D92A7">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000000" w:themeColor="text1"/>
          <w:szCs w:val="21"/>
          <w:highlight w:val="none"/>
          <w14:textFill>
            <w14:solidFill>
              <w14:schemeClr w14:val="tx1"/>
            </w14:solidFill>
          </w14:textFill>
        </w:rPr>
        <w:t>政府采购</w:t>
      </w:r>
      <w:r>
        <w:rPr>
          <w:rFonts w:hint="eastAsia" w:ascii="宋体" w:hAnsi="宋体" w:eastAsia="宋体" w:cs="宋体"/>
          <w:color w:val="000000" w:themeColor="text1"/>
          <w:szCs w:val="21"/>
          <w:highlight w:val="none"/>
          <w:lang w:val="zh-CN"/>
          <w14:textFill>
            <w14:solidFill>
              <w14:schemeClr w14:val="tx1"/>
            </w14:solidFill>
          </w14:textFill>
        </w:rPr>
        <w:t>严重违法失信行为记录名单的投标人，做好相关记录（处罚期限届满的除外）。</w:t>
      </w:r>
    </w:p>
    <w:p w14:paraId="7155C7AA">
      <w:pPr>
        <w:pStyle w:val="47"/>
        <w:rPr>
          <w:color w:val="000000" w:themeColor="text1"/>
          <w:highlight w:val="none"/>
          <w:lang w:val="zh-CN"/>
          <w14:textFill>
            <w14:solidFill>
              <w14:schemeClr w14:val="tx1"/>
            </w14:solidFill>
          </w14:textFill>
        </w:rPr>
      </w:pPr>
    </w:p>
    <w:p w14:paraId="481ABF60">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lang w:val="zh-CN"/>
          <w14:textFill>
            <w14:solidFill>
              <w14:schemeClr w14:val="tx1"/>
            </w14:solidFill>
          </w14:textFill>
        </w:rPr>
      </w:pPr>
      <w:bookmarkStart w:id="16" w:name="_Toc15579"/>
      <w:bookmarkStart w:id="17" w:name="_Toc10505"/>
      <w:r>
        <w:rPr>
          <w:rFonts w:hint="eastAsia" w:ascii="宋体" w:hAnsi="宋体" w:eastAsia="宋体" w:cs="宋体"/>
          <w:color w:val="000000" w:themeColor="text1"/>
          <w:szCs w:val="21"/>
          <w:highlight w:val="none"/>
          <w:lang w:val="zh-CN"/>
          <w14:textFill>
            <w14:solidFill>
              <w14:schemeClr w14:val="tx1"/>
            </w14:solidFill>
          </w14:textFill>
        </w:rPr>
        <w:t>投标会时间、地点及投标文件提交截止时间：</w:t>
      </w:r>
      <w:bookmarkEnd w:id="16"/>
      <w:bookmarkEnd w:id="17"/>
    </w:p>
    <w:p w14:paraId="559AC58A">
      <w:pPr>
        <w:pStyle w:val="161"/>
        <w:spacing w:line="360" w:lineRule="auto"/>
        <w:ind w:left="420" w:hanging="420" w:hangingChars="200"/>
        <w:jc w:val="both"/>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14:textFill>
            <w14:solidFill>
              <w14:schemeClr w14:val="tx1"/>
            </w14:solidFill>
          </w14:textFill>
        </w:rPr>
        <w:t xml:space="preserve">5.1 </w:t>
      </w:r>
      <w:r>
        <w:rPr>
          <w:rFonts w:hint="eastAsia" w:hAnsi="宋体" w:eastAsia="宋体" w:cs="宋体"/>
          <w:bCs/>
          <w:color w:val="000000" w:themeColor="text1"/>
          <w:sz w:val="21"/>
          <w:szCs w:val="21"/>
          <w:highlight w:val="none"/>
          <w:lang w:val="zh-CN"/>
          <w14:textFill>
            <w14:solidFill>
              <w14:schemeClr w14:val="tx1"/>
            </w14:solidFill>
          </w14:textFill>
        </w:rPr>
        <w:t>投标会召开时间：</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2026</w:t>
      </w:r>
      <w:r>
        <w:rPr>
          <w:rFonts w:hint="eastAsia" w:hAnsi="宋体" w:eastAsia="宋体" w:cs="宋体"/>
          <w:bCs/>
          <w:color w:val="000000" w:themeColor="text1"/>
          <w:sz w:val="21"/>
          <w:szCs w:val="21"/>
          <w:highlight w:val="none"/>
          <w:u w:val="single"/>
          <w:lang w:val="zh-CN" w:eastAsia="zh-CN"/>
          <w14:textFill>
            <w14:solidFill>
              <w14:schemeClr w14:val="tx1"/>
            </w14:solidFill>
          </w14:textFill>
        </w:rPr>
        <w:t>年</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zh-CN"/>
          <w14:textFill>
            <w14:solidFill>
              <w14:schemeClr w14:val="tx1"/>
            </w14:solidFill>
          </w14:textFill>
        </w:rPr>
        <w:t>月</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zh-CN"/>
          <w14:textFill>
            <w14:solidFill>
              <w14:schemeClr w14:val="tx1"/>
            </w14:solidFill>
          </w14:textFill>
        </w:rPr>
        <w:t>日</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09</w:t>
      </w:r>
      <w:r>
        <w:rPr>
          <w:rFonts w:hint="eastAsia" w:hAnsi="宋体" w:eastAsia="宋体" w:cs="宋体"/>
          <w:bCs/>
          <w:color w:val="000000" w:themeColor="text1"/>
          <w:sz w:val="21"/>
          <w:szCs w:val="21"/>
          <w:highlight w:val="none"/>
          <w:u w:val="single"/>
          <w:lang w:val="zh-CN"/>
          <w14:textFill>
            <w14:solidFill>
              <w14:schemeClr w14:val="tx1"/>
            </w14:solidFill>
          </w14:textFill>
        </w:rPr>
        <w:t>时</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30</w:t>
      </w:r>
      <w:r>
        <w:rPr>
          <w:rFonts w:hint="eastAsia" w:hAnsi="宋体" w:eastAsia="宋体" w:cs="宋体"/>
          <w:bCs/>
          <w:color w:val="000000" w:themeColor="text1"/>
          <w:sz w:val="21"/>
          <w:szCs w:val="21"/>
          <w:highlight w:val="none"/>
          <w:u w:val="single"/>
          <w:lang w:val="zh-CN"/>
          <w14:textFill>
            <w14:solidFill>
              <w14:schemeClr w14:val="tx1"/>
            </w14:solidFill>
          </w14:textFill>
        </w:rPr>
        <w:t>分</w:t>
      </w:r>
      <w:r>
        <w:rPr>
          <w:rFonts w:hint="eastAsia" w:hAnsi="宋体" w:eastAsia="宋体" w:cs="宋体"/>
          <w:bCs/>
          <w:color w:val="000000" w:themeColor="text1"/>
          <w:sz w:val="21"/>
          <w:szCs w:val="21"/>
          <w:highlight w:val="none"/>
          <w:lang w:val="zh-CN"/>
          <w14:textFill>
            <w14:solidFill>
              <w14:schemeClr w14:val="tx1"/>
            </w14:solidFill>
          </w14:textFill>
        </w:rPr>
        <w:t>，投标会召开地点：东莞市南城</w:t>
      </w:r>
      <w:r>
        <w:rPr>
          <w:rFonts w:hint="eastAsia" w:hAnsi="宋体" w:eastAsia="宋体" w:cs="宋体"/>
          <w:bCs/>
          <w:color w:val="000000" w:themeColor="text1"/>
          <w:sz w:val="21"/>
          <w:szCs w:val="21"/>
          <w:highlight w:val="none"/>
          <w14:textFill>
            <w14:solidFill>
              <w14:schemeClr w14:val="tx1"/>
            </w14:solidFill>
          </w14:textFill>
        </w:rPr>
        <w:t>街道</w:t>
      </w:r>
      <w:r>
        <w:rPr>
          <w:rFonts w:hint="eastAsia" w:hAnsi="宋体" w:eastAsia="宋体" w:cs="宋体"/>
          <w:bCs/>
          <w:color w:val="000000" w:themeColor="text1"/>
          <w:sz w:val="21"/>
          <w:szCs w:val="21"/>
          <w:highlight w:val="none"/>
          <w:lang w:val="zh-CN"/>
          <w14:textFill>
            <w14:solidFill>
              <w14:schemeClr w14:val="tx1"/>
            </w14:solidFill>
          </w14:textFill>
        </w:rPr>
        <w:t>西平社区宏伟三路45号东莞市公共资源交易中心</w:t>
      </w:r>
      <w:r>
        <w:rPr>
          <w:rFonts w:hint="eastAsia" w:hAnsi="宋体" w:eastAsia="宋体" w:cs="宋体"/>
          <w:bCs/>
          <w:color w:val="000000" w:themeColor="text1"/>
          <w:sz w:val="21"/>
          <w:szCs w:val="21"/>
          <w:highlight w:val="none"/>
          <w:lang w:val="zh-CN"/>
          <w14:textFill>
            <w14:solidFill>
              <w14:schemeClr w14:val="tx1"/>
            </w14:solidFill>
          </w14:textFill>
        </w:rPr>
        <w:t>开标室（</w:t>
      </w:r>
      <w:r>
        <w:rPr>
          <w:rFonts w:hint="eastAsia" w:hAnsi="宋体" w:eastAsia="宋体" w:cs="宋体"/>
          <w:bCs/>
          <w:color w:val="000000" w:themeColor="text1"/>
          <w:sz w:val="21"/>
          <w:szCs w:val="21"/>
          <w:highlight w:val="none"/>
          <w:lang w:val="en-US" w:eastAsia="zh-CN"/>
          <w14:textFill>
            <w14:solidFill>
              <w14:schemeClr w14:val="tx1"/>
            </w14:solidFill>
          </w14:textFill>
        </w:rPr>
        <w:t>8</w:t>
      </w:r>
      <w:r>
        <w:rPr>
          <w:rFonts w:hint="eastAsia" w:hAnsi="宋体" w:eastAsia="宋体" w:cs="宋体"/>
          <w:bCs/>
          <w:color w:val="000000" w:themeColor="text1"/>
          <w:sz w:val="21"/>
          <w:szCs w:val="21"/>
          <w:highlight w:val="none"/>
          <w:lang w:val="zh-CN"/>
          <w14:textFill>
            <w14:solidFill>
              <w14:schemeClr w14:val="tx1"/>
            </w14:solidFill>
          </w14:textFill>
        </w:rPr>
        <w:t>）</w:t>
      </w:r>
      <w:r>
        <w:rPr>
          <w:rFonts w:hint="eastAsia" w:hAnsi="宋体" w:eastAsia="宋体" w:cs="宋体"/>
          <w:bCs/>
          <w:color w:val="000000" w:themeColor="text1"/>
          <w:sz w:val="21"/>
          <w:szCs w:val="21"/>
          <w:highlight w:val="none"/>
          <w:lang w:val="zh-CN"/>
          <w14:textFill>
            <w14:solidFill>
              <w14:schemeClr w14:val="tx1"/>
            </w14:solidFill>
          </w14:textFill>
        </w:rPr>
        <w:t>；</w:t>
      </w:r>
    </w:p>
    <w:p w14:paraId="1F139B0D">
      <w:pPr>
        <w:pStyle w:val="161"/>
        <w:spacing w:line="360" w:lineRule="auto"/>
        <w:ind w:left="420" w:hanging="420" w:hangingChars="200"/>
        <w:jc w:val="both"/>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lang w:val="zh-CN"/>
          <w14:textFill>
            <w14:solidFill>
              <w14:schemeClr w14:val="tx1"/>
            </w14:solidFill>
          </w14:textFill>
        </w:rPr>
        <w:t>5.</w:t>
      </w:r>
      <w:r>
        <w:rPr>
          <w:rFonts w:hint="eastAsia" w:hAnsi="宋体" w:eastAsia="宋体" w:cs="宋体"/>
          <w:bCs/>
          <w:color w:val="000000" w:themeColor="text1"/>
          <w:sz w:val="21"/>
          <w:szCs w:val="21"/>
          <w:highlight w:val="none"/>
          <w14:textFill>
            <w14:solidFill>
              <w14:schemeClr w14:val="tx1"/>
            </w14:solidFill>
          </w14:textFill>
        </w:rPr>
        <w:t>2</w:t>
      </w:r>
      <w:r>
        <w:rPr>
          <w:rFonts w:hint="eastAsia" w:hAnsi="宋体" w:eastAsia="宋体" w:cs="宋体"/>
          <w:bCs/>
          <w:color w:val="000000" w:themeColor="text1"/>
          <w:sz w:val="21"/>
          <w:szCs w:val="21"/>
          <w:highlight w:val="none"/>
          <w:lang w:val="zh-CN"/>
          <w14:textFill>
            <w14:solidFill>
              <w14:schemeClr w14:val="tx1"/>
            </w14:solidFill>
          </w14:textFill>
        </w:rPr>
        <w:t xml:space="preserve"> 投标文件递交的截止时间（投标截止时间，下同）：</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2026</w:t>
      </w:r>
      <w:r>
        <w:rPr>
          <w:rFonts w:hint="eastAsia" w:hAnsi="宋体" w:eastAsia="宋体" w:cs="宋体"/>
          <w:bCs/>
          <w:color w:val="000000" w:themeColor="text1"/>
          <w:sz w:val="21"/>
          <w:szCs w:val="21"/>
          <w:highlight w:val="none"/>
          <w:u w:val="single"/>
          <w:lang w:val="zh-CN" w:eastAsia="zh-CN"/>
          <w14:textFill>
            <w14:solidFill>
              <w14:schemeClr w14:val="tx1"/>
            </w14:solidFill>
          </w14:textFill>
        </w:rPr>
        <w:t>年</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zh-CN"/>
          <w14:textFill>
            <w14:solidFill>
              <w14:schemeClr w14:val="tx1"/>
            </w14:solidFill>
          </w14:textFill>
        </w:rPr>
        <w:t>月</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2</w:t>
      </w:r>
      <w:r>
        <w:rPr>
          <w:rFonts w:hint="eastAsia" w:hAnsi="宋体" w:eastAsia="宋体" w:cs="宋体"/>
          <w:bCs/>
          <w:color w:val="000000" w:themeColor="text1"/>
          <w:sz w:val="21"/>
          <w:szCs w:val="21"/>
          <w:highlight w:val="none"/>
          <w:u w:val="single"/>
          <w14:textFill>
            <w14:solidFill>
              <w14:schemeClr w14:val="tx1"/>
            </w14:solidFill>
          </w14:textFill>
        </w:rPr>
        <w:t xml:space="preserve"> </w:t>
      </w:r>
      <w:r>
        <w:rPr>
          <w:rFonts w:hint="eastAsia" w:hAnsi="宋体" w:eastAsia="宋体" w:cs="宋体"/>
          <w:bCs/>
          <w:color w:val="000000" w:themeColor="text1"/>
          <w:sz w:val="21"/>
          <w:szCs w:val="21"/>
          <w:highlight w:val="none"/>
          <w:u w:val="single"/>
          <w:lang w:val="zh-CN"/>
          <w14:textFill>
            <w14:solidFill>
              <w14:schemeClr w14:val="tx1"/>
            </w14:solidFill>
          </w14:textFill>
        </w:rPr>
        <w:t>日</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09</w:t>
      </w:r>
      <w:r>
        <w:rPr>
          <w:rFonts w:hint="eastAsia" w:hAnsi="宋体" w:eastAsia="宋体" w:cs="宋体"/>
          <w:bCs/>
          <w:color w:val="000000" w:themeColor="text1"/>
          <w:sz w:val="21"/>
          <w:szCs w:val="21"/>
          <w:highlight w:val="none"/>
          <w:u w:val="single"/>
          <w:lang w:val="zh-CN"/>
          <w14:textFill>
            <w14:solidFill>
              <w14:schemeClr w14:val="tx1"/>
            </w14:solidFill>
          </w14:textFill>
        </w:rPr>
        <w:t>时</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30</w:t>
      </w:r>
      <w:r>
        <w:rPr>
          <w:rFonts w:hint="eastAsia" w:hAnsi="宋体" w:eastAsia="宋体" w:cs="宋体"/>
          <w:bCs/>
          <w:color w:val="000000" w:themeColor="text1"/>
          <w:sz w:val="21"/>
          <w:szCs w:val="21"/>
          <w:highlight w:val="none"/>
          <w:u w:val="single"/>
          <w:lang w:val="zh-CN"/>
          <w14:textFill>
            <w14:solidFill>
              <w14:schemeClr w14:val="tx1"/>
            </w14:solidFill>
          </w14:textFill>
        </w:rPr>
        <w:t>分</w:t>
      </w:r>
      <w:r>
        <w:rPr>
          <w:rFonts w:hint="eastAsia" w:hAnsi="宋体" w:eastAsia="宋体" w:cs="宋体"/>
          <w:bCs/>
          <w:color w:val="000000" w:themeColor="text1"/>
          <w:sz w:val="21"/>
          <w:szCs w:val="21"/>
          <w:highlight w:val="none"/>
          <w:lang w:val="zh-CN"/>
          <w14:textFill>
            <w14:solidFill>
              <w14:schemeClr w14:val="tx1"/>
            </w14:solidFill>
          </w14:textFill>
        </w:rPr>
        <w:t>，地点：通过东莞市公共资源交易E网通管理平台建设工程交易系统网上提交；</w:t>
      </w:r>
    </w:p>
    <w:p w14:paraId="3CC87D5A">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lang w:val="zh-CN"/>
          <w14:textFill>
            <w14:solidFill>
              <w14:schemeClr w14:val="tx1"/>
            </w14:solidFill>
          </w14:textFill>
        </w:rPr>
        <w:t>5.</w:t>
      </w:r>
      <w:r>
        <w:rPr>
          <w:rFonts w:hint="eastAsia" w:hAnsi="宋体" w:eastAsia="宋体" w:cs="宋体"/>
          <w:bCs/>
          <w:color w:val="000000" w:themeColor="text1"/>
          <w:sz w:val="21"/>
          <w:szCs w:val="21"/>
          <w:highlight w:val="none"/>
          <w14:textFill>
            <w14:solidFill>
              <w14:schemeClr w14:val="tx1"/>
            </w14:solidFill>
          </w14:textFill>
        </w:rPr>
        <w:t>3</w:t>
      </w:r>
      <w:r>
        <w:rPr>
          <w:rFonts w:hint="eastAsia" w:hAnsi="宋体" w:eastAsia="宋体" w:cs="宋体"/>
          <w:bCs/>
          <w:color w:val="000000" w:themeColor="text1"/>
          <w:sz w:val="21"/>
          <w:szCs w:val="21"/>
          <w:highlight w:val="none"/>
          <w:lang w:val="zh-CN"/>
          <w14:textFill>
            <w14:solidFill>
              <w14:schemeClr w14:val="tx1"/>
            </w14:solidFill>
          </w14:textFill>
        </w:rPr>
        <w:t xml:space="preserve"> 投标人必须通过交易系统在线上传投标文件，上述方式外提交的投标文件及逾期通过网络上传的电子投标文件，招标人不予受理。</w:t>
      </w:r>
    </w:p>
    <w:p w14:paraId="4C850F17">
      <w:pPr>
        <w:autoSpaceDE w:val="0"/>
        <w:autoSpaceDN w:val="0"/>
        <w:adjustRightInd w:val="0"/>
        <w:spacing w:line="360" w:lineRule="auto"/>
        <w:ind w:right="-29" w:rightChars="-14" w:firstLine="210" w:firstLineChars="100"/>
        <w:rPr>
          <w:rFonts w:ascii="宋体" w:hAnsi="宋体" w:eastAsia="宋体" w:cs="宋体"/>
          <w:color w:val="000000" w:themeColor="text1"/>
          <w:kern w:val="0"/>
          <w:szCs w:val="21"/>
          <w:highlight w:val="none"/>
          <w14:textFill>
            <w14:solidFill>
              <w14:schemeClr w14:val="tx1"/>
            </w14:solidFill>
          </w14:textFill>
        </w:rPr>
      </w:pPr>
    </w:p>
    <w:p w14:paraId="0A42983B">
      <w:pPr>
        <w:numPr>
          <w:ilvl w:val="0"/>
          <w:numId w:val="1"/>
        </w:numPr>
        <w:snapToGrid w:val="0"/>
        <w:spacing w:line="360" w:lineRule="auto"/>
        <w:ind w:right="-34"/>
        <w:rPr>
          <w:rFonts w:ascii="宋体" w:hAnsi="宋体" w:eastAsia="宋体" w:cs="宋体"/>
          <w:bCs/>
          <w:color w:val="000000" w:themeColor="text1"/>
          <w:szCs w:val="21"/>
          <w:highlight w:val="none"/>
          <w:lang w:val="zh-CN"/>
          <w14:textFill>
            <w14:solidFill>
              <w14:schemeClr w14:val="tx1"/>
            </w14:solidFill>
          </w14:textFill>
        </w:rPr>
      </w:pPr>
      <w:bookmarkStart w:id="18" w:name="_Toc19461"/>
      <w:bookmarkStart w:id="19" w:name="_Toc8363"/>
      <w:r>
        <w:rPr>
          <w:rFonts w:hint="eastAsia" w:ascii="宋体" w:hAnsi="宋体" w:eastAsia="宋体" w:cs="宋体"/>
          <w:bCs/>
          <w:color w:val="000000" w:themeColor="text1"/>
          <w:szCs w:val="21"/>
          <w:highlight w:val="none"/>
          <w:lang w:val="zh-CN"/>
          <w14:textFill>
            <w14:solidFill>
              <w14:schemeClr w14:val="tx1"/>
            </w14:solidFill>
          </w14:textFill>
        </w:rPr>
        <w:t>开标时间和地点：</w:t>
      </w:r>
      <w:bookmarkEnd w:id="18"/>
      <w:bookmarkEnd w:id="19"/>
    </w:p>
    <w:p w14:paraId="45F8F055">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bookmarkStart w:id="20" w:name="_Toc8817"/>
      <w:bookmarkStart w:id="21" w:name="_Toc15059"/>
      <w:r>
        <w:rPr>
          <w:rFonts w:hint="eastAsia" w:hAnsi="宋体" w:eastAsia="宋体" w:cs="宋体"/>
          <w:bCs/>
          <w:color w:val="000000" w:themeColor="text1"/>
          <w:sz w:val="21"/>
          <w:szCs w:val="21"/>
          <w:highlight w:val="none"/>
          <w:lang w:val="zh-CN"/>
          <w14:textFill>
            <w14:solidFill>
              <w14:schemeClr w14:val="tx1"/>
            </w14:solidFill>
          </w14:textFill>
        </w:rPr>
        <w:t>6.1 开标时间：同投标截止时间；</w:t>
      </w:r>
      <w:bookmarkEnd w:id="20"/>
      <w:bookmarkEnd w:id="21"/>
    </w:p>
    <w:p w14:paraId="5EEDF6C7">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lang w:val="zh-CN"/>
          <w14:textFill>
            <w14:solidFill>
              <w14:schemeClr w14:val="tx1"/>
            </w14:solidFill>
          </w14:textFill>
        </w:rPr>
        <w:t>6.2 开标地点：东莞市南城</w:t>
      </w:r>
      <w:r>
        <w:rPr>
          <w:rFonts w:hint="eastAsia" w:hAnsi="宋体" w:eastAsia="宋体" w:cs="宋体"/>
          <w:bCs/>
          <w:color w:val="000000" w:themeColor="text1"/>
          <w:sz w:val="21"/>
          <w:szCs w:val="21"/>
          <w:highlight w:val="none"/>
          <w14:textFill>
            <w14:solidFill>
              <w14:schemeClr w14:val="tx1"/>
            </w14:solidFill>
          </w14:textFill>
        </w:rPr>
        <w:t>街道</w:t>
      </w:r>
      <w:r>
        <w:rPr>
          <w:rFonts w:hint="eastAsia" w:hAnsi="宋体" w:eastAsia="宋体" w:cs="宋体"/>
          <w:bCs/>
          <w:color w:val="000000" w:themeColor="text1"/>
          <w:sz w:val="21"/>
          <w:szCs w:val="21"/>
          <w:highlight w:val="none"/>
          <w:lang w:val="zh-CN"/>
          <w14:textFill>
            <w14:solidFill>
              <w14:schemeClr w14:val="tx1"/>
            </w14:solidFill>
          </w14:textFill>
        </w:rPr>
        <w:t>西平社区宏伟三路45号东莞市公共资源交易中心</w:t>
      </w:r>
      <w:r>
        <w:rPr>
          <w:rFonts w:hint="eastAsia" w:hAnsi="宋体" w:eastAsia="宋体" w:cs="宋体"/>
          <w:bCs/>
          <w:color w:val="000000" w:themeColor="text1"/>
          <w:sz w:val="21"/>
          <w:szCs w:val="21"/>
          <w:highlight w:val="none"/>
          <w:lang w:val="zh-CN"/>
          <w14:textFill>
            <w14:solidFill>
              <w14:schemeClr w14:val="tx1"/>
            </w14:solidFill>
          </w14:textFill>
        </w:rPr>
        <w:t>开标室（</w:t>
      </w:r>
      <w:r>
        <w:rPr>
          <w:rFonts w:hint="eastAsia" w:hAnsi="宋体" w:eastAsia="宋体" w:cs="宋体"/>
          <w:bCs/>
          <w:color w:val="000000" w:themeColor="text1"/>
          <w:sz w:val="21"/>
          <w:szCs w:val="21"/>
          <w:highlight w:val="none"/>
          <w:lang w:val="en-US" w:eastAsia="zh-CN"/>
          <w14:textFill>
            <w14:solidFill>
              <w14:schemeClr w14:val="tx1"/>
            </w14:solidFill>
          </w14:textFill>
        </w:rPr>
        <w:t>8</w:t>
      </w:r>
      <w:r>
        <w:rPr>
          <w:rFonts w:hint="eastAsia" w:hAnsi="宋体" w:eastAsia="宋体" w:cs="宋体"/>
          <w:bCs/>
          <w:color w:val="000000" w:themeColor="text1"/>
          <w:sz w:val="21"/>
          <w:szCs w:val="21"/>
          <w:highlight w:val="none"/>
          <w:lang w:val="zh-CN"/>
          <w14:textFill>
            <w14:solidFill>
              <w14:schemeClr w14:val="tx1"/>
            </w14:solidFill>
          </w14:textFill>
        </w:rPr>
        <w:t>）</w:t>
      </w:r>
      <w:r>
        <w:rPr>
          <w:rFonts w:hint="eastAsia" w:hAnsi="宋体" w:eastAsia="宋体" w:cs="宋体"/>
          <w:bCs/>
          <w:color w:val="000000" w:themeColor="text1"/>
          <w:sz w:val="21"/>
          <w:szCs w:val="21"/>
          <w:highlight w:val="none"/>
          <w:lang w:val="zh-CN"/>
          <w14:textFill>
            <w14:solidFill>
              <w14:schemeClr w14:val="tx1"/>
            </w14:solidFill>
          </w14:textFill>
        </w:rPr>
        <w:t>。</w:t>
      </w:r>
    </w:p>
    <w:p w14:paraId="1D41A16E">
      <w:pPr>
        <w:autoSpaceDE w:val="0"/>
        <w:autoSpaceDN w:val="0"/>
        <w:adjustRightInd w:val="0"/>
        <w:spacing w:line="360" w:lineRule="auto"/>
        <w:ind w:left="210" w:leftChars="100" w:right="-29" w:rightChars="-14"/>
        <w:rPr>
          <w:rFonts w:ascii="宋体" w:hAnsi="宋体" w:eastAsia="宋体" w:cs="宋体"/>
          <w:color w:val="000000" w:themeColor="text1"/>
          <w:szCs w:val="21"/>
          <w:highlight w:val="none"/>
          <w:lang w:val="zh-CN"/>
          <w14:textFill>
            <w14:solidFill>
              <w14:schemeClr w14:val="tx1"/>
            </w14:solidFill>
          </w14:textFill>
        </w:rPr>
      </w:pPr>
    </w:p>
    <w:p w14:paraId="00693E76">
      <w:pPr>
        <w:numPr>
          <w:ilvl w:val="0"/>
          <w:numId w:val="1"/>
        </w:numPr>
        <w:wordWrap w:val="0"/>
        <w:autoSpaceDE w:val="0"/>
        <w:autoSpaceDN w:val="0"/>
        <w:adjustRightInd w:val="0"/>
        <w:snapToGrid w:val="0"/>
        <w:spacing w:line="360" w:lineRule="auto"/>
        <w:ind w:left="363" w:right="-34" w:hanging="363"/>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相关公告在以下媒介发布：全国公共资源交易平台（广东省·东莞市）（https://ygp.gdzwfw.gov.cn/#/441900/index）、中国招标投标公共服务平台（www.cebpubservice.com）、东莞市水务环境投资控股集团有限公司（www.dgswjt.cn）、招标代理机构网站（www.gzjc.com.cn）</w:t>
      </w:r>
      <w:r>
        <w:rPr>
          <w:rFonts w:hint="eastAsia" w:ascii="宋体" w:hAnsi="宋体" w:eastAsia="宋体" w:cs="宋体"/>
          <w:color w:val="000000" w:themeColor="text1"/>
          <w:szCs w:val="21"/>
          <w:highlight w:val="none"/>
          <w:lang w:val="zh-CN"/>
          <w14:textFill>
            <w14:solidFill>
              <w14:schemeClr w14:val="tx1"/>
            </w14:solidFill>
          </w14:textFill>
        </w:rPr>
        <w:t>。</w:t>
      </w:r>
    </w:p>
    <w:p w14:paraId="472427A3">
      <w:pPr>
        <w:pStyle w:val="47"/>
        <w:rPr>
          <w:rFonts w:hAnsi="宋体" w:eastAsia="宋体" w:cs="宋体"/>
          <w:color w:val="000000" w:themeColor="text1"/>
          <w:highlight w:val="none"/>
          <w14:textFill>
            <w14:solidFill>
              <w14:schemeClr w14:val="tx1"/>
            </w14:solidFill>
          </w14:textFill>
        </w:rPr>
      </w:pPr>
    </w:p>
    <w:p w14:paraId="552CDA30">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14:textFill>
            <w14:solidFill>
              <w14:schemeClr w14:val="tx1"/>
            </w14:solidFill>
          </w14:textFill>
        </w:rPr>
      </w:pPr>
      <w:bookmarkStart w:id="22" w:name="_Toc3809"/>
      <w:bookmarkStart w:id="23" w:name="_Toc16545"/>
      <w:r>
        <w:rPr>
          <w:rFonts w:hint="eastAsia" w:ascii="宋体" w:hAnsi="宋体" w:eastAsia="宋体" w:cs="宋体"/>
          <w:color w:val="000000" w:themeColor="text1"/>
          <w:szCs w:val="21"/>
          <w:highlight w:val="none"/>
          <w14:textFill>
            <w14:solidFill>
              <w14:schemeClr w14:val="tx1"/>
            </w14:solidFill>
          </w14:textFill>
        </w:rPr>
        <w:t>投标保证金</w:t>
      </w:r>
      <w:bookmarkEnd w:id="22"/>
      <w:bookmarkEnd w:id="23"/>
    </w:p>
    <w:p w14:paraId="38C26620">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14:textFill>
            <w14:solidFill>
              <w14:schemeClr w14:val="tx1"/>
            </w14:solidFill>
          </w14:textFill>
        </w:rPr>
        <w:t>8</w:t>
      </w:r>
      <w:r>
        <w:rPr>
          <w:rFonts w:hint="eastAsia" w:hAnsi="宋体" w:eastAsia="宋体" w:cs="宋体"/>
          <w:bCs/>
          <w:color w:val="000000" w:themeColor="text1"/>
          <w:sz w:val="21"/>
          <w:szCs w:val="21"/>
          <w:highlight w:val="none"/>
          <w:lang w:val="zh-CN"/>
          <w14:textFill>
            <w14:solidFill>
              <w14:schemeClr w14:val="tx1"/>
            </w14:solidFill>
          </w14:textFill>
        </w:rPr>
        <w:t>.1 本次招标投标人须提交投标保证金金额：</w:t>
      </w:r>
      <w:r>
        <w:rPr>
          <w:rFonts w:hint="eastAsia" w:ascii="宋体" w:hAnsi="宋体" w:eastAsia="宋体" w:cs="宋体"/>
          <w:bCs/>
          <w:color w:val="000000" w:themeColor="text1"/>
          <w:sz w:val="21"/>
          <w:szCs w:val="21"/>
          <w:highlight w:val="none"/>
          <w:u w:val="single"/>
          <w14:textFill>
            <w14:solidFill>
              <w14:schemeClr w14:val="tx1"/>
            </w14:solidFill>
          </w14:textFill>
        </w:rPr>
        <w:t>19</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0,000</w:t>
      </w:r>
      <w:r>
        <w:rPr>
          <w:rFonts w:hint="eastAsia" w:ascii="宋体" w:hAnsi="宋体" w:eastAsia="宋体" w:cs="宋体"/>
          <w:bCs/>
          <w:color w:val="000000" w:themeColor="text1"/>
          <w:sz w:val="21"/>
          <w:szCs w:val="21"/>
          <w:highlight w:val="none"/>
          <w:u w:val="single"/>
          <w14:textFill>
            <w14:solidFill>
              <w14:schemeClr w14:val="tx1"/>
            </w14:solidFill>
          </w14:textFill>
        </w:rPr>
        <w:t>.</w:t>
      </w:r>
      <w:r>
        <w:rPr>
          <w:rFonts w:hint="eastAsia" w:hAnsi="宋体" w:eastAsia="宋体" w:cs="宋体"/>
          <w:bCs/>
          <w:color w:val="000000" w:themeColor="text1"/>
          <w:sz w:val="21"/>
          <w:szCs w:val="21"/>
          <w:highlight w:val="none"/>
          <w:u w:val="single"/>
          <w:lang w:val="en-US" w:eastAsia="zh-CN"/>
          <w14:textFill>
            <w14:solidFill>
              <w14:schemeClr w14:val="tx1"/>
            </w14:solidFill>
          </w14:textFill>
        </w:rPr>
        <w:t>00</w:t>
      </w:r>
      <w:r>
        <w:rPr>
          <w:rFonts w:hint="eastAsia" w:hAnsi="宋体" w:eastAsia="宋体" w:cs="宋体"/>
          <w:bCs/>
          <w:color w:val="000000" w:themeColor="text1"/>
          <w:sz w:val="21"/>
          <w:szCs w:val="21"/>
          <w:highlight w:val="none"/>
          <w:lang w:val="zh-CN"/>
          <w14:textFill>
            <w14:solidFill>
              <w14:schemeClr w14:val="tx1"/>
            </w14:solidFill>
          </w14:textFill>
        </w:rPr>
        <w:t>元。</w:t>
      </w:r>
    </w:p>
    <w:p w14:paraId="2F365AFF">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14:textFill>
            <w14:solidFill>
              <w14:schemeClr w14:val="tx1"/>
            </w14:solidFill>
          </w14:textFill>
        </w:rPr>
        <w:t>8</w:t>
      </w:r>
      <w:r>
        <w:rPr>
          <w:rFonts w:hint="eastAsia" w:hAnsi="宋体" w:eastAsia="宋体" w:cs="宋体"/>
          <w:bCs/>
          <w:color w:val="000000" w:themeColor="text1"/>
          <w:sz w:val="21"/>
          <w:szCs w:val="21"/>
          <w:highlight w:val="none"/>
          <w:lang w:val="zh-CN"/>
          <w14:textFill>
            <w14:solidFill>
              <w14:schemeClr w14:val="tx1"/>
            </w14:solidFill>
          </w14:textFill>
        </w:rPr>
        <w:t>.2.1</w:t>
      </w:r>
      <w:r>
        <w:rPr>
          <w:rFonts w:hint="eastAsia" w:hAnsi="宋体" w:eastAsia="宋体" w:cs="宋体"/>
          <w:bCs/>
          <w:color w:val="000000" w:themeColor="text1"/>
          <w:sz w:val="21"/>
          <w:szCs w:val="21"/>
          <w:highlight w:val="none"/>
          <w14:textFill>
            <w14:solidFill>
              <w14:schemeClr w14:val="tx1"/>
            </w14:solidFill>
          </w14:textFill>
        </w:rPr>
        <w:t xml:space="preserve"> </w:t>
      </w:r>
      <w:r>
        <w:rPr>
          <w:rFonts w:hint="eastAsia" w:hAnsi="宋体" w:eastAsia="宋体" w:cs="宋体"/>
          <w:bCs/>
          <w:color w:val="000000" w:themeColor="text1"/>
          <w:sz w:val="21"/>
          <w:szCs w:val="21"/>
          <w:highlight w:val="none"/>
          <w:lang w:val="zh-CN"/>
          <w14:textFill>
            <w14:solidFill>
              <w14:schemeClr w14:val="tx1"/>
            </w14:solidFill>
          </w14:textFill>
        </w:rPr>
        <w:t>投标保证金形式：单项投标保证金；银行电子保函；保险电子保单；</w:t>
      </w:r>
    </w:p>
    <w:p w14:paraId="3891723F">
      <w:pPr>
        <w:pStyle w:val="161"/>
        <w:spacing w:line="360" w:lineRule="auto"/>
        <w:ind w:left="420" w:leftChars="200" w:firstLine="0" w:firstLineChars="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lang w:val="zh-CN"/>
          <w14:textFill>
            <w14:solidFill>
              <w14:schemeClr w14:val="tx1"/>
            </w14:solidFill>
          </w14:textFill>
        </w:rPr>
        <w:t>其它：      /       。</w:t>
      </w:r>
    </w:p>
    <w:p w14:paraId="0765782C">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bookmarkStart w:id="24" w:name="_Toc14886"/>
      <w:bookmarkStart w:id="25" w:name="_Toc31252"/>
      <w:r>
        <w:rPr>
          <w:rFonts w:hint="eastAsia" w:hAnsi="宋体" w:eastAsia="宋体" w:cs="宋体"/>
          <w:bCs/>
          <w:color w:val="000000" w:themeColor="text1"/>
          <w:sz w:val="21"/>
          <w:szCs w:val="21"/>
          <w:highlight w:val="none"/>
          <w14:textFill>
            <w14:solidFill>
              <w14:schemeClr w14:val="tx1"/>
            </w14:solidFill>
          </w14:textFill>
        </w:rPr>
        <w:t>8</w:t>
      </w:r>
      <w:r>
        <w:rPr>
          <w:rFonts w:hint="eastAsia" w:hAnsi="宋体" w:eastAsia="宋体" w:cs="宋体"/>
          <w:bCs/>
          <w:color w:val="000000" w:themeColor="text1"/>
          <w:sz w:val="21"/>
          <w:szCs w:val="21"/>
          <w:highlight w:val="none"/>
          <w:lang w:val="zh-CN"/>
          <w14:textFill>
            <w14:solidFill>
              <w14:schemeClr w14:val="tx1"/>
            </w14:solidFill>
          </w14:textFill>
        </w:rPr>
        <w:t>.</w:t>
      </w:r>
      <w:r>
        <w:rPr>
          <w:rFonts w:hint="eastAsia" w:hAnsi="宋体" w:eastAsia="宋体" w:cs="宋体"/>
          <w:bCs/>
          <w:color w:val="000000" w:themeColor="text1"/>
          <w:sz w:val="21"/>
          <w:szCs w:val="21"/>
          <w:highlight w:val="none"/>
          <w14:textFill>
            <w14:solidFill>
              <w14:schemeClr w14:val="tx1"/>
            </w14:solidFill>
          </w14:textFill>
        </w:rPr>
        <w:t xml:space="preserve">3 </w:t>
      </w:r>
      <w:r>
        <w:rPr>
          <w:rFonts w:hint="eastAsia" w:hAnsi="宋体" w:eastAsia="宋体" w:cs="宋体"/>
          <w:bCs/>
          <w:color w:val="000000" w:themeColor="text1"/>
          <w:sz w:val="21"/>
          <w:szCs w:val="21"/>
          <w:highlight w:val="none"/>
          <w:lang w:val="zh-CN"/>
          <w14:textFill>
            <w14:solidFill>
              <w14:schemeClr w14:val="tx1"/>
            </w14:solidFill>
          </w14:textFill>
        </w:rPr>
        <w:t>投标保证金形式注意事项：</w:t>
      </w:r>
      <w:bookmarkEnd w:id="24"/>
      <w:bookmarkEnd w:id="25"/>
    </w:p>
    <w:p w14:paraId="77FCA742">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bookmarkStart w:id="26" w:name="_Toc21912"/>
      <w:bookmarkStart w:id="27" w:name="_Toc26630"/>
      <w:r>
        <w:rPr>
          <w:rFonts w:hint="eastAsia" w:hAnsi="宋体" w:eastAsia="宋体" w:cs="宋体"/>
          <w:bCs/>
          <w:color w:val="000000" w:themeColor="text1"/>
          <w:sz w:val="21"/>
          <w:szCs w:val="21"/>
          <w:highlight w:val="none"/>
          <w:lang w:val="zh-CN"/>
          <w14:textFill>
            <w14:solidFill>
              <w14:schemeClr w14:val="tx1"/>
            </w14:solidFill>
          </w14:textFill>
        </w:rPr>
        <w:t>（1）投标保证金到账时间应为投标保证金的关联时间。</w:t>
      </w:r>
      <w:bookmarkEnd w:id="26"/>
      <w:bookmarkEnd w:id="27"/>
    </w:p>
    <w:p w14:paraId="099FD832">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r>
        <w:rPr>
          <w:rFonts w:hint="eastAsia" w:hAnsi="宋体" w:eastAsia="宋体" w:cs="宋体"/>
          <w:bCs/>
          <w:color w:val="000000" w:themeColor="text1"/>
          <w:sz w:val="21"/>
          <w:szCs w:val="21"/>
          <w:highlight w:val="none"/>
          <w:lang w:val="zh-CN"/>
          <w14:textFill>
            <w14:solidFill>
              <w14:schemeClr w14:val="tx1"/>
            </w14:solidFill>
          </w14:textFill>
        </w:rPr>
        <w:t>（2）投标保证金数据超过投标截止时间后到达交易系统的，无法关联。</w:t>
      </w:r>
    </w:p>
    <w:p w14:paraId="03508DD5">
      <w:pPr>
        <w:pStyle w:val="161"/>
        <w:spacing w:line="360" w:lineRule="auto"/>
        <w:ind w:left="420" w:hanging="420" w:hangingChars="200"/>
        <w:rPr>
          <w:rFonts w:hAnsi="宋体" w:eastAsia="宋体" w:cs="宋体"/>
          <w:bCs/>
          <w:color w:val="000000" w:themeColor="text1"/>
          <w:sz w:val="21"/>
          <w:szCs w:val="21"/>
          <w:highlight w:val="none"/>
          <w:lang w:val="zh-CN"/>
          <w14:textFill>
            <w14:solidFill>
              <w14:schemeClr w14:val="tx1"/>
            </w14:solidFill>
          </w14:textFill>
        </w:rPr>
      </w:pPr>
      <w:bookmarkStart w:id="28" w:name="_Toc12832"/>
      <w:bookmarkStart w:id="29" w:name="_Toc2829"/>
      <w:r>
        <w:rPr>
          <w:rFonts w:hint="eastAsia" w:hAnsi="宋体" w:eastAsia="宋体" w:cs="宋体"/>
          <w:bCs/>
          <w:color w:val="000000" w:themeColor="text1"/>
          <w:sz w:val="21"/>
          <w:szCs w:val="21"/>
          <w:highlight w:val="none"/>
          <w:lang w:val="zh-CN"/>
          <w14:textFill>
            <w14:solidFill>
              <w14:schemeClr w14:val="tx1"/>
            </w14:solidFill>
          </w14:textFill>
        </w:rPr>
        <w:t>（3）投标人应提前办理投标保证金手续，自行承担数据延误风险。</w:t>
      </w:r>
      <w:bookmarkEnd w:id="28"/>
      <w:bookmarkEnd w:id="29"/>
    </w:p>
    <w:p w14:paraId="18DCD418">
      <w:pPr>
        <w:numPr>
          <w:ilvl w:val="255"/>
          <w:numId w:val="0"/>
        </w:numPr>
        <w:autoSpaceDE w:val="0"/>
        <w:autoSpaceDN w:val="0"/>
        <w:adjustRightInd w:val="0"/>
        <w:snapToGrid w:val="0"/>
        <w:spacing w:line="360" w:lineRule="auto"/>
        <w:ind w:right="-34"/>
        <w:jc w:val="left"/>
        <w:rPr>
          <w:rFonts w:ascii="宋体" w:hAnsi="宋体" w:eastAsia="宋体" w:cs="宋体"/>
          <w:color w:val="000000" w:themeColor="text1"/>
          <w:szCs w:val="21"/>
          <w:highlight w:val="none"/>
          <w14:textFill>
            <w14:solidFill>
              <w14:schemeClr w14:val="tx1"/>
            </w14:solidFill>
          </w14:textFill>
        </w:rPr>
      </w:pPr>
    </w:p>
    <w:p w14:paraId="6EE3C9D5">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招标人联系方式</w:t>
      </w:r>
    </w:p>
    <w:p w14:paraId="008F479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招标人：</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p>
    <w:p w14:paraId="737F1FA3">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址：东莞市南城街道滨河路100号二期1号楼4楼</w:t>
      </w:r>
    </w:p>
    <w:p w14:paraId="76A1D830">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联系人：李建聪</w:t>
      </w:r>
    </w:p>
    <w:p w14:paraId="55093AC7">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话：0769-21663952</w:t>
      </w:r>
    </w:p>
    <w:p w14:paraId="00146CAD">
      <w:pPr>
        <w:autoSpaceDE w:val="0"/>
        <w:autoSpaceDN w:val="0"/>
        <w:adjustRightInd w:val="0"/>
        <w:spacing w:line="360" w:lineRule="auto"/>
        <w:ind w:right="-29" w:rightChars="-14" w:firstLine="420"/>
        <w:rPr>
          <w:rFonts w:ascii="宋体" w:hAnsi="宋体" w:eastAsia="宋体" w:cs="宋体"/>
          <w:color w:val="000000" w:themeColor="text1"/>
          <w:kern w:val="0"/>
          <w:szCs w:val="21"/>
          <w:highlight w:val="none"/>
          <w14:textFill>
            <w14:solidFill>
              <w14:schemeClr w14:val="tx1"/>
            </w14:solidFill>
          </w14:textFill>
        </w:rPr>
      </w:pPr>
    </w:p>
    <w:p w14:paraId="3670B30B">
      <w:pPr>
        <w:numPr>
          <w:ilvl w:val="0"/>
          <w:numId w:val="1"/>
        </w:numPr>
        <w:autoSpaceDE w:val="0"/>
        <w:autoSpaceDN w:val="0"/>
        <w:adjustRightInd w:val="0"/>
        <w:snapToGrid w:val="0"/>
        <w:spacing w:line="360" w:lineRule="auto"/>
        <w:ind w:right="-34"/>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hint="eastAsia" w:ascii="宋体" w:hAnsi="宋体" w:eastAsia="宋体" w:cs="宋体"/>
          <w:color w:val="000000" w:themeColor="text1"/>
          <w:szCs w:val="21"/>
          <w:highlight w:val="none"/>
          <w14:textFill>
            <w14:solidFill>
              <w14:schemeClr w14:val="tx1"/>
            </w14:solidFill>
          </w14:textFill>
        </w:rPr>
        <w:t>联系方式</w:t>
      </w:r>
    </w:p>
    <w:p w14:paraId="541450E9">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bookmarkStart w:id="30" w:name="_Toc486167661"/>
      <w:bookmarkStart w:id="31" w:name="_Toc31764_WPSOffice_Level1"/>
      <w:bookmarkStart w:id="32" w:name="_Toc450662847"/>
      <w:r>
        <w:rPr>
          <w:rFonts w:hint="eastAsia" w:ascii="宋体" w:hAnsi="宋体" w:eastAsia="宋体" w:cs="宋体"/>
          <w:color w:val="000000" w:themeColor="text1"/>
          <w:kern w:val="0"/>
          <w:szCs w:val="21"/>
          <w:highlight w:val="none"/>
          <w14:textFill>
            <w14:solidFill>
              <w14:schemeClr w14:val="tx1"/>
            </w14:solidFill>
          </w14:textFill>
        </w:rPr>
        <w:t>招标代理机构：建成工程咨询股份有限公司</w:t>
      </w:r>
    </w:p>
    <w:p w14:paraId="3C417490">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址：广东省东莞市南城街道西平宏伟三路</w:t>
      </w:r>
      <w:r>
        <w:rPr>
          <w:rFonts w:ascii="宋体" w:hAnsi="宋体" w:eastAsia="宋体" w:cs="宋体"/>
          <w:color w:val="000000" w:themeColor="text1"/>
          <w:kern w:val="0"/>
          <w:szCs w:val="21"/>
          <w:highlight w:val="none"/>
          <w14:textFill>
            <w14:solidFill>
              <w14:schemeClr w14:val="tx1"/>
            </w14:solidFill>
          </w14:textFill>
        </w:rPr>
        <w:t>39号联景商业大厦16层</w:t>
      </w:r>
    </w:p>
    <w:p w14:paraId="6FB9781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叶沛琳</w:t>
      </w:r>
    </w:p>
    <w:p w14:paraId="30F501BC">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w:t>
      </w:r>
      <w:r>
        <w:rPr>
          <w:rFonts w:ascii="宋体" w:hAnsi="宋体" w:eastAsia="宋体" w:cs="宋体"/>
          <w:color w:val="000000" w:themeColor="text1"/>
          <w:kern w:val="0"/>
          <w:szCs w:val="21"/>
          <w:highlight w:val="none"/>
          <w14:textFill>
            <w14:solidFill>
              <w14:schemeClr w14:val="tx1"/>
            </w14:solidFill>
          </w14:textFill>
        </w:rPr>
        <w:t>0769-22801999</w:t>
      </w:r>
    </w:p>
    <w:p w14:paraId="5B52CAA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3" w:name="_Toc142508311"/>
      <w:bookmarkStart w:id="34" w:name="_Toc18212"/>
      <w:bookmarkStart w:id="35" w:name="_Toc15718"/>
      <w:bookmarkStart w:id="36" w:name="_Toc151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30"/>
      <w:bookmarkEnd w:id="31"/>
      <w:bookmarkEnd w:id="32"/>
      <w:bookmarkEnd w:id="33"/>
      <w:bookmarkEnd w:id="34"/>
      <w:bookmarkEnd w:id="35"/>
      <w:bookmarkEnd w:id="36"/>
    </w:p>
    <w:p w14:paraId="07FE2E29">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7" w:name="_Toc10714"/>
      <w:bookmarkStart w:id="38" w:name="_Toc450662848"/>
      <w:bookmarkStart w:id="39" w:name="_Toc9555"/>
      <w:bookmarkStart w:id="40" w:name="_Toc142508312"/>
      <w:bookmarkStart w:id="41" w:name="_Toc140596871"/>
      <w:bookmarkStart w:id="42" w:name="_Toc15366_WPSOffice_Level2"/>
      <w:bookmarkStart w:id="43" w:name="_Toc486167662"/>
      <w:bookmarkStart w:id="44" w:name="_Toc24479"/>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37"/>
      <w:bookmarkEnd w:id="38"/>
      <w:bookmarkEnd w:id="39"/>
      <w:bookmarkEnd w:id="40"/>
      <w:bookmarkEnd w:id="41"/>
      <w:bookmarkEnd w:id="42"/>
      <w:bookmarkEnd w:id="43"/>
      <w:bookmarkEnd w:id="44"/>
    </w:p>
    <w:p w14:paraId="0AC9929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5" w:name="_Toc450662849"/>
      <w:bookmarkStart w:id="46" w:name="_Toc9608"/>
      <w:bookmarkStart w:id="47" w:name="_Toc486167663"/>
      <w:bookmarkStart w:id="48" w:name="_Toc21710_WPSOffice_Level3"/>
      <w:bookmarkStart w:id="49" w:name="_Toc142508313"/>
      <w:bookmarkStart w:id="50" w:name="_Toc26401"/>
      <w:bookmarkStart w:id="51" w:name="_Toc23333"/>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bookmarkEnd w:id="45"/>
      <w:bookmarkEnd w:id="46"/>
      <w:bookmarkEnd w:id="47"/>
      <w:bookmarkEnd w:id="48"/>
      <w:bookmarkEnd w:id="49"/>
      <w:bookmarkEnd w:id="50"/>
      <w:bookmarkEnd w:id="51"/>
    </w:p>
    <w:p w14:paraId="36B178D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F7CF68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52" w:name="_Toc450662850"/>
      <w:bookmarkStart w:id="53" w:name="_Toc18557"/>
      <w:bookmarkStart w:id="54" w:name="_Toc80_WPSOffice_Level3"/>
      <w:bookmarkStart w:id="55" w:name="_Toc32244"/>
      <w:bookmarkStart w:id="56" w:name="_Toc142508314"/>
      <w:bookmarkStart w:id="57" w:name="_Toc486167664"/>
      <w:bookmarkStart w:id="58" w:name="_Toc8792"/>
      <w:r>
        <w:rPr>
          <w:rFonts w:hint="eastAsia" w:ascii="宋体" w:hAnsi="宋体" w:eastAsia="宋体" w:cs="宋体"/>
          <w:b/>
          <w:color w:val="000000" w:themeColor="text1"/>
          <w:szCs w:val="21"/>
          <w:highlight w:val="none"/>
          <w:lang w:val="zh-CN"/>
          <w14:textFill>
            <w14:solidFill>
              <w14:schemeClr w14:val="tx1"/>
            </w14:solidFill>
          </w14:textFill>
        </w:rPr>
        <w:t>2 合格的投标人</w:t>
      </w:r>
      <w:bookmarkEnd w:id="52"/>
      <w:bookmarkEnd w:id="53"/>
      <w:bookmarkEnd w:id="54"/>
      <w:bookmarkEnd w:id="55"/>
      <w:bookmarkEnd w:id="56"/>
      <w:bookmarkEnd w:id="57"/>
      <w:bookmarkEnd w:id="58"/>
    </w:p>
    <w:p w14:paraId="72056AB1">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合格的投标人条件见第一篇《招标公告》中第2条的“合格投标人资格要求”及本条以下2.2款至2.</w:t>
      </w: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0C79548D">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000000" w:themeColor="text1"/>
          <w:kern w:val="0"/>
          <w:szCs w:val="21"/>
          <w:highlight w:val="none"/>
          <w:lang w:val="zh-CN"/>
          <w14:textFill>
            <w14:solidFill>
              <w14:schemeClr w14:val="tx1"/>
            </w14:solidFill>
          </w14:textFill>
        </w:rPr>
        <w:t>处罚说明</w:t>
      </w:r>
      <w:r>
        <w:rPr>
          <w:rFonts w:hint="eastAsia" w:ascii="宋体" w:hAnsi="宋体" w:eastAsia="宋体" w:cs="宋体"/>
          <w:b/>
          <w:color w:val="000000" w:themeColor="text1"/>
          <w:kern w:val="0"/>
          <w:szCs w:val="21"/>
          <w:highlight w:val="none"/>
          <w14:textFill>
            <w14:solidFill>
              <w14:schemeClr w14:val="tx1"/>
            </w14:solidFill>
          </w14:textFill>
        </w:rPr>
        <w:t>”，如果不主动填报而被事后发现的，将取消其投标（中标）资格，并按有关规定从重处理。</w:t>
      </w:r>
    </w:p>
    <w:p w14:paraId="5DFD3158">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2.3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72ED641A">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2.4  投标人（含其不具有独立法人资格的分支机构）未被列入“信用中国”网站（www.creditchina.gov.cn）失信被执行人、重大税收违法失信主体、政府采购严重违法失信行为记录名单（处罚期限届满的除外）。</w:t>
      </w:r>
    </w:p>
    <w:p w14:paraId="6BCB58D9">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2.5  </w:t>
      </w:r>
      <w:r>
        <w:rPr>
          <w:rFonts w:hint="eastAsia" w:ascii="宋体" w:hAnsi="宋体" w:eastAsia="宋体" w:cs="宋体"/>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641BF9B2">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18249D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59" w:name="_Toc19774"/>
      <w:bookmarkStart w:id="60" w:name="_Toc26308"/>
      <w:bookmarkStart w:id="61" w:name="_Toc23847_WPSOffice_Level3"/>
      <w:bookmarkStart w:id="62" w:name="_Toc11689"/>
      <w:bookmarkStart w:id="63" w:name="_Toc142508315"/>
      <w:bookmarkStart w:id="64" w:name="_Toc486167665"/>
      <w:bookmarkStart w:id="65" w:name="_Toc450662851"/>
      <w:r>
        <w:rPr>
          <w:rFonts w:hint="eastAsia" w:ascii="宋体" w:hAnsi="宋体" w:eastAsia="宋体" w:cs="宋体"/>
          <w:b/>
          <w:color w:val="000000" w:themeColor="text1"/>
          <w:szCs w:val="21"/>
          <w:highlight w:val="none"/>
          <w:lang w:val="zh-CN"/>
          <w14:textFill>
            <w14:solidFill>
              <w14:schemeClr w14:val="tx1"/>
            </w14:solidFill>
          </w14:textFill>
        </w:rPr>
        <w:t>3 合格的</w:t>
      </w:r>
      <w:r>
        <w:rPr>
          <w:rFonts w:hint="eastAsia" w:ascii="宋体" w:hAnsi="宋体" w:eastAsia="宋体" w:cs="宋体"/>
          <w:b/>
          <w:color w:val="000000" w:themeColor="text1"/>
          <w:szCs w:val="21"/>
          <w:highlight w:val="none"/>
          <w:lang w:val="en-US" w:eastAsia="zh-CN"/>
          <w14:textFill>
            <w14:solidFill>
              <w14:schemeClr w14:val="tx1"/>
            </w14:solidFill>
          </w14:textFill>
        </w:rPr>
        <w:t>服务</w:t>
      </w:r>
      <w:bookmarkEnd w:id="59"/>
      <w:bookmarkEnd w:id="60"/>
      <w:bookmarkEnd w:id="61"/>
      <w:bookmarkEnd w:id="62"/>
      <w:bookmarkEnd w:id="63"/>
    </w:p>
    <w:p w14:paraId="39FC0369">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“服务”是指投标人按招标文件规定完成的全部服务内容，其中包括完成服务所需的货物和工程，及须承担的技术支持、培训和其它伴随服务。</w:t>
      </w:r>
    </w:p>
    <w:p w14:paraId="47ADB632">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66" w:name="_Toc1977664"/>
      <w:bookmarkStart w:id="67" w:name="_Toc533708064"/>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66"/>
      <w:bookmarkEnd w:id="67"/>
      <w:bookmarkStart w:id="68" w:name="_Toc1977665"/>
      <w:bookmarkStart w:id="69" w:name="_Toc533708065"/>
      <w:r>
        <w:rPr>
          <w:rFonts w:hint="eastAsia" w:ascii="宋体" w:hAnsi="宋体" w:eastAsia="宋体" w:cs="宋体"/>
          <w:color w:val="000000" w:themeColor="text1"/>
          <w:szCs w:val="21"/>
          <w:highlight w:val="none"/>
          <w:lang w:val="zh-CN"/>
          <w14:textFill>
            <w14:solidFill>
              <w14:schemeClr w14:val="tx1"/>
            </w14:solidFill>
          </w14:textFill>
        </w:rPr>
        <w:t>投标人必须保证提供的所有</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或</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的任何部分均为最新正式版本。</w:t>
      </w:r>
      <w:bookmarkEnd w:id="68"/>
      <w:bookmarkEnd w:id="69"/>
    </w:p>
    <w:p w14:paraId="3C6E7AF0">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70" w:name="_Toc1977667"/>
      <w:bookmarkStart w:id="71"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宋体"/>
          <w:color w:val="000000" w:themeColor="text1"/>
          <w:kern w:val="0"/>
          <w:szCs w:val="21"/>
          <w:highlight w:val="none"/>
          <w14:textFill>
            <w14:solidFill>
              <w14:schemeClr w14:val="tx1"/>
            </w14:solidFill>
          </w14:textFill>
        </w:rPr>
        <w:t>应保证招标人在中华人民共和国使用</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或</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0"/>
      <w:bookmarkEnd w:id="71"/>
    </w:p>
    <w:p w14:paraId="1B7E8D03">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72" w:name="_Toc533708068"/>
      <w:bookmarkStart w:id="73"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宋体"/>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2"/>
      <w:bookmarkEnd w:id="73"/>
    </w:p>
    <w:p w14:paraId="75672ACE">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335F3B0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4" w:name="_Toc11533"/>
      <w:bookmarkStart w:id="75" w:name="_Toc2490"/>
      <w:bookmarkStart w:id="76" w:name="_Toc142508316"/>
      <w:bookmarkStart w:id="77" w:name="_Toc9658_WPSOffice_Level3"/>
      <w:bookmarkStart w:id="78" w:name="_Toc3404"/>
      <w:r>
        <w:rPr>
          <w:rFonts w:hint="eastAsia" w:ascii="宋体" w:hAnsi="宋体" w:eastAsia="宋体" w:cs="宋体"/>
          <w:color w:val="000000" w:themeColor="text1"/>
          <w:szCs w:val="21"/>
          <w:highlight w:val="none"/>
          <w:lang w:val="zh-CN"/>
          <w14:textFill>
            <w14:solidFill>
              <w14:schemeClr w14:val="tx1"/>
            </w14:solidFill>
          </w14:textFill>
        </w:rPr>
        <w:t>4 其它说明</w:t>
      </w:r>
      <w:bookmarkEnd w:id="74"/>
      <w:bookmarkEnd w:id="75"/>
      <w:bookmarkEnd w:id="76"/>
      <w:bookmarkEnd w:id="77"/>
      <w:bookmarkEnd w:id="78"/>
    </w:p>
    <w:p w14:paraId="154A6C4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9" w:name="_Toc533708070"/>
      <w:bookmarkStart w:id="80"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79"/>
      <w:bookmarkEnd w:id="80"/>
    </w:p>
    <w:p w14:paraId="41D5F2BD">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81" w:name="_Toc1977672"/>
      <w:bookmarkStart w:id="82" w:name="_Toc533708072"/>
      <w:r>
        <w:rPr>
          <w:rFonts w:hint="eastAsia" w:ascii="宋体" w:hAnsi="宋体" w:eastAsia="宋体" w:cs="宋体"/>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bookmarkEnd w:id="81"/>
      <w:bookmarkEnd w:id="82"/>
    </w:p>
    <w:p w14:paraId="1A88562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3" w:name="_Toc533708073"/>
      <w:bookmarkStart w:id="84"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83"/>
      <w:bookmarkEnd w:id="84"/>
    </w:p>
    <w:p w14:paraId="1C8B1E0A">
      <w:pPr>
        <w:autoSpaceDE w:val="0"/>
        <w:autoSpaceDN w:val="0"/>
        <w:adjustRightInd w:val="0"/>
        <w:spacing w:line="360" w:lineRule="auto"/>
        <w:ind w:left="300" w:leftChars="-59" w:hanging="424" w:hangingChars="202"/>
        <w:jc w:val="left"/>
        <w:rPr>
          <w:rFonts w:ascii="宋体" w:hAnsi="宋体" w:eastAsia="宋体" w:cs="宋体"/>
          <w:color w:val="000000" w:themeColor="text1"/>
          <w:kern w:val="0"/>
          <w:szCs w:val="21"/>
          <w:highlight w:val="none"/>
          <w14:textFill>
            <w14:solidFill>
              <w14:schemeClr w14:val="tx1"/>
            </w14:solidFill>
          </w14:textFill>
        </w:rPr>
      </w:pPr>
      <w:bookmarkStart w:id="85" w:name="_Toc533708076"/>
      <w:bookmarkStart w:id="86" w:name="_Toc1977676"/>
      <w:r>
        <w:rPr>
          <w:rFonts w:hint="eastAsia" w:ascii="宋体" w:hAnsi="宋体" w:eastAsia="宋体" w:cs="宋体"/>
          <w:color w:val="000000" w:themeColor="text1"/>
          <w:kern w:val="0"/>
          <w:szCs w:val="21"/>
          <w:highlight w:val="none"/>
          <w14:textFill>
            <w14:solidFill>
              <w14:schemeClr w14:val="tx1"/>
            </w14:solidFill>
          </w14:textFill>
        </w:rPr>
        <w:t>（1）本项目不组织集中踏勘现场和答疑，投标人应自行到实地踏勘考察。</w:t>
      </w:r>
    </w:p>
    <w:p w14:paraId="5F4D1CBD">
      <w:pPr>
        <w:autoSpaceDE w:val="0"/>
        <w:autoSpaceDN w:val="0"/>
        <w:adjustRightInd w:val="0"/>
        <w:spacing w:line="360" w:lineRule="auto"/>
        <w:ind w:left="300" w:leftChars="-59"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（2）潜在投标人应承担踏勘现场自身所发生的费用。</w:t>
      </w:r>
    </w:p>
    <w:p w14:paraId="4C476A16">
      <w:pPr>
        <w:spacing w:line="360" w:lineRule="auto"/>
        <w:ind w:left="419" w:leftChars="-59" w:hanging="543" w:hangingChars="259"/>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76082B0D">
      <w:pPr>
        <w:spacing w:line="360" w:lineRule="auto"/>
        <w:ind w:left="419" w:leftChars="-59" w:hanging="543" w:hangingChars="259"/>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D530C4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64"/>
      <w:bookmarkEnd w:id="65"/>
      <w:bookmarkEnd w:id="85"/>
      <w:bookmarkEnd w:id="86"/>
    </w:p>
    <w:p w14:paraId="173EC170">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（1）获得本招标文件的投标人，不得用作本次投标以外的任何用途。</w:t>
      </w:r>
    </w:p>
    <w:p w14:paraId="3FBF133B">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3A5697DB">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5700237A">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705E4C60">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E5BA64D">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1C04FD5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4C215D4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87" w:name="_Toc142508317"/>
      <w:bookmarkStart w:id="88" w:name="_Toc486167667"/>
      <w:bookmarkStart w:id="89" w:name="_Toc5395"/>
      <w:bookmarkStart w:id="90" w:name="_Toc30507_WPSOffice_Level2"/>
      <w:bookmarkStart w:id="91" w:name="_Toc450662853"/>
      <w:bookmarkStart w:id="92" w:name="_Toc6360"/>
      <w:bookmarkStart w:id="93" w:name="_Toc140596876"/>
      <w:bookmarkStart w:id="94" w:name="_Toc1565"/>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87"/>
      <w:bookmarkEnd w:id="88"/>
      <w:bookmarkEnd w:id="89"/>
      <w:bookmarkEnd w:id="90"/>
      <w:bookmarkEnd w:id="91"/>
      <w:bookmarkEnd w:id="92"/>
      <w:bookmarkEnd w:id="93"/>
      <w:bookmarkEnd w:id="94"/>
    </w:p>
    <w:p w14:paraId="5094FB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5" w:name="_Toc142508318"/>
      <w:bookmarkStart w:id="96" w:name="_Toc486167668"/>
      <w:bookmarkStart w:id="97" w:name="_Toc28893"/>
      <w:bookmarkStart w:id="98" w:name="_Toc26988"/>
      <w:bookmarkStart w:id="99" w:name="_Toc26635_WPSOffice_Level3"/>
      <w:bookmarkStart w:id="100" w:name="_Toc2406"/>
      <w:bookmarkStart w:id="101" w:name="_Toc450662854"/>
      <w:r>
        <w:rPr>
          <w:rFonts w:hint="eastAsia" w:ascii="宋体" w:hAnsi="宋体" w:eastAsia="宋体" w:cs="宋体"/>
          <w:color w:val="000000" w:themeColor="text1"/>
          <w:szCs w:val="21"/>
          <w:highlight w:val="none"/>
          <w:lang w:val="zh-CN"/>
          <w14:textFill>
            <w14:solidFill>
              <w14:schemeClr w14:val="tx1"/>
            </w14:solidFill>
          </w14:textFill>
        </w:rPr>
        <w:t>5 招标文件的构成</w:t>
      </w:r>
      <w:bookmarkEnd w:id="95"/>
      <w:bookmarkEnd w:id="96"/>
      <w:bookmarkEnd w:id="97"/>
      <w:bookmarkEnd w:id="98"/>
      <w:bookmarkEnd w:id="99"/>
      <w:bookmarkEnd w:id="100"/>
      <w:bookmarkEnd w:id="101"/>
    </w:p>
    <w:p w14:paraId="574D025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093E604D">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第一篇 招标公告</w:t>
      </w:r>
    </w:p>
    <w:p w14:paraId="343090D7">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第二篇 投标人须知</w:t>
      </w:r>
    </w:p>
    <w:p w14:paraId="378493EE">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第三篇 用户需求书</w:t>
      </w:r>
    </w:p>
    <w:p w14:paraId="2108D2BB">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第四篇 合同条款</w:t>
      </w:r>
      <w:r>
        <w:rPr>
          <w:rFonts w:hint="eastAsia" w:ascii="宋体" w:hAnsi="宋体" w:eastAsia="宋体" w:cs="宋体"/>
          <w:color w:val="000000" w:themeColor="text1"/>
          <w:szCs w:val="21"/>
          <w:highlight w:val="none"/>
          <w14:textFill>
            <w14:solidFill>
              <w14:schemeClr w14:val="tx1"/>
            </w14:solidFill>
          </w14:textFill>
        </w:rPr>
        <w:t>格式</w:t>
      </w:r>
    </w:p>
    <w:p w14:paraId="43DF859F">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第五篇 相关保函格式</w:t>
      </w:r>
    </w:p>
    <w:p w14:paraId="032138A0">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第六篇 投标文件格式</w:t>
      </w:r>
    </w:p>
    <w:p w14:paraId="15EB9881">
      <w:pPr>
        <w:tabs>
          <w:tab w:val="left" w:pos="1890"/>
        </w:tabs>
        <w:autoSpaceDE w:val="0"/>
        <w:autoSpaceDN w:val="0"/>
        <w:adjustRightInd w:val="0"/>
        <w:spacing w:line="360" w:lineRule="auto"/>
        <w:ind w:firstLine="424" w:firstLineChars="20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3F1364FA">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7C14470B">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44EB7D92">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（1）“招标人”指</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2202656B">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（2）“招标代理机构”指建成工程咨询股份有限公司；</w:t>
      </w:r>
    </w:p>
    <w:p w14:paraId="2ED8AFED">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（3）“投标人”指参加</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kern w:val="0"/>
          <w:szCs w:val="21"/>
          <w:highlight w:val="none"/>
          <w14:textFill>
            <w14:solidFill>
              <w14:schemeClr w14:val="tx1"/>
            </w14:solidFill>
          </w14:textFill>
        </w:rPr>
        <w:t>所需的服务的投标，并向招标代理机构提交投标文件的当事人；</w:t>
      </w:r>
    </w:p>
    <w:p w14:paraId="14391354">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（4）“评标委员会”是依照《中华人民共和国招标投标法》等法规组建的专门负责本次评标工作的临时性机构；</w:t>
      </w:r>
    </w:p>
    <w:p w14:paraId="4E2BC018">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（5）“中标人”指其投标被招标人接受，并与招标人签订合同的当事人；</w:t>
      </w:r>
    </w:p>
    <w:p w14:paraId="24769705">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（6）“甲方”指在合同条款中指明的</w:t>
      </w:r>
      <w:r>
        <w:rPr>
          <w:rFonts w:hint="eastAsia" w:ascii="宋体" w:hAnsi="宋体" w:eastAsia="宋体" w:cs="Times New Roman"/>
          <w:color w:val="000000" w:themeColor="text1"/>
          <w:kern w:val="0"/>
          <w:szCs w:val="21"/>
          <w:highlight w:val="none"/>
          <w14:textFill>
            <w14:solidFill>
              <w14:schemeClr w14:val="tx1"/>
            </w14:solidFill>
          </w14:textFill>
        </w:rPr>
        <w:t>购买服务</w:t>
      </w:r>
      <w:r>
        <w:rPr>
          <w:rFonts w:hint="eastAsia" w:ascii="宋体" w:hAnsi="宋体" w:eastAsia="宋体" w:cs="宋体"/>
          <w:color w:val="000000" w:themeColor="text1"/>
          <w:kern w:val="0"/>
          <w:szCs w:val="21"/>
          <w:highlight w:val="none"/>
          <w14:textFill>
            <w14:solidFill>
              <w14:schemeClr w14:val="tx1"/>
            </w14:solidFill>
          </w14:textFill>
        </w:rPr>
        <w:t>的单位，即东莞市众源环境投资有限公司；</w:t>
      </w:r>
    </w:p>
    <w:p w14:paraId="2624F53E">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（7）“乙方”指在合同条款中指明的本合同项下</w:t>
      </w:r>
      <w:r>
        <w:rPr>
          <w:rFonts w:hint="eastAsia" w:ascii="宋体" w:hAnsi="宋体" w:eastAsia="宋体" w:cs="Times New Roman"/>
          <w:color w:val="000000" w:themeColor="text1"/>
          <w:kern w:val="0"/>
          <w:szCs w:val="21"/>
          <w:highlight w:val="none"/>
          <w14:textFill>
            <w14:solidFill>
              <w14:schemeClr w14:val="tx1"/>
            </w14:solidFill>
          </w14:textFill>
        </w:rPr>
        <w:t>提供服务</w:t>
      </w:r>
      <w:r>
        <w:rPr>
          <w:rFonts w:hint="eastAsia" w:ascii="宋体" w:hAnsi="宋体" w:eastAsia="宋体" w:cs="宋体"/>
          <w:color w:val="000000" w:themeColor="text1"/>
          <w:kern w:val="0"/>
          <w:szCs w:val="21"/>
          <w:highlight w:val="none"/>
          <w14:textFill>
            <w14:solidFill>
              <w14:schemeClr w14:val="tx1"/>
            </w14:solidFill>
          </w14:textFill>
        </w:rPr>
        <w:t>的公司或实体；</w:t>
      </w:r>
    </w:p>
    <w:p w14:paraId="5AA242BF">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（8）“招标文件”指招标公告和招标文件及其补充、变更和澄清等一系列文件；</w:t>
      </w:r>
    </w:p>
    <w:p w14:paraId="0F64FDFF">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（9）“投标文件”指投标人根据本招标文件向交易系统在线上传的全部文件；</w:t>
      </w:r>
    </w:p>
    <w:p w14:paraId="34DBC4ED">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（10）“书面函件”指手写、打字或印刷的函件，包括电传、电报和传真；</w:t>
      </w:r>
    </w:p>
    <w:p w14:paraId="6B2C685B">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（11）“合同”指由本次招标所产生的合同或合约文件；</w:t>
      </w:r>
    </w:p>
    <w:p w14:paraId="52C1B453">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（12）“日期”指公历日，“时间”指北京时间；</w:t>
      </w:r>
    </w:p>
    <w:p w14:paraId="63562936">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（13）本招标文件中的“境内”特指中华人民共和国海关关境以内，“境外”特指中华人民共和国海关关境以外；</w:t>
      </w:r>
    </w:p>
    <w:p w14:paraId="16A1B5FE">
      <w:pPr>
        <w:autoSpaceDE w:val="0"/>
        <w:autoSpaceDN w:val="0"/>
        <w:adjustRightInd w:val="0"/>
        <w:spacing w:line="360" w:lineRule="auto"/>
        <w:ind w:left="441" w:leftChars="-6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4B38C05B">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3524D5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2" w:name="_Toc3096"/>
      <w:bookmarkStart w:id="103" w:name="_Toc3727"/>
      <w:bookmarkStart w:id="104" w:name="_Toc142508319"/>
      <w:bookmarkStart w:id="105" w:name="_Toc486167669"/>
      <w:bookmarkStart w:id="106" w:name="_Toc450662855"/>
      <w:bookmarkStart w:id="107" w:name="_Toc11346"/>
      <w:bookmarkStart w:id="108" w:name="_Toc29125_WPSOffice_Level3"/>
      <w:r>
        <w:rPr>
          <w:rFonts w:hint="eastAsia" w:ascii="宋体" w:hAnsi="宋体" w:eastAsia="宋体" w:cs="宋体"/>
          <w:color w:val="000000" w:themeColor="text1"/>
          <w:szCs w:val="21"/>
          <w:highlight w:val="none"/>
          <w:lang w:val="zh-CN"/>
          <w14:textFill>
            <w14:solidFill>
              <w14:schemeClr w14:val="tx1"/>
            </w14:solidFill>
          </w14:textFill>
        </w:rPr>
        <w:t>6 招标文件的异议</w:t>
      </w:r>
      <w:bookmarkEnd w:id="102"/>
      <w:bookmarkEnd w:id="103"/>
      <w:bookmarkEnd w:id="104"/>
      <w:bookmarkEnd w:id="105"/>
      <w:bookmarkEnd w:id="106"/>
      <w:bookmarkEnd w:id="107"/>
      <w:bookmarkEnd w:id="108"/>
    </w:p>
    <w:p w14:paraId="1075367F">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hint="eastAsia" w:ascii="宋体" w:hAnsi="宋体" w:eastAsia="宋体" w:cs="宋体"/>
          <w:color w:val="000000" w:themeColor="text1"/>
          <w:szCs w:val="21"/>
          <w:highlight w:val="none"/>
          <w:lang w:val="zh-CN"/>
          <w14:textFill>
            <w14:solidFill>
              <w14:schemeClr w14:val="tx1"/>
            </w14:solidFill>
          </w14:textFill>
        </w:rPr>
        <w:t>以书面形式向招标代理机构提出，并将材料原件送达招标代理机构，逾期则视为对招标文件所有内容无异议。</w:t>
      </w:r>
      <w:r>
        <w:rPr>
          <w:rFonts w:hint="eastAsia" w:ascii="宋体" w:hAnsi="宋体" w:eastAsia="宋体" w:cs="宋体"/>
          <w:bCs/>
          <w:color w:val="000000" w:themeColor="text1"/>
          <w:szCs w:val="21"/>
          <w:highlight w:val="none"/>
          <w:lang w:val="zh-CN"/>
          <w14:textFill>
            <w14:solidFill>
              <w14:schemeClr w14:val="tx1"/>
            </w14:solidFill>
          </w14:textFill>
        </w:rPr>
        <w:t>异议</w:t>
      </w:r>
      <w:r>
        <w:rPr>
          <w:rFonts w:hint="eastAsia" w:ascii="宋体" w:hAnsi="宋体" w:eastAsia="宋体" w:cs="宋体"/>
          <w:color w:val="000000" w:themeColor="text1"/>
          <w:szCs w:val="21"/>
          <w:highlight w:val="none"/>
          <w:lang w:val="zh-CN"/>
          <w14:textFill>
            <w14:solidFill>
              <w14:schemeClr w14:val="tx1"/>
            </w14:solidFill>
          </w14:textFill>
        </w:rPr>
        <w:t>书面材料必须加盖投标人法人公章，并注明联系人、联系电话、联系地址。</w:t>
      </w:r>
      <w:r>
        <w:rPr>
          <w:rFonts w:hint="eastAsia" w:ascii="宋体" w:hAnsi="宋体" w:eastAsia="宋体" w:cs="宋体"/>
          <w:bCs/>
          <w:color w:val="000000" w:themeColor="text1"/>
          <w:szCs w:val="21"/>
          <w:highlight w:val="none"/>
          <w:lang w:val="zh-CN"/>
          <w14:textFill>
            <w14:solidFill>
              <w14:schemeClr w14:val="tx1"/>
            </w14:solidFill>
          </w14:textFill>
        </w:rPr>
        <w:t>超出</w:t>
      </w:r>
      <w:r>
        <w:rPr>
          <w:rFonts w:hint="eastAsia" w:ascii="宋体" w:hAnsi="宋体" w:eastAsia="宋体" w:cs="宋体"/>
          <w:color w:val="000000" w:themeColor="text1"/>
          <w:szCs w:val="21"/>
          <w:highlight w:val="none"/>
          <w:lang w:val="zh-CN"/>
          <w14:textFill>
            <w14:solidFill>
              <w14:schemeClr w14:val="tx1"/>
            </w14:solidFill>
          </w14:textFill>
        </w:rPr>
        <w:t>提交接收异议截止时间而</w:t>
      </w:r>
      <w:r>
        <w:rPr>
          <w:rFonts w:hint="eastAsia" w:ascii="宋体" w:hAnsi="宋体" w:eastAsia="宋体" w:cs="宋体"/>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7483286">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473C5C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9" w:name="_Toc142508320"/>
      <w:bookmarkStart w:id="110" w:name="_Toc31822"/>
      <w:bookmarkStart w:id="111" w:name="_Toc17145"/>
      <w:bookmarkStart w:id="112" w:name="_Toc486167670"/>
      <w:bookmarkStart w:id="113" w:name="_Toc23483_WPSOffice_Level3"/>
      <w:bookmarkStart w:id="114" w:name="_Toc29864"/>
      <w:bookmarkStart w:id="115" w:name="_Toc450662856"/>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bookmarkEnd w:id="109"/>
      <w:bookmarkEnd w:id="110"/>
      <w:bookmarkEnd w:id="111"/>
      <w:bookmarkEnd w:id="112"/>
      <w:bookmarkEnd w:id="113"/>
      <w:bookmarkEnd w:id="114"/>
      <w:bookmarkEnd w:id="115"/>
    </w:p>
    <w:p w14:paraId="7C260B8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D8426B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6317E05F">
      <w:pPr>
        <w:wordWrap w:val="0"/>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7.3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招标文件的修改、补充通知在全国公共资源交易平台（广东省·东莞市）（https://ygp.gdzwfw.gov.cn/#/441900/index）、中国招标投标公共服务平台（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www.cebpubservice.com）、</w:t>
      </w:r>
      <w:r>
        <w:rPr>
          <w:rFonts w:hint="eastAsia" w:ascii="宋体" w:hAnsi="宋体" w:eastAsia="宋体" w:cs="宋体"/>
          <w:color w:val="000000" w:themeColor="text1"/>
          <w:szCs w:val="21"/>
          <w:highlight w:val="none"/>
          <w:lang w:val="zh-CN"/>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东莞市水务环境投资控股集团有限公司</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fldChar w:fldCharType="begin"/>
      </w:r>
      <w:r>
        <w:rPr>
          <w:rFonts w:hint="eastAsia" w:ascii="宋体" w:hAnsi="宋体" w:eastAsia="宋体" w:cs="宋体"/>
          <w:color w:val="000000" w:themeColor="text1"/>
          <w:szCs w:val="21"/>
          <w:highlight w:val="none"/>
          <w:lang w:val="zh-CN"/>
          <w14:textFill>
            <w14:solidFill>
              <w14:schemeClr w14:val="tx1"/>
            </w14:solidFill>
          </w14:textFill>
        </w:rPr>
        <w:instrText xml:space="preserve"> HYPERLINK "www.dgswjt.cn）、招标代理公司网站（http://%20%20%20%20%20%20%20%20%20%20%20%20%20%20）" </w:instrText>
      </w:r>
      <w:r>
        <w:rPr>
          <w:rFonts w:hint="eastAsia" w:ascii="宋体" w:hAnsi="宋体" w:eastAsia="宋体" w:cs="宋体"/>
          <w:color w:val="000000" w:themeColor="text1"/>
          <w:szCs w:val="21"/>
          <w:highlight w:val="none"/>
          <w:lang w:val="zh-CN"/>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www.dgswjt.cn）、招标代理机构网站（www.gzjc.com.cn）</w:t>
      </w:r>
      <w:r>
        <w:rPr>
          <w:rFonts w:hint="eastAsia" w:ascii="宋体" w:hAnsi="宋体" w:eastAsia="宋体" w:cs="宋体"/>
          <w:color w:val="000000" w:themeColor="text1"/>
          <w:szCs w:val="21"/>
          <w:highlight w:val="none"/>
          <w:lang w:val="zh-CN"/>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26C94003">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3ACC078D">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16" w:name="_Toc8711"/>
      <w:bookmarkStart w:id="117" w:name="_Toc8871"/>
      <w:bookmarkStart w:id="118" w:name="_Toc450662857"/>
      <w:bookmarkStart w:id="119" w:name="_Toc23342"/>
      <w:bookmarkStart w:id="120" w:name="_Toc142508321"/>
      <w:bookmarkStart w:id="121" w:name="_Toc486167671"/>
      <w:bookmarkStart w:id="122" w:name="_Toc29659_WPSOffice_Level2"/>
      <w:bookmarkStart w:id="123" w:name="_Toc140596880"/>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16"/>
      <w:bookmarkEnd w:id="117"/>
      <w:bookmarkEnd w:id="118"/>
      <w:bookmarkEnd w:id="119"/>
      <w:bookmarkEnd w:id="120"/>
      <w:bookmarkEnd w:id="121"/>
      <w:bookmarkEnd w:id="122"/>
      <w:bookmarkEnd w:id="123"/>
    </w:p>
    <w:p w14:paraId="3A6E665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4" w:name="_Toc31162"/>
      <w:bookmarkStart w:id="125" w:name="_Toc142508322"/>
      <w:bookmarkStart w:id="126" w:name="_Toc486167672"/>
      <w:bookmarkStart w:id="127" w:name="_Toc6244"/>
      <w:bookmarkStart w:id="128" w:name="_Toc450662858"/>
      <w:bookmarkStart w:id="129" w:name="_Toc10015_WPSOffice_Level3"/>
      <w:bookmarkStart w:id="130" w:name="_Toc2970"/>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bookmarkEnd w:id="124"/>
      <w:bookmarkEnd w:id="125"/>
      <w:bookmarkEnd w:id="126"/>
      <w:bookmarkEnd w:id="127"/>
      <w:bookmarkEnd w:id="128"/>
      <w:bookmarkEnd w:id="129"/>
      <w:bookmarkEnd w:id="130"/>
    </w:p>
    <w:p w14:paraId="1D2DD16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698B3A4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4403BBD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6A94DAD">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31" w:name="_Toc14841"/>
      <w:bookmarkStart w:id="132" w:name="_Toc486167673"/>
      <w:bookmarkStart w:id="133" w:name="_Toc14943"/>
      <w:bookmarkStart w:id="134" w:name="_Toc7348"/>
      <w:bookmarkStart w:id="135" w:name="_Toc142508323"/>
      <w:bookmarkStart w:id="136" w:name="_Toc24916_WPSOffice_Level3"/>
      <w:bookmarkStart w:id="137" w:name="_Toc450662859"/>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31"/>
      <w:bookmarkEnd w:id="132"/>
      <w:bookmarkEnd w:id="133"/>
      <w:bookmarkEnd w:id="134"/>
      <w:bookmarkEnd w:id="135"/>
      <w:bookmarkEnd w:id="136"/>
      <w:bookmarkEnd w:id="137"/>
    </w:p>
    <w:p w14:paraId="772692D1">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宋体"/>
          <w:b/>
          <w:color w:val="000000" w:themeColor="text1"/>
          <w:kern w:val="0"/>
          <w:szCs w:val="21"/>
          <w:highlight w:val="none"/>
          <w:u w:val="single"/>
          <w14:textFill>
            <w14:solidFill>
              <w14:schemeClr w14:val="tx1"/>
            </w14:solidFill>
          </w14:textFill>
        </w:rPr>
        <w:t>商务标、技术标、报价信封三部分组成</w:t>
      </w:r>
      <w:r>
        <w:rPr>
          <w:rFonts w:hint="eastAsia" w:ascii="宋体" w:hAnsi="宋体" w:eastAsia="宋体" w:cs="宋体"/>
          <w:b/>
          <w:color w:val="000000" w:themeColor="text1"/>
          <w:kern w:val="0"/>
          <w:szCs w:val="21"/>
          <w:highlight w:val="none"/>
          <w14:textFill>
            <w14:solidFill>
              <w14:schemeClr w14:val="tx1"/>
            </w14:solidFill>
          </w14:textFill>
        </w:rPr>
        <w:t>。</w:t>
      </w:r>
    </w:p>
    <w:p w14:paraId="08CE309A">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商务标：</w:t>
      </w:r>
    </w:p>
    <w:p w14:paraId="23DA1F2B">
      <w:pPr>
        <w:autoSpaceDE w:val="0"/>
        <w:autoSpaceDN w:val="0"/>
        <w:adjustRightInd w:val="0"/>
        <w:spacing w:line="360" w:lineRule="auto"/>
        <w:jc w:val="left"/>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1"/>
          <w:highlight w:val="none"/>
          <w:lang w:val="zh-CN"/>
          <w14:textFill>
            <w14:solidFill>
              <w14:schemeClr w14:val="tx1"/>
            </w14:solidFill>
          </w14:textFill>
        </w:rPr>
        <w:t>目录：</w:t>
      </w:r>
    </w:p>
    <w:p w14:paraId="7FCE0A7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06D2E61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3620F29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（3）供货及/或提供服务过程承诺函；</w:t>
      </w:r>
    </w:p>
    <w:p w14:paraId="4B2A199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57CE6B56">
      <w:pPr>
        <w:autoSpaceDE w:val="0"/>
        <w:autoSpaceDN w:val="0"/>
        <w:adjustRightInd w:val="0"/>
        <w:spacing w:line="360" w:lineRule="auto"/>
        <w:ind w:left="283" w:hanging="283" w:hangingChars="1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1）多证合一营业执照</w:t>
      </w:r>
      <w:r>
        <w:rPr>
          <w:rFonts w:hint="eastAsia" w:ascii="宋体" w:hAnsi="宋体" w:eastAsia="宋体" w:cs="宋体"/>
          <w:color w:val="000000" w:themeColor="text1"/>
          <w:kern w:val="0"/>
          <w:szCs w:val="21"/>
          <w:highlight w:val="none"/>
          <w14:textFill>
            <w14:solidFill>
              <w14:schemeClr w14:val="tx1"/>
            </w14:solidFill>
          </w14:textFill>
        </w:rPr>
        <w:t>（或事业单位法人证书）原件扫</w:t>
      </w:r>
      <w:r>
        <w:rPr>
          <w:rFonts w:hint="eastAsia" w:ascii="宋体" w:hAnsi="宋体" w:eastAsia="宋体" w:cs="宋体"/>
          <w:color w:val="000000" w:themeColor="text1"/>
          <w:szCs w:val="21"/>
          <w:highlight w:val="none"/>
          <w:lang w:val="zh-CN"/>
          <w14:textFill>
            <w14:solidFill>
              <w14:schemeClr w14:val="tx1"/>
            </w14:solidFill>
          </w14:textFill>
        </w:rPr>
        <w:t>描件；</w:t>
      </w:r>
    </w:p>
    <w:p w14:paraId="2CD3922E">
      <w:pPr>
        <w:autoSpaceDE w:val="0"/>
        <w:autoSpaceDN w:val="0"/>
        <w:adjustRightInd w:val="0"/>
        <w:spacing w:line="360" w:lineRule="auto"/>
        <w:ind w:left="283" w:hanging="283" w:hangingChars="1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3981FDD">
      <w:pPr>
        <w:autoSpaceDE w:val="0"/>
        <w:autoSpaceDN w:val="0"/>
        <w:adjustRightInd w:val="0"/>
        <w:spacing w:line="360" w:lineRule="auto"/>
        <w:ind w:left="283" w:hanging="283" w:hangingChars="1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）法定代表人身份证明书和法定代表人授权书（法定代表人投标时只提供法定代表人身份证明书，委托</w:t>
      </w:r>
      <w:r>
        <w:rPr>
          <w:rFonts w:hint="eastAsia" w:ascii="宋体" w:hAnsi="宋体" w:eastAsia="宋体" w:cs="宋体"/>
          <w:color w:val="000000" w:themeColor="text1"/>
          <w:szCs w:val="21"/>
          <w:highlight w:val="none"/>
          <w14:textFill>
            <w14:solidFill>
              <w14:schemeClr w14:val="tx1"/>
            </w14:solidFill>
          </w14:textFill>
        </w:rPr>
        <w:t>他人</w:t>
      </w:r>
      <w:r>
        <w:rPr>
          <w:rFonts w:hint="eastAsia" w:ascii="宋体" w:hAnsi="宋体" w:eastAsia="宋体" w:cs="宋体"/>
          <w:color w:val="000000" w:themeColor="text1"/>
          <w:szCs w:val="21"/>
          <w:highlight w:val="none"/>
          <w:lang w:val="zh-CN"/>
          <w14:textFill>
            <w14:solidFill>
              <w14:schemeClr w14:val="tx1"/>
            </w14:solidFill>
          </w14:textFill>
        </w:rPr>
        <w:t>为投标代表时同时提供法定代表人授权书）；</w:t>
      </w:r>
    </w:p>
    <w:p w14:paraId="78C712D4">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w:t>
      </w: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lang w:val="en-US" w:eastAsia="zh-CN"/>
          <w14:textFill>
            <w14:solidFill>
              <w14:schemeClr w14:val="tx1"/>
            </w14:solidFill>
          </w14:textFill>
        </w:rPr>
        <w:t>提供一份</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年1月1日以来</w:t>
      </w:r>
      <w:r>
        <w:rPr>
          <w:rFonts w:hint="eastAsia" w:ascii="宋体" w:hAnsi="宋体" w:eastAsia="宋体" w:cs="宋体"/>
          <w:b/>
          <w:bCs w:val="0"/>
          <w:color w:val="000000" w:themeColor="text1"/>
          <w:szCs w:val="21"/>
          <w:highlight w:val="none"/>
          <w14:textFill>
            <w14:solidFill>
              <w14:schemeClr w14:val="tx1"/>
            </w14:solidFill>
          </w14:textFill>
        </w:rPr>
        <w:t>污泥脱水减量化处理服务或污泥脱水减量配合服务业绩</w:t>
      </w:r>
      <w:r>
        <w:rPr>
          <w:rFonts w:hint="eastAsia" w:ascii="宋体" w:hAnsi="宋体" w:eastAsia="宋体" w:cs="宋体"/>
          <w:color w:val="000000" w:themeColor="text1"/>
          <w:szCs w:val="21"/>
          <w:highlight w:val="none"/>
          <w14:textFill>
            <w14:solidFill>
              <w14:schemeClr w14:val="tx1"/>
            </w14:solidFill>
          </w14:textFill>
        </w:rPr>
        <w:t>（合同签订日期为202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年1月1日或以后），资格业绩证明材料提交要求详见招标文件第六篇投标文件格式</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w:t>
      </w:r>
    </w:p>
    <w:p w14:paraId="383F6841">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3A6A53F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3FB23C2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0F064A0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eastAsia="zh-CN"/>
          <w14:textFill>
            <w14:solidFill>
              <w14:schemeClr w14:val="tx1"/>
            </w14:solidFill>
          </w14:textFill>
        </w:rPr>
        <w:t>）标准化体系认证；</w:t>
      </w:r>
    </w:p>
    <w:p w14:paraId="5BC13CC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696E36D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1ECD0454">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21F3B255">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技术标：</w:t>
      </w:r>
    </w:p>
    <w:p w14:paraId="797F6F53">
      <w:pPr>
        <w:autoSpaceDE w:val="0"/>
        <w:autoSpaceDN w:val="0"/>
        <w:adjustRightInd w:val="0"/>
        <w:spacing w:line="360" w:lineRule="auto"/>
        <w:ind w:right="-23" w:rightChars="-11"/>
        <w:jc w:val="left"/>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 xml:space="preserve">    目录：</w:t>
      </w:r>
    </w:p>
    <w:p w14:paraId="6246EBAA">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w:t>
      </w:r>
    </w:p>
    <w:p w14:paraId="5A2AC04A">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总体服务方案</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71366277">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服务团队</w:t>
      </w:r>
      <w:r>
        <w:rPr>
          <w:rFonts w:hint="eastAsia" w:ascii="宋体" w:hAnsi="宋体" w:eastAsia="宋体" w:cs="宋体"/>
          <w:color w:val="000000" w:themeColor="text1"/>
          <w:szCs w:val="21"/>
          <w:highlight w:val="none"/>
          <w14:textFill>
            <w14:solidFill>
              <w14:schemeClr w14:val="tx1"/>
            </w14:solidFill>
          </w14:textFill>
        </w:rPr>
        <w:t>情况</w:t>
      </w:r>
      <w:r>
        <w:rPr>
          <w:rFonts w:hint="eastAsia" w:ascii="宋体" w:hAnsi="宋体" w:eastAsia="宋体" w:cs="宋体"/>
          <w:color w:val="000000" w:themeColor="text1"/>
          <w:kern w:val="0"/>
          <w:szCs w:val="21"/>
          <w:highlight w:val="none"/>
          <w14:textFill>
            <w14:solidFill>
              <w14:schemeClr w14:val="tx1"/>
            </w14:solidFill>
          </w14:textFill>
        </w:rPr>
        <w:t>；</w:t>
      </w:r>
    </w:p>
    <w:p w14:paraId="1BD50EA4">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应急预案和保障措施</w:t>
      </w:r>
      <w:r>
        <w:rPr>
          <w:rFonts w:hint="eastAsia" w:ascii="宋体" w:hAnsi="宋体" w:eastAsia="宋体" w:cs="宋体"/>
          <w:color w:val="000000" w:themeColor="text1"/>
          <w:kern w:val="0"/>
          <w:szCs w:val="21"/>
          <w:highlight w:val="none"/>
          <w14:textFill>
            <w14:solidFill>
              <w14:schemeClr w14:val="tx1"/>
            </w14:solidFill>
          </w14:textFill>
        </w:rPr>
        <w:t>；</w:t>
      </w:r>
    </w:p>
    <w:p w14:paraId="1D2195EE">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38288E3D">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bookmarkStart w:id="138" w:name="_Toc25590"/>
      <w:bookmarkStart w:id="139" w:name="_Toc27336"/>
      <w:r>
        <w:rPr>
          <w:rFonts w:hint="eastAsia" w:ascii="宋体" w:hAnsi="宋体" w:eastAsia="宋体" w:cs="宋体"/>
          <w:b/>
          <w:bCs/>
          <w:color w:val="000000" w:themeColor="text1"/>
          <w:szCs w:val="21"/>
          <w:highlight w:val="none"/>
          <w:lang w:val="zh-CN"/>
          <w14:textFill>
            <w14:solidFill>
              <w14:schemeClr w14:val="tx1"/>
            </w14:solidFill>
          </w14:textFill>
        </w:rPr>
        <w:t>9.1.</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 xml:space="preserve"> 报价信封</w:t>
      </w:r>
      <w:bookmarkEnd w:id="138"/>
      <w:bookmarkEnd w:id="139"/>
    </w:p>
    <w:p w14:paraId="0D766717">
      <w:pPr>
        <w:autoSpaceDE w:val="0"/>
        <w:autoSpaceDN w:val="0"/>
        <w:adjustRightInd w:val="0"/>
        <w:spacing w:line="360" w:lineRule="auto"/>
        <w:ind w:left="420"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按照投标文件格式中的要求进行编制。</w:t>
      </w:r>
    </w:p>
    <w:p w14:paraId="31F04BBB">
      <w:pPr>
        <w:autoSpaceDE w:val="0"/>
        <w:autoSpaceDN w:val="0"/>
        <w:adjustRightInd w:val="0"/>
        <w:spacing w:line="360" w:lineRule="auto"/>
        <w:ind w:left="317" w:leftChars="-100" w:hanging="527" w:hangingChars="250"/>
        <w:rPr>
          <w:rFonts w:ascii="宋体" w:hAnsi="宋体" w:eastAsia="宋体" w:cs="宋体"/>
          <w:b/>
          <w:bCs/>
          <w:color w:val="000000" w:themeColor="text1"/>
          <w:szCs w:val="21"/>
          <w:highlight w:val="none"/>
          <w14:textFill>
            <w14:solidFill>
              <w14:schemeClr w14:val="tx1"/>
            </w14:solidFill>
          </w14:textFill>
        </w:rPr>
      </w:pPr>
      <w:bookmarkStart w:id="140" w:name="_Toc4502"/>
      <w:bookmarkStart w:id="141" w:name="_Toc10574"/>
      <w:r>
        <w:rPr>
          <w:rFonts w:hint="eastAsia" w:ascii="宋体" w:hAnsi="宋体" w:eastAsia="宋体" w:cs="宋体"/>
          <w:b/>
          <w:bCs/>
          <w:color w:val="000000" w:themeColor="text1"/>
          <w:szCs w:val="21"/>
          <w:highlight w:val="none"/>
          <w14:textFill>
            <w14:solidFill>
              <w14:schemeClr w14:val="tx1"/>
            </w14:solidFill>
          </w14:textFill>
        </w:rPr>
        <w:t>9.2  投标文件格式</w:t>
      </w:r>
      <w:bookmarkEnd w:id="140"/>
      <w:bookmarkEnd w:id="141"/>
      <w:r>
        <w:rPr>
          <w:rFonts w:hint="eastAsia" w:ascii="宋体" w:hAnsi="宋体" w:eastAsia="宋体" w:cs="宋体"/>
          <w:b/>
          <w:bCs/>
          <w:color w:val="000000" w:themeColor="text1"/>
          <w:szCs w:val="21"/>
          <w:highlight w:val="none"/>
          <w14:textFill>
            <w14:solidFill>
              <w14:schemeClr w14:val="tx1"/>
            </w14:solidFill>
          </w14:textFill>
        </w:rPr>
        <w:t xml:space="preserve"> </w:t>
      </w:r>
    </w:p>
    <w:p w14:paraId="44D61A8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）商务标必须按招标文件所附的商务标格式编制（参见第六篇）。</w:t>
      </w:r>
    </w:p>
    <w:p w14:paraId="24EF21F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）技术标必须按招标文件所附的技术标格式编制（参见第六篇）。</w:t>
      </w:r>
    </w:p>
    <w:p w14:paraId="7575385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）报价信封由投标人使用电子标书制作软件编制（参见第六篇）。</w:t>
      </w:r>
    </w:p>
    <w:p w14:paraId="0A748E7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证件、证书、合同、发票、照片等证明材料可为该资料扫描件。</w:t>
      </w:r>
    </w:p>
    <w:p w14:paraId="29F642B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62C823F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1BCF2B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2" w:name="_Toc450662860"/>
      <w:bookmarkStart w:id="143" w:name="_Toc8675_WPSOffice_Level3"/>
      <w:bookmarkStart w:id="144" w:name="_Toc142508324"/>
      <w:bookmarkStart w:id="145" w:name="_Toc486167674"/>
      <w:bookmarkStart w:id="146" w:name="_Toc15270"/>
      <w:bookmarkStart w:id="147" w:name="_Toc13214"/>
      <w:bookmarkStart w:id="148" w:name="_Toc11170"/>
      <w:r>
        <w:rPr>
          <w:rFonts w:hint="eastAsia" w:ascii="宋体" w:hAnsi="宋体" w:eastAsia="宋体" w:cs="宋体"/>
          <w:color w:val="000000" w:themeColor="text1"/>
          <w:szCs w:val="21"/>
          <w:highlight w:val="none"/>
          <w:lang w:val="zh-CN"/>
          <w14:textFill>
            <w14:solidFill>
              <w14:schemeClr w14:val="tx1"/>
            </w14:solidFill>
          </w14:textFill>
        </w:rPr>
        <w:t>10 投标函</w:t>
      </w:r>
      <w:bookmarkEnd w:id="142"/>
      <w:bookmarkEnd w:id="143"/>
      <w:bookmarkEnd w:id="144"/>
      <w:bookmarkEnd w:id="145"/>
      <w:bookmarkEnd w:id="146"/>
      <w:bookmarkEnd w:id="147"/>
      <w:bookmarkEnd w:id="148"/>
    </w:p>
    <w:p w14:paraId="0F9A51E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424BDA9B">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51527F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24311"/>
      <w:bookmarkStart w:id="150" w:name="_Toc15427"/>
      <w:bookmarkStart w:id="151" w:name="_Toc486167675"/>
      <w:bookmarkStart w:id="152" w:name="_Toc450662861"/>
      <w:bookmarkStart w:id="153" w:name="_Toc30449"/>
      <w:bookmarkStart w:id="154" w:name="_Toc4385_WPSOffice_Level3"/>
      <w:bookmarkStart w:id="155" w:name="_Toc142508325"/>
      <w:r>
        <w:rPr>
          <w:rFonts w:hint="eastAsia" w:ascii="宋体" w:hAnsi="宋体" w:eastAsia="宋体" w:cs="宋体"/>
          <w:color w:val="000000" w:themeColor="text1"/>
          <w:szCs w:val="21"/>
          <w:highlight w:val="none"/>
          <w:lang w:val="zh-CN"/>
          <w14:textFill>
            <w14:solidFill>
              <w14:schemeClr w14:val="tx1"/>
            </w14:solidFill>
          </w14:textFill>
        </w:rPr>
        <w:t>11 投标报价</w:t>
      </w:r>
      <w:bookmarkEnd w:id="149"/>
      <w:bookmarkEnd w:id="150"/>
      <w:bookmarkEnd w:id="151"/>
      <w:bookmarkEnd w:id="152"/>
      <w:bookmarkEnd w:id="153"/>
      <w:bookmarkEnd w:id="154"/>
      <w:bookmarkEnd w:id="155"/>
    </w:p>
    <w:p w14:paraId="46A917BC">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本项目只允许有一个报价价格，任何有选择的或</w:t>
      </w:r>
      <w:r>
        <w:rPr>
          <w:rFonts w:hint="eastAsia" w:ascii="宋体" w:hAnsi="宋体" w:eastAsia="宋体" w:cs="宋体"/>
          <w:b/>
          <w:color w:val="000000" w:themeColor="text1"/>
          <w:kern w:val="0"/>
          <w:szCs w:val="21"/>
          <w:highlight w:val="none"/>
          <w:lang w:val="zh-CN"/>
          <w14:textFill>
            <w14:solidFill>
              <w14:schemeClr w14:val="tx1"/>
            </w14:solidFill>
          </w14:textFill>
        </w:rPr>
        <w:t>不是固定价的</w:t>
      </w:r>
      <w:r>
        <w:rPr>
          <w:rFonts w:hint="eastAsia" w:ascii="宋体" w:hAnsi="宋体" w:eastAsia="宋体" w:cs="宋体"/>
          <w:b/>
          <w:color w:val="000000" w:themeColor="text1"/>
          <w:szCs w:val="21"/>
          <w:highlight w:val="none"/>
          <w:lang w:val="zh-CN"/>
          <w14:textFill>
            <w14:solidFill>
              <w14:schemeClr w14:val="tx1"/>
            </w14:solidFill>
          </w14:textFill>
        </w:rPr>
        <w:t>投标报价将不予接受，</w:t>
      </w:r>
      <w:r>
        <w:rPr>
          <w:rFonts w:hint="eastAsia" w:ascii="宋体" w:hAnsi="宋体" w:eastAsia="宋体" w:cs="宋体"/>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宋体"/>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1A6A6B00">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1704027">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4DC35739">
      <w:pPr>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本项目投标报价</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污泥脱水减量配合服务综合单价</w:t>
      </w:r>
      <w:r>
        <w:rPr>
          <w:rFonts w:hint="eastAsia" w:ascii="宋体" w:hAnsi="宋体" w:eastAsia="宋体" w:cs="宋体"/>
          <w:b/>
          <w:color w:val="000000" w:themeColor="text1"/>
          <w:szCs w:val="21"/>
          <w:highlight w:val="none"/>
          <w:u w:val="single"/>
          <w:lang w:val="zh-CN"/>
          <w14:textFill>
            <w14:solidFill>
              <w14:schemeClr w14:val="tx1"/>
            </w14:solidFill>
          </w14:textFill>
        </w:rPr>
        <w:t>（按含水率80%的湿泥计）为不含税价，即为《中华人民共和国增值税暂行条例》（国务院令第691号修订版）规定的销售额</w:t>
      </w:r>
      <w:r>
        <w:rPr>
          <w:rFonts w:hint="eastAsia" w:ascii="宋体" w:hAnsi="宋体" w:eastAsia="宋体" w:cs="宋体"/>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本采购项目投标报价已包含投标人履行本招标内容全部义务的一切费用，包括但不限于：</w:t>
      </w:r>
      <w:r>
        <w:rPr>
          <w:rFonts w:hint="eastAsia" w:ascii="宋体" w:hAnsi="宋体" w:eastAsia="宋体" w:cs="宋体"/>
          <w:color w:val="000000" w:themeColor="text1"/>
          <w:szCs w:val="21"/>
          <w:highlight w:val="none"/>
          <w14:textFill>
            <w14:solidFill>
              <w14:schemeClr w14:val="tx1"/>
            </w14:solidFill>
          </w14:textFill>
        </w:rPr>
        <w:t>配合服务中人工费（工资及加班工资、福利、社保、住房公积金、节日补贴、高温津贴、劳保、服装和膳食、意外伤害保险、住宿补贴、市内交通补贴、培训、经济补偿等）、办公费、交通费、保险、利润、污泥脱水减量配合服务项目所发生的投标人销项税额以外的税费</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法律法规、商业公认、</w:t>
      </w:r>
      <w:r>
        <w:rPr>
          <w:rFonts w:hint="eastAsia" w:ascii="宋体" w:hAnsi="宋体" w:eastAsia="宋体" w:cs="宋体"/>
          <w:color w:val="000000" w:themeColor="text1"/>
          <w:szCs w:val="21"/>
          <w:highlight w:val="none"/>
          <w:lang w:val="zh-CN"/>
          <w14:textFill>
            <w14:solidFill>
              <w14:schemeClr w14:val="tx1"/>
            </w14:solidFill>
          </w14:textFill>
        </w:rPr>
        <w:t>完成合同实施过程中由</w:t>
      </w:r>
      <w:r>
        <w:rPr>
          <w:rFonts w:hint="eastAsia" w:ascii="宋体" w:hAnsi="宋体" w:eastAsia="宋体" w:cs="宋体"/>
          <w:color w:val="000000" w:themeColor="text1"/>
          <w:szCs w:val="21"/>
          <w:highlight w:val="none"/>
          <w14:textFill>
            <w14:solidFill>
              <w14:schemeClr w14:val="tx1"/>
            </w14:solidFill>
          </w14:textFill>
        </w:rPr>
        <w:t>投标人承担的其他直接及间接费用。</w:t>
      </w:r>
      <w:r>
        <w:rPr>
          <w:rFonts w:hint="eastAsia" w:ascii="宋体" w:hAnsi="宋体" w:eastAsia="宋体" w:cs="宋体"/>
          <w:bCs/>
          <w:color w:val="000000" w:themeColor="text1"/>
          <w:szCs w:val="21"/>
          <w:highlight w:val="none"/>
          <w14:textFill>
            <w14:solidFill>
              <w14:schemeClr w14:val="tx1"/>
            </w14:solidFill>
          </w14:textFill>
        </w:rPr>
        <w:t>未经招标人书面同意，投标人（包括但不限于投标人</w:t>
      </w:r>
      <w:r>
        <w:rPr>
          <w:rFonts w:hint="eastAsia" w:ascii="宋体" w:hAnsi="宋体" w:eastAsia="宋体" w:cs="宋体"/>
          <w:bCs/>
          <w:color w:val="000000" w:themeColor="text1"/>
          <w:szCs w:val="21"/>
          <w:highlight w:val="none"/>
          <w:lang w:val="en-US" w:eastAsia="zh-CN"/>
          <w14:textFill>
            <w14:solidFill>
              <w14:schemeClr w14:val="tx1"/>
            </w14:solidFill>
          </w14:textFill>
        </w:rPr>
        <w:t>指定</w:t>
      </w:r>
      <w:r>
        <w:rPr>
          <w:rFonts w:hint="eastAsia" w:ascii="宋体" w:hAnsi="宋体" w:eastAsia="宋体" w:cs="宋体"/>
          <w:bCs/>
          <w:color w:val="000000" w:themeColor="text1"/>
          <w:szCs w:val="21"/>
          <w:highlight w:val="none"/>
          <w14:textFill>
            <w14:solidFill>
              <w14:schemeClr w14:val="tx1"/>
            </w14:solidFill>
          </w14:textFill>
        </w:rPr>
        <w:t>的第三方）不得要求招标人另行支付其他任何费用。</w:t>
      </w:r>
    </w:p>
    <w:p w14:paraId="46F127D5">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11.3 </w:t>
      </w:r>
      <w:r>
        <w:rPr>
          <w:rFonts w:hint="eastAsia" w:ascii="宋体" w:hAnsi="宋体" w:eastAsia="宋体" w:cs="宋体"/>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第11.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款</w:t>
      </w:r>
      <w:r>
        <w:rPr>
          <w:rFonts w:hint="eastAsia" w:ascii="宋体" w:hAnsi="宋体" w:eastAsia="宋体" w:cs="宋体"/>
          <w:color w:val="000000" w:themeColor="text1"/>
          <w:szCs w:val="21"/>
          <w:highlight w:val="none"/>
          <w:lang w:val="zh-CN"/>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66DE0CBE">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688D1BE">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宋体"/>
          <w:b/>
          <w:bCs/>
          <w:color w:val="000000" w:themeColor="text1"/>
          <w:szCs w:val="21"/>
          <w:highlight w:val="none"/>
          <w:lang w:val="zh-CN"/>
          <w14:textFill>
            <w14:solidFill>
              <w14:schemeClr w14:val="tx1"/>
            </w14:solidFill>
          </w14:textFill>
        </w:rPr>
        <w:t>合同项下，招标人需要的</w:t>
      </w:r>
      <w:r>
        <w:rPr>
          <w:rFonts w:hint="eastAsia" w:ascii="宋体" w:hAnsi="宋体" w:eastAsia="宋体" w:cs="宋体"/>
          <w:b/>
          <w:bCs/>
          <w:color w:val="000000" w:themeColor="text1"/>
          <w:szCs w:val="21"/>
          <w:highlight w:val="none"/>
          <w14:textFill>
            <w14:solidFill>
              <w14:schemeClr w14:val="tx1"/>
            </w14:solidFill>
          </w14:textFill>
        </w:rPr>
        <w:t>相关</w:t>
      </w:r>
      <w:r>
        <w:rPr>
          <w:rFonts w:hint="eastAsia" w:ascii="宋体" w:hAnsi="宋体" w:eastAsia="宋体" w:cs="宋体"/>
          <w:b/>
          <w:bCs/>
          <w:color w:val="000000" w:themeColor="text1"/>
          <w:szCs w:val="21"/>
          <w:highlight w:val="none"/>
          <w:lang w:val="zh-CN"/>
          <w14:textFill>
            <w14:solidFill>
              <w14:schemeClr w14:val="tx1"/>
            </w14:solidFill>
          </w14:textFill>
        </w:rPr>
        <w:t>服务所需的费用，投标人都应计入投标报价。</w:t>
      </w:r>
    </w:p>
    <w:p w14:paraId="11471D51">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u w:val="single"/>
          <w14:textFill>
            <w14:solidFill>
              <w14:schemeClr w14:val="tx1"/>
            </w14:solidFill>
          </w14:textFill>
        </w:rPr>
        <w:t>投标人的综合单价报价高于不含税采购限价综合单价的，该投标人的投标文件将被视为无效投标</w:t>
      </w:r>
      <w:r>
        <w:rPr>
          <w:rFonts w:hint="eastAsia" w:ascii="宋体" w:hAnsi="宋体" w:eastAsia="宋体" w:cs="宋体"/>
          <w:b/>
          <w:color w:val="000000" w:themeColor="text1"/>
          <w:szCs w:val="21"/>
          <w:highlight w:val="none"/>
          <w:u w:val="single"/>
          <w:lang w:eastAsia="zh-CN"/>
          <w14:textFill>
            <w14:solidFill>
              <w14:schemeClr w14:val="tx1"/>
            </w14:solidFill>
          </w14:textFill>
        </w:rPr>
        <w:t>。</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本项目</w:t>
      </w:r>
      <w:r>
        <w:rPr>
          <w:rFonts w:hint="eastAsia" w:ascii="宋体" w:hAnsi="宋体" w:eastAsia="宋体" w:cs="宋体"/>
          <w:b/>
          <w:color w:val="000000" w:themeColor="text1"/>
          <w:szCs w:val="21"/>
          <w:highlight w:val="none"/>
          <w:u w:val="single"/>
          <w14:textFill>
            <w14:solidFill>
              <w14:schemeClr w14:val="tx1"/>
            </w14:solidFill>
          </w14:textFill>
        </w:rPr>
        <w:t>污泥脱水减量配合服务不含税采购限价综合单价为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39.48</w:t>
      </w:r>
      <w:r>
        <w:rPr>
          <w:rFonts w:hint="eastAsia" w:ascii="宋体" w:hAnsi="宋体" w:eastAsia="宋体" w:cs="宋体"/>
          <w:b/>
          <w:color w:val="000000" w:themeColor="text1"/>
          <w:szCs w:val="21"/>
          <w:highlight w:val="none"/>
          <w:u w:val="single"/>
          <w14:textFill>
            <w14:solidFill>
              <w14:schemeClr w14:val="tx1"/>
            </w14:solidFill>
          </w14:textFill>
        </w:rPr>
        <w:t>元/吨（大写</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人民币叁拾玖元肆角捌分每吨</w:t>
      </w:r>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u w:val="none"/>
          <w:lang w:val="zh-CN"/>
          <w14:textFill>
            <w14:solidFill>
              <w14:schemeClr w14:val="tx1"/>
            </w14:solidFill>
          </w14:textFill>
        </w:rPr>
        <w:t>。</w:t>
      </w:r>
    </w:p>
    <w:p w14:paraId="34F6266D">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p>
    <w:p w14:paraId="41B57916">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56" w:name="_Toc486167676"/>
      <w:bookmarkStart w:id="157" w:name="_Toc30042_WPSOffice_Level3"/>
      <w:bookmarkStart w:id="158" w:name="_Toc4106"/>
      <w:bookmarkStart w:id="159" w:name="_Toc20312"/>
      <w:bookmarkStart w:id="160" w:name="_Toc450662862"/>
      <w:bookmarkStart w:id="161" w:name="_Toc3469"/>
      <w:bookmarkStart w:id="162" w:name="_Toc142508326"/>
      <w:r>
        <w:rPr>
          <w:rFonts w:hint="eastAsia" w:ascii="宋体" w:hAnsi="宋体" w:eastAsia="宋体" w:cs="宋体"/>
          <w:b/>
          <w:color w:val="000000" w:themeColor="text1"/>
          <w:szCs w:val="21"/>
          <w:highlight w:val="none"/>
          <w:lang w:val="zh-CN"/>
          <w14:textFill>
            <w14:solidFill>
              <w14:schemeClr w14:val="tx1"/>
            </w14:solidFill>
          </w14:textFill>
        </w:rPr>
        <w:t>12 投标报价货币</w:t>
      </w:r>
      <w:bookmarkEnd w:id="156"/>
      <w:bookmarkEnd w:id="157"/>
      <w:bookmarkEnd w:id="158"/>
      <w:bookmarkEnd w:id="159"/>
      <w:bookmarkEnd w:id="160"/>
      <w:bookmarkEnd w:id="161"/>
      <w:bookmarkEnd w:id="162"/>
    </w:p>
    <w:p w14:paraId="296295B2">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投标报价表上的价格须以人民币报价，以其</w:t>
      </w:r>
      <w:r>
        <w:rPr>
          <w:rFonts w:hint="eastAsia" w:ascii="宋体" w:hAnsi="宋体" w:eastAsia="宋体" w:cs="宋体"/>
          <w:b/>
          <w:color w:val="000000" w:themeColor="text1"/>
          <w:szCs w:val="21"/>
          <w:highlight w:val="none"/>
          <w14:textFill>
            <w14:solidFill>
              <w14:schemeClr w14:val="tx1"/>
            </w14:solidFill>
          </w14:textFill>
        </w:rPr>
        <w:t>他</w:t>
      </w:r>
      <w:r>
        <w:rPr>
          <w:rFonts w:hint="eastAsia" w:ascii="宋体" w:hAnsi="宋体" w:eastAsia="宋体" w:cs="宋体"/>
          <w:b/>
          <w:color w:val="000000" w:themeColor="text1"/>
          <w:szCs w:val="21"/>
          <w:highlight w:val="none"/>
          <w:lang w:val="zh-CN"/>
          <w14:textFill>
            <w14:solidFill>
              <w14:schemeClr w14:val="tx1"/>
            </w14:solidFill>
          </w14:textFill>
        </w:rPr>
        <w:t>货币报价的投标将予以拒绝。</w:t>
      </w:r>
    </w:p>
    <w:p w14:paraId="11367A56">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0C70F89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3" w:name="_Toc9411_WPSOffice_Level3"/>
      <w:bookmarkStart w:id="164" w:name="_Toc486167677"/>
      <w:bookmarkStart w:id="165" w:name="_Toc3961"/>
      <w:bookmarkStart w:id="166" w:name="_Toc450662863"/>
      <w:bookmarkStart w:id="167" w:name="_Toc20031"/>
      <w:bookmarkStart w:id="168" w:name="_Toc4"/>
      <w:bookmarkStart w:id="169" w:name="_Toc142508327"/>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bookmarkEnd w:id="163"/>
      <w:bookmarkEnd w:id="164"/>
      <w:bookmarkEnd w:id="165"/>
      <w:bookmarkEnd w:id="166"/>
      <w:bookmarkEnd w:id="167"/>
      <w:bookmarkEnd w:id="168"/>
      <w:bookmarkEnd w:id="169"/>
    </w:p>
    <w:p w14:paraId="2C98D09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3823378B">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5732A3E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4E837CB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2E5B594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（3）投标人证明其相应资格符合或优于招标文件要求的其它文件。</w:t>
      </w:r>
    </w:p>
    <w:p w14:paraId="0F328123">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 投标人根据招标文件载明的相关服务要求的实际情况，拟在中标后将中标项目的非主体、非关键性专业工作交由他人完成的，应当在投标文件中载明，并提供他人的资质、能力证明材料。</w:t>
      </w:r>
    </w:p>
    <w:p w14:paraId="4F9F293E">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24AE1A0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8615"/>
      <w:bookmarkStart w:id="171" w:name="_Toc142508328"/>
      <w:bookmarkStart w:id="172" w:name="_Toc486167678"/>
      <w:bookmarkStart w:id="173" w:name="_Toc27063"/>
      <w:bookmarkStart w:id="174" w:name="_Toc450662864"/>
      <w:bookmarkStart w:id="175" w:name="_Toc29754"/>
      <w:bookmarkStart w:id="176" w:name="_Toc27771_WPSOffice_Level3"/>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bookmarkEnd w:id="170"/>
      <w:bookmarkEnd w:id="171"/>
      <w:bookmarkEnd w:id="172"/>
      <w:bookmarkEnd w:id="173"/>
      <w:bookmarkEnd w:id="174"/>
      <w:bookmarkEnd w:id="175"/>
      <w:bookmarkEnd w:id="176"/>
    </w:p>
    <w:p w14:paraId="25AE39A9">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32E69B1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相关服务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4FC17778">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u w:val="singl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u w:val="single"/>
          <w14:textFill>
            <w14:solidFill>
              <w14:schemeClr w14:val="tx1"/>
            </w14:solidFill>
          </w14:textFill>
        </w:rPr>
        <w:t>的</w:t>
      </w:r>
      <w:r>
        <w:rPr>
          <w:rFonts w:hint="eastAsia" w:ascii="宋体" w:hAnsi="宋体" w:eastAsia="宋体" w:cs="宋体"/>
          <w:b/>
          <w:color w:val="000000" w:themeColor="text1"/>
          <w:szCs w:val="21"/>
          <w:highlight w:val="none"/>
          <w:u w:val="singl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03F33499">
      <w:pPr>
        <w:autoSpaceDE w:val="0"/>
        <w:autoSpaceDN w:val="0"/>
        <w:adjustRightInd w:val="0"/>
        <w:spacing w:line="360" w:lineRule="auto"/>
        <w:rPr>
          <w:rFonts w:ascii="宋体" w:hAnsi="宋体" w:eastAsia="宋体" w:cs="宋体"/>
          <w:color w:val="000000" w:themeColor="text1"/>
          <w:kern w:val="0"/>
          <w:sz w:val="24"/>
          <w:szCs w:val="24"/>
          <w:highlight w:val="none"/>
          <w14:textFill>
            <w14:solidFill>
              <w14:schemeClr w14:val="tx1"/>
            </w14:solidFill>
          </w14:textFill>
        </w:rPr>
      </w:pPr>
    </w:p>
    <w:p w14:paraId="7F2B92B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7" w:name="_Toc32099"/>
      <w:bookmarkStart w:id="178" w:name="_Toc5356_WPSOffice_Level3"/>
      <w:bookmarkStart w:id="179" w:name="_Toc486167679"/>
      <w:bookmarkStart w:id="180" w:name="_Toc3206"/>
      <w:bookmarkStart w:id="181" w:name="_Toc8644"/>
      <w:bookmarkStart w:id="182" w:name="_Toc30555"/>
      <w:bookmarkStart w:id="183" w:name="_Toc195714233"/>
      <w:bookmarkStart w:id="184" w:name="_Toc142508329"/>
      <w:r>
        <w:rPr>
          <w:rFonts w:hint="eastAsia" w:ascii="宋体" w:hAnsi="宋体" w:eastAsia="宋体" w:cs="宋体"/>
          <w:color w:val="000000" w:themeColor="text1"/>
          <w:szCs w:val="21"/>
          <w:highlight w:val="none"/>
          <w:lang w:val="zh-CN"/>
          <w14:textFill>
            <w14:solidFill>
              <w14:schemeClr w14:val="tx1"/>
            </w14:solidFill>
          </w14:textFill>
        </w:rPr>
        <w:t>15 投标保证金</w:t>
      </w:r>
      <w:bookmarkEnd w:id="177"/>
      <w:bookmarkEnd w:id="178"/>
      <w:bookmarkEnd w:id="179"/>
      <w:bookmarkEnd w:id="180"/>
      <w:bookmarkEnd w:id="181"/>
      <w:bookmarkEnd w:id="182"/>
      <w:bookmarkEnd w:id="183"/>
      <w:bookmarkEnd w:id="184"/>
    </w:p>
    <w:p w14:paraId="13715B7F">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611374EF">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000000" w:themeColor="text1"/>
          <w:kern w:val="0"/>
          <w:szCs w:val="21"/>
          <w:highlight w:val="none"/>
          <w14:textFill>
            <w14:solidFill>
              <w14:schemeClr w14:val="tx1"/>
            </w14:solidFill>
          </w14:textFill>
        </w:rPr>
        <w:t>项目</w:t>
      </w:r>
      <w:r>
        <w:rPr>
          <w:rFonts w:hint="eastAsia" w:ascii="宋体" w:hAnsi="宋体" w:eastAsia="宋体" w:cs="宋体"/>
          <w:bCs/>
          <w:color w:val="000000" w:themeColor="text1"/>
          <w:kern w:val="0"/>
          <w:szCs w:val="21"/>
          <w:highlight w:val="none"/>
          <w:lang w:val="zh-CN"/>
          <w14:textFill>
            <w14:solidFill>
              <w14:schemeClr w14:val="tx1"/>
            </w14:solidFill>
          </w14:textFill>
        </w:rPr>
        <w:t>，否则，其投标保证金视为无效。</w:t>
      </w:r>
    </w:p>
    <w:p w14:paraId="027ED075">
      <w:pPr>
        <w:autoSpaceDE w:val="0"/>
        <w:autoSpaceDN w:val="0"/>
        <w:adjustRightInd w:val="0"/>
        <w:spacing w:line="360" w:lineRule="auto"/>
        <w:ind w:left="225" w:leftChars="107" w:firstLine="489" w:firstLineChars="233"/>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投标截止时间前，已在公共资源交易企业库建档的投标人应将保证金关联至本</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zh-CN"/>
          <w14:textFill>
            <w14:solidFill>
              <w14:schemeClr w14:val="tx1"/>
            </w14:solidFill>
          </w14:textFill>
        </w:rPr>
        <w:t>。具体要求详见全国公共资源交易平台（广东省·东莞市）（网址：https://ygp.gdzwfw.gov.cn/#/441900/index）办事指南中的相关规定。</w:t>
      </w:r>
    </w:p>
    <w:p w14:paraId="7B6AE231">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1930E553">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D177658">
      <w:pPr>
        <w:autoSpaceDE w:val="0"/>
        <w:autoSpaceDN w:val="0"/>
        <w:adjustRightInd w:val="0"/>
        <w:spacing w:line="360" w:lineRule="auto"/>
        <w:ind w:left="401" w:leftChars="191" w:firstLine="436" w:firstLineChars="208"/>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4D94DB47">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.2 投标人签到时应按本投标人须知第</w:t>
      </w: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.1</w:t>
      </w:r>
      <w:r>
        <w:rPr>
          <w:rFonts w:hint="eastAsia" w:ascii="宋体" w:hAnsi="宋体" w:eastAsia="宋体" w:cs="宋体"/>
          <w:bCs/>
          <w:color w:val="000000" w:themeColor="text1"/>
          <w:kern w:val="0"/>
          <w:szCs w:val="21"/>
          <w:highlight w:val="none"/>
          <w14:textFill>
            <w14:solidFill>
              <w14:schemeClr w14:val="tx1"/>
            </w14:solidFill>
          </w14:textFill>
        </w:rPr>
        <w:t>款</w:t>
      </w:r>
      <w:r>
        <w:rPr>
          <w:rFonts w:hint="eastAsia" w:ascii="宋体" w:hAnsi="宋体" w:eastAsia="宋体" w:cs="宋体"/>
          <w:bCs/>
          <w:color w:val="000000" w:themeColor="text1"/>
          <w:kern w:val="0"/>
          <w:szCs w:val="21"/>
          <w:highlight w:val="none"/>
          <w:lang w:val="zh-CN"/>
          <w14:textFill>
            <w14:solidFill>
              <w14:schemeClr w14:val="tx1"/>
            </w14:solidFill>
          </w14:textFill>
        </w:rPr>
        <w:t>要求提交投标保证金。投标截止时间前，投标人如果撤销签到，已关联的投标保证金同步取消关联；撤销签到的投标人可以重新签到并关联保证金。投标截止后，已关联的投标保证金不能取消关联。</w:t>
      </w:r>
    </w:p>
    <w:p w14:paraId="0A9DCC04">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bookmarkStart w:id="185" w:name="_Toc19219"/>
      <w:bookmarkStart w:id="186" w:name="_Toc3875"/>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.3 投标保证金退还程序。</w:t>
      </w:r>
      <w:bookmarkEnd w:id="185"/>
      <w:bookmarkEnd w:id="186"/>
    </w:p>
    <w:p w14:paraId="2D130CF7">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（1）对未通过资格</w:t>
      </w:r>
      <w:r>
        <w:rPr>
          <w:rFonts w:hint="eastAsia" w:ascii="宋体" w:hAnsi="宋体" w:eastAsia="宋体" w:cs="宋体"/>
          <w:bCs/>
          <w:color w:val="000000" w:themeColor="text1"/>
          <w:kern w:val="0"/>
          <w:szCs w:val="21"/>
          <w:highlight w:val="none"/>
          <w14:textFill>
            <w14:solidFill>
              <w14:schemeClr w14:val="tx1"/>
            </w14:solidFill>
          </w14:textFill>
        </w:rPr>
        <w:t>性</w:t>
      </w:r>
      <w:r>
        <w:rPr>
          <w:rFonts w:hint="eastAsia" w:ascii="宋体" w:hAnsi="宋体" w:eastAsia="宋体" w:cs="宋体"/>
          <w:bCs/>
          <w:color w:val="000000" w:themeColor="text1"/>
          <w:kern w:val="0"/>
          <w:szCs w:val="21"/>
          <w:highlight w:val="none"/>
          <w:lang w:val="zh-CN"/>
          <w14:textFill>
            <w14:solidFill>
              <w14:schemeClr w14:val="tx1"/>
            </w14:solidFill>
          </w14:textFill>
        </w:rPr>
        <w:t>审查或未通过</w:t>
      </w:r>
      <w:r>
        <w:rPr>
          <w:rFonts w:hint="eastAsia" w:ascii="宋体" w:hAnsi="宋体" w:eastAsia="宋体" w:cs="宋体"/>
          <w:bCs/>
          <w:color w:val="000000" w:themeColor="text1"/>
          <w:kern w:val="0"/>
          <w:szCs w:val="21"/>
          <w:highlight w:val="none"/>
          <w14:textFill>
            <w14:solidFill>
              <w14:schemeClr w14:val="tx1"/>
            </w14:solidFill>
          </w14:textFill>
        </w:rPr>
        <w:t>符合性检查</w:t>
      </w:r>
      <w:r>
        <w:rPr>
          <w:rFonts w:hint="eastAsia" w:ascii="宋体" w:hAnsi="宋体" w:eastAsia="宋体" w:cs="宋体"/>
          <w:bCs/>
          <w:color w:val="000000" w:themeColor="text1"/>
          <w:kern w:val="0"/>
          <w:szCs w:val="21"/>
          <w:highlight w:val="none"/>
          <w:lang w:val="zh-CN"/>
          <w14:textFill>
            <w14:solidFill>
              <w14:schemeClr w14:val="tx1"/>
            </w14:solidFill>
          </w14:textFill>
        </w:rPr>
        <w:t>的投标人，招标人在</w:t>
      </w:r>
      <w:r>
        <w:rPr>
          <w:rFonts w:hint="eastAsia" w:ascii="宋体" w:hAnsi="宋体" w:eastAsia="宋体" w:cs="宋体"/>
          <w:bCs/>
          <w:color w:val="000000" w:themeColor="text1"/>
          <w:kern w:val="0"/>
          <w:szCs w:val="21"/>
          <w:highlight w:val="none"/>
          <w14:textFill>
            <w14:solidFill>
              <w14:schemeClr w14:val="tx1"/>
            </w14:solidFill>
          </w14:textFill>
        </w:rPr>
        <w:t>评标会</w:t>
      </w:r>
      <w:r>
        <w:rPr>
          <w:rFonts w:hint="eastAsia" w:ascii="宋体" w:hAnsi="宋体" w:eastAsia="宋体" w:cs="宋体"/>
          <w:bCs/>
          <w:color w:val="000000" w:themeColor="text1"/>
          <w:kern w:val="0"/>
          <w:szCs w:val="21"/>
          <w:highlight w:val="none"/>
          <w:lang w:val="zh-CN"/>
          <w14:textFill>
            <w14:solidFill>
              <w14:schemeClr w14:val="tx1"/>
            </w14:solidFill>
          </w14:textFill>
        </w:rPr>
        <w:t>结束后第一个工作日向交易中心发送退还指令；</w:t>
      </w:r>
    </w:p>
    <w:p w14:paraId="15576ED0">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（2）对除中标候选人外的投标人，招标人在发布评标结果公示后3个工作日内向交易中心发送退还指令；</w:t>
      </w:r>
    </w:p>
    <w:p w14:paraId="2A5FFEAB">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（3）招标人与中标人在签订书面合同后3个工作日内向交易中心对中标人及其余中标候选人投标保证金发送退还指令。</w:t>
      </w:r>
    </w:p>
    <w:p w14:paraId="040FC7DB">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（4）若</w:t>
      </w:r>
      <w:r>
        <w:rPr>
          <w:rFonts w:hint="eastAsia" w:ascii="宋体" w:hAnsi="宋体" w:eastAsia="宋体" w:cs="宋体"/>
          <w:bCs/>
          <w:color w:val="000000" w:themeColor="text1"/>
          <w:kern w:val="0"/>
          <w:szCs w:val="21"/>
          <w:highlight w:val="none"/>
          <w14:textFill>
            <w14:solidFill>
              <w14:schemeClr w14:val="tx1"/>
            </w14:solidFill>
          </w14:textFill>
        </w:rPr>
        <w:t>项目</w:t>
      </w:r>
      <w:r>
        <w:rPr>
          <w:rFonts w:hint="eastAsia" w:ascii="宋体" w:hAnsi="宋体" w:eastAsia="宋体" w:cs="宋体"/>
          <w:bCs/>
          <w:color w:val="000000" w:themeColor="text1"/>
          <w:kern w:val="0"/>
          <w:szCs w:val="21"/>
          <w:highlight w:val="none"/>
          <w:lang w:val="zh-CN"/>
          <w14:textFill>
            <w14:solidFill>
              <w14:schemeClr w14:val="tx1"/>
            </w14:solidFill>
          </w14:textFill>
        </w:rPr>
        <w:t>受到监督部门调查时，招标人根据实际情况处理投标保证金退回有关工作。招标人将按调查结果处理涉事投标保证金。</w:t>
      </w:r>
    </w:p>
    <w:p w14:paraId="3937113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（5）如因投诉等异常情况不能正常签发中标通知书，招标人可以退回未中标的且不涉及异常情况处理投标人的投标保证金发送退还指令。</w:t>
      </w:r>
    </w:p>
    <w:p w14:paraId="42574E38">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.4 投标保证金有效期应当与投标有效期一致。招标人如果按本</w:t>
      </w:r>
      <w:r>
        <w:rPr>
          <w:rFonts w:hint="eastAsia" w:ascii="宋体" w:hAnsi="宋体" w:eastAsia="宋体" w:cs="宋体"/>
          <w:bCs/>
          <w:color w:val="000000" w:themeColor="text1"/>
          <w:kern w:val="0"/>
          <w:szCs w:val="21"/>
          <w:highlight w:val="none"/>
          <w14:textFill>
            <w14:solidFill>
              <w14:schemeClr w14:val="tx1"/>
            </w14:solidFill>
          </w14:textFill>
        </w:rPr>
        <w:t>投标人</w:t>
      </w:r>
      <w:r>
        <w:rPr>
          <w:rFonts w:hint="eastAsia" w:ascii="宋体" w:hAnsi="宋体" w:eastAsia="宋体" w:cs="宋体"/>
          <w:bCs/>
          <w:color w:val="000000" w:themeColor="text1"/>
          <w:kern w:val="0"/>
          <w:szCs w:val="21"/>
          <w:highlight w:val="none"/>
          <w:lang w:val="zh-CN"/>
          <w14:textFill>
            <w14:solidFill>
              <w14:schemeClr w14:val="tx1"/>
            </w14:solidFill>
          </w14:textFill>
        </w:rPr>
        <w:t>须知第</w:t>
      </w:r>
      <w:r>
        <w:rPr>
          <w:rFonts w:hint="eastAsia" w:ascii="宋体" w:hAnsi="宋体" w:eastAsia="宋体" w:cs="宋体"/>
          <w:bCs/>
          <w:color w:val="000000" w:themeColor="text1"/>
          <w:kern w:val="0"/>
          <w:szCs w:val="21"/>
          <w:highlight w:val="none"/>
          <w14:textFill>
            <w14:solidFill>
              <w14:schemeClr w14:val="tx1"/>
            </w14:solidFill>
          </w14:textFill>
        </w:rPr>
        <w:t>16.3款</w:t>
      </w:r>
      <w:r>
        <w:rPr>
          <w:rFonts w:hint="eastAsia" w:ascii="宋体" w:hAnsi="宋体" w:eastAsia="宋体" w:cs="宋体"/>
          <w:bCs/>
          <w:color w:val="000000" w:themeColor="text1"/>
          <w:kern w:val="0"/>
          <w:szCs w:val="21"/>
          <w:highlight w:val="none"/>
          <w:lang w:val="zh-CN"/>
          <w14:textFill>
            <w14:solidFill>
              <w14:schemeClr w14:val="tx1"/>
            </w14:solidFill>
          </w14:textFill>
        </w:rPr>
        <w:t>的规定延长了投标文件有效期，则投标保证金的有效期也相应延长。</w:t>
      </w:r>
    </w:p>
    <w:p w14:paraId="22EE5623">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.5 若发生下列情况，招标人在书面通知投标人（或中标人）后有权不予退还投标保证金： </w:t>
      </w:r>
    </w:p>
    <w:p w14:paraId="270F0B0D">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（1）投标人在规定的投标截止时间后至投标有效期满之前撤销或修改其投标文件；</w:t>
      </w:r>
    </w:p>
    <w:p w14:paraId="6F5FBB81">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（2）中标人未能在规定期限内提交履约担保；</w:t>
      </w:r>
    </w:p>
    <w:p w14:paraId="2FEEA43D">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（3）未根据</w:t>
      </w:r>
      <w:r>
        <w:rPr>
          <w:rFonts w:hint="eastAsia" w:ascii="宋体" w:hAnsi="宋体" w:eastAsia="宋体" w:cs="宋体"/>
          <w:bCs/>
          <w:color w:val="000000" w:themeColor="text1"/>
          <w:kern w:val="0"/>
          <w:szCs w:val="21"/>
          <w:highlight w:val="none"/>
          <w14:textFill>
            <w14:solidFill>
              <w14:schemeClr w14:val="tx1"/>
            </w14:solidFill>
          </w14:textFill>
        </w:rPr>
        <w:t>本投标人须知</w:t>
      </w:r>
      <w:r>
        <w:rPr>
          <w:rFonts w:hint="eastAsia" w:ascii="宋体" w:hAnsi="宋体" w:eastAsia="宋体" w:cs="宋体"/>
          <w:bCs/>
          <w:color w:val="000000" w:themeColor="text1"/>
          <w:kern w:val="0"/>
          <w:szCs w:val="21"/>
          <w:highlight w:val="none"/>
          <w:lang w:val="zh-CN"/>
          <w14:textFill>
            <w14:solidFill>
              <w14:schemeClr w14:val="tx1"/>
            </w14:solidFill>
          </w14:textFill>
        </w:rPr>
        <w:t>第3</w:t>
      </w:r>
      <w:r>
        <w:rPr>
          <w:rFonts w:hint="eastAsia" w:ascii="宋体" w:hAnsi="宋体" w:eastAsia="宋体" w:cs="宋体"/>
          <w:bCs/>
          <w:color w:val="000000" w:themeColor="text1"/>
          <w:kern w:val="0"/>
          <w:szCs w:val="21"/>
          <w:highlight w:val="none"/>
          <w14:textFill>
            <w14:solidFill>
              <w14:schemeClr w14:val="tx1"/>
            </w14:solidFill>
          </w14:textFill>
        </w:rPr>
        <w:t>6</w:t>
      </w:r>
      <w:r>
        <w:rPr>
          <w:rFonts w:hint="eastAsia" w:ascii="宋体" w:hAnsi="宋体" w:eastAsia="宋体" w:cs="宋体"/>
          <w:bCs/>
          <w:color w:val="000000" w:themeColor="text1"/>
          <w:kern w:val="0"/>
          <w:szCs w:val="21"/>
          <w:highlight w:val="none"/>
          <w:lang w:val="zh-CN"/>
          <w14:textFill>
            <w14:solidFill>
              <w14:schemeClr w14:val="tx1"/>
            </w14:solidFill>
          </w14:textFill>
        </w:rPr>
        <w:t>条规定签署合同；</w:t>
      </w:r>
    </w:p>
    <w:p w14:paraId="2C6F9C56">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（4）将中标项目转让给他人，或者在投标文件中未说明，且未经招标人同意，将中标项目的合同的权利义务转让给第三方的；</w:t>
      </w:r>
    </w:p>
    <w:p w14:paraId="2003908D">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（5）提供虚假投标文件或虚假补充文件的，或违反《中华人民共和国招标投标法》等有关法律、法规、规章及招标投标相关规定的行为。</w:t>
      </w:r>
    </w:p>
    <w:p w14:paraId="1A5CC424">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14:textFill>
            <w14:solidFill>
              <w14:schemeClr w14:val="tx1"/>
            </w14:solidFill>
          </w14:textFill>
        </w:rPr>
      </w:pPr>
      <w:bookmarkStart w:id="187" w:name="_Toc30462"/>
      <w:bookmarkStart w:id="188" w:name="_Toc22708"/>
      <w:r>
        <w:rPr>
          <w:rFonts w:hint="eastAsia" w:ascii="宋体" w:hAnsi="宋体" w:eastAsia="宋体" w:cs="宋体"/>
          <w:bCs/>
          <w:color w:val="000000" w:themeColor="text1"/>
          <w:kern w:val="0"/>
          <w:szCs w:val="21"/>
          <w:highlight w:val="none"/>
          <w14:textFill>
            <w14:solidFill>
              <w14:schemeClr w14:val="tx1"/>
            </w14:solidFill>
          </w14:textFill>
        </w:rPr>
        <w:t>15.6 对于提交银行电子保函（保险电子保单）的有关注意事项：</w:t>
      </w:r>
      <w:bookmarkEnd w:id="187"/>
      <w:bookmarkEnd w:id="188"/>
    </w:p>
    <w:p w14:paraId="603A590F">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6.1投标人所提交的银行电子保函（保险电子保单）经核实出现以下情况的，作自动弃权处理：①担保的有效期或金额不符合要求的；②出现不符合招标文件要求或招标人不能接受的条款。</w:t>
      </w:r>
    </w:p>
    <w:p w14:paraId="06C7CB08">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059B4C14">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535F7598">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263C49E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15.</w:t>
      </w:r>
      <w:r>
        <w:rPr>
          <w:rFonts w:hint="eastAsia" w:ascii="宋体" w:hAnsi="宋体" w:eastAsia="宋体" w:cs="宋体"/>
          <w:bCs/>
          <w:color w:val="000000" w:themeColor="text1"/>
          <w:kern w:val="0"/>
          <w:szCs w:val="21"/>
          <w:highlight w:val="none"/>
          <w:lang w:val="zh-CN"/>
          <w14:textFill>
            <w14:solidFill>
              <w14:schemeClr w14:val="tx1"/>
            </w14:solidFill>
          </w14:textFill>
        </w:rPr>
        <w:t>7</w:t>
      </w:r>
      <w:r>
        <w:rPr>
          <w:rFonts w:hint="eastAsia" w:ascii="宋体" w:hAnsi="宋体" w:eastAsia="宋体" w:cs="宋体"/>
          <w:bCs/>
          <w:color w:val="000000" w:themeColor="text1"/>
          <w:kern w:val="0"/>
          <w:szCs w:val="21"/>
          <w:highlight w:val="none"/>
          <w14:textFill>
            <w14:solidFill>
              <w14:schemeClr w14:val="tx1"/>
            </w14:solidFill>
          </w14:textFill>
        </w:rPr>
        <w:t xml:space="preserve"> </w:t>
      </w:r>
      <w:r>
        <w:rPr>
          <w:rFonts w:hint="eastAsia" w:ascii="宋体" w:hAnsi="宋体" w:eastAsia="宋体" w:cs="宋体"/>
          <w:bCs/>
          <w:color w:val="000000" w:themeColor="text1"/>
          <w:kern w:val="0"/>
          <w:szCs w:val="21"/>
          <w:highlight w:val="none"/>
          <w:lang w:val="zh-CN"/>
          <w14:textFill>
            <w14:solidFill>
              <w14:schemeClr w14:val="tx1"/>
            </w14:solidFill>
          </w14:textFill>
        </w:rPr>
        <w:t>投标保证金缴存银行</w:t>
      </w:r>
      <w:r>
        <w:rPr>
          <w:rFonts w:hint="eastAsia" w:ascii="宋体" w:hAnsi="宋体" w:eastAsia="宋体" w:cs="宋体"/>
          <w:bCs/>
          <w:color w:val="000000" w:themeColor="text1"/>
          <w:kern w:val="0"/>
          <w:szCs w:val="21"/>
          <w:highlight w:val="none"/>
          <w14:textFill>
            <w14:solidFill>
              <w14:schemeClr w14:val="tx1"/>
            </w14:solidFill>
          </w14:textFill>
        </w:rPr>
        <w:t>账</w:t>
      </w:r>
      <w:r>
        <w:rPr>
          <w:rFonts w:hint="eastAsia" w:ascii="宋体" w:hAnsi="宋体" w:eastAsia="宋体" w:cs="宋体"/>
          <w:bCs/>
          <w:color w:val="000000" w:themeColor="text1"/>
          <w:kern w:val="0"/>
          <w:szCs w:val="21"/>
          <w:highlight w:val="none"/>
          <w:lang w:val="zh-CN"/>
          <w14:textFill>
            <w14:solidFill>
              <w14:schemeClr w14:val="tx1"/>
            </w14:solidFill>
          </w14:textFill>
        </w:rPr>
        <w:t>户见全国公共资源交易平台（广东省·东莞市）办事指南。</w:t>
      </w:r>
    </w:p>
    <w:p w14:paraId="346717E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104BE2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9" w:name="_Toc29607"/>
      <w:bookmarkStart w:id="190" w:name="_Toc5889"/>
      <w:bookmarkStart w:id="191" w:name="_Toc1458"/>
      <w:bookmarkStart w:id="192" w:name="_Toc22649_WPSOffice_Level3"/>
      <w:bookmarkStart w:id="193" w:name="_Toc450662865"/>
      <w:bookmarkStart w:id="194" w:name="_Toc486167680"/>
      <w:bookmarkStart w:id="195" w:name="_Toc142508330"/>
      <w:r>
        <w:rPr>
          <w:rFonts w:hint="eastAsia" w:ascii="宋体" w:hAnsi="宋体" w:eastAsia="宋体" w:cs="宋体"/>
          <w:color w:val="000000" w:themeColor="text1"/>
          <w:szCs w:val="21"/>
          <w:highlight w:val="none"/>
          <w:lang w:val="zh-CN"/>
          <w14:textFill>
            <w14:solidFill>
              <w14:schemeClr w14:val="tx1"/>
            </w14:solidFill>
          </w14:textFill>
        </w:rPr>
        <w:t>16 投标有效期</w:t>
      </w:r>
      <w:bookmarkEnd w:id="189"/>
      <w:bookmarkEnd w:id="190"/>
      <w:bookmarkEnd w:id="191"/>
      <w:bookmarkEnd w:id="192"/>
      <w:bookmarkEnd w:id="193"/>
      <w:bookmarkEnd w:id="194"/>
      <w:bookmarkEnd w:id="195"/>
    </w:p>
    <w:p w14:paraId="424C6A28">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2F22F14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5B8CD94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将退还其投标保证金。对于同意该要求的投标人，既不要求也不允许其修改投标文件，但将要求其相应延长投标保证金的有效期。第15条投标保证金的有关规定在投标保证金延长期内仍适用。</w:t>
      </w:r>
    </w:p>
    <w:p w14:paraId="079184D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49E93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6" w:name="_Toc25637_WPSOffice_Level3"/>
      <w:bookmarkStart w:id="197" w:name="_Toc195714235"/>
      <w:bookmarkStart w:id="198" w:name="_Toc14196"/>
      <w:bookmarkStart w:id="199" w:name="_Toc450662866"/>
      <w:bookmarkStart w:id="200" w:name="_Toc486167681"/>
      <w:bookmarkStart w:id="201" w:name="_Toc20422"/>
      <w:bookmarkStart w:id="202" w:name="_Toc142508331"/>
      <w:bookmarkStart w:id="203" w:name="_Toc15065"/>
      <w:bookmarkStart w:id="204" w:name="_Toc932"/>
      <w:r>
        <w:rPr>
          <w:rFonts w:hint="eastAsia" w:ascii="宋体" w:hAnsi="宋体" w:eastAsia="宋体" w:cs="宋体"/>
          <w:color w:val="000000" w:themeColor="text1"/>
          <w:szCs w:val="21"/>
          <w:highlight w:val="none"/>
          <w:lang w:val="zh-CN"/>
          <w14:textFill>
            <w14:solidFill>
              <w14:schemeClr w14:val="tx1"/>
            </w14:solidFill>
          </w14:textFill>
        </w:rPr>
        <w:t>17 投标文件的编制和签署</w:t>
      </w:r>
      <w:bookmarkEnd w:id="196"/>
      <w:bookmarkEnd w:id="197"/>
      <w:bookmarkEnd w:id="198"/>
      <w:bookmarkEnd w:id="199"/>
      <w:bookmarkEnd w:id="200"/>
      <w:bookmarkEnd w:id="201"/>
      <w:bookmarkEnd w:id="202"/>
      <w:bookmarkEnd w:id="203"/>
      <w:bookmarkEnd w:id="204"/>
    </w:p>
    <w:p w14:paraId="0D3ED50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投标文件采用电子标书形式编制。投标人使用网络上传投标文件。</w:t>
      </w:r>
    </w:p>
    <w:p w14:paraId="2316D5E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000000" w:themeColor="text1"/>
          <w:szCs w:val="21"/>
          <w:highlight w:val="none"/>
          <w14:textFill>
            <w14:solidFill>
              <w14:schemeClr w14:val="tx1"/>
            </w14:solidFill>
          </w14:textFill>
        </w:rPr>
        <w:t>签名</w:t>
      </w:r>
      <w:r>
        <w:rPr>
          <w:rFonts w:hint="eastAsia" w:ascii="宋体" w:hAnsi="宋体" w:eastAsia="宋体" w:cs="宋体"/>
          <w:color w:val="000000" w:themeColor="text1"/>
          <w:szCs w:val="21"/>
          <w:highlight w:val="none"/>
          <w:lang w:val="zh-CN"/>
          <w14:textFill>
            <w14:solidFill>
              <w14:schemeClr w14:val="tx1"/>
            </w14:solidFill>
          </w14:textFill>
        </w:rPr>
        <w:t>工作。</w:t>
      </w:r>
    </w:p>
    <w:p w14:paraId="3EBCFCC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投标人应使用依法设立的电子认证服务提供者签发的电子签名认证证书对电子投标文件进行电子签名。该电子</w:t>
      </w:r>
      <w:r>
        <w:rPr>
          <w:rFonts w:hint="eastAsia" w:ascii="宋体" w:hAnsi="宋体" w:eastAsia="宋体" w:cs="宋体"/>
          <w:color w:val="000000" w:themeColor="text1"/>
          <w:szCs w:val="21"/>
          <w:highlight w:val="none"/>
          <w14:textFill>
            <w14:solidFill>
              <w14:schemeClr w14:val="tx1"/>
            </w14:solidFill>
          </w14:textFill>
        </w:rPr>
        <w:t>签名</w:t>
      </w:r>
      <w:r>
        <w:rPr>
          <w:rFonts w:hint="eastAsia" w:ascii="宋体" w:hAnsi="宋体" w:eastAsia="宋体" w:cs="宋体"/>
          <w:color w:val="000000" w:themeColor="text1"/>
          <w:szCs w:val="21"/>
          <w:highlight w:val="none"/>
          <w:lang w:val="zh-CN"/>
          <w14:textFill>
            <w14:solidFill>
              <w14:schemeClr w14:val="tx1"/>
            </w14:solidFill>
          </w14:textFill>
        </w:rPr>
        <w:t>与手写签名或者盖章具有同等的法律效力。</w:t>
      </w:r>
    </w:p>
    <w:p w14:paraId="3E9F35A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投标人使用电子标书制作软件编制电子投标文件时必须按招标文件相关条款及投标文件格式中的要求进行编制。</w:t>
      </w:r>
    </w:p>
    <w:p w14:paraId="4B6B8AA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投标文件应按上述编制的要求编制电子标书。如投标文件未按上述编制要求编制的，所引起交易系统无法检索、读取相关信息时，其结果将由投标人自行承担。</w:t>
      </w:r>
    </w:p>
    <w:p w14:paraId="67144C7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05" w:name="_Toc9587"/>
      <w:bookmarkStart w:id="206" w:name="_Toc26960"/>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投标文件必须按下列要求编制、使用数字证书电子</w:t>
      </w:r>
      <w:r>
        <w:rPr>
          <w:rFonts w:hint="eastAsia" w:ascii="宋体" w:hAnsi="宋体" w:eastAsia="宋体" w:cs="宋体"/>
          <w:color w:val="000000" w:themeColor="text1"/>
          <w:szCs w:val="21"/>
          <w:highlight w:val="none"/>
          <w14:textFill>
            <w14:solidFill>
              <w14:schemeClr w14:val="tx1"/>
            </w14:solidFill>
          </w14:textFill>
        </w:rPr>
        <w:t>签名：</w:t>
      </w:r>
      <w:bookmarkEnd w:id="205"/>
      <w:bookmarkEnd w:id="206"/>
    </w:p>
    <w:p w14:paraId="33CD29C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.6.1按本投标人须知第</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3、14</w:t>
      </w:r>
      <w:r>
        <w:rPr>
          <w:rFonts w:hint="eastAsia" w:ascii="宋体" w:hAnsi="宋体" w:eastAsia="宋体" w:cs="宋体"/>
          <w:color w:val="000000" w:themeColor="text1"/>
          <w:szCs w:val="21"/>
          <w:highlight w:val="none"/>
          <w:lang w:val="zh-CN"/>
          <w14:textFill>
            <w14:solidFill>
              <w14:schemeClr w14:val="tx1"/>
            </w14:solidFill>
          </w14:textFill>
        </w:rPr>
        <w:t>条的规定编制，按本投标人须知第1</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条的规定填报投标报价，“投标文件的组成”中列明的内容在投标文件中不能有漏缺。</w:t>
      </w:r>
    </w:p>
    <w:p w14:paraId="225C381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07" w:name="_Toc3092"/>
      <w:bookmarkStart w:id="208" w:name="_Toc19767"/>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.6.2投标文件商务标、技术标编制要求：</w:t>
      </w:r>
      <w:bookmarkEnd w:id="207"/>
      <w:bookmarkEnd w:id="208"/>
    </w:p>
    <w:p w14:paraId="6F32891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（1）投标文件必须按招标文件中规定的投标文件格式编制，并转换成PDF格式合成到电子投标文件中；</w:t>
      </w:r>
    </w:p>
    <w:p w14:paraId="1A32CE6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（2）投标文件商务标、技术标必须按招标文件的规定填写； </w:t>
      </w:r>
    </w:p>
    <w:p w14:paraId="0C97527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）投标文件商务标、技术标应按其格式要求由投标人的法定代表人或其授权代表电子签名、企业数字证书电子签名；</w:t>
      </w:r>
    </w:p>
    <w:p w14:paraId="643B726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）严格按照第六篇投标文件格式内的要求完整、真实的填写《合同条款偏离表》《用户需求偏离表》；</w:t>
      </w:r>
    </w:p>
    <w:p w14:paraId="6DFC7B2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）投标人要特别加以注意，必须严格按照第六篇商务标格式的要求完整、真实的填写《资格业绩》及提供对应证明资料；</w:t>
      </w:r>
    </w:p>
    <w:p w14:paraId="4ADC63C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）投标文件技术标部分必须按招标文件第六篇“技术标格式”编制。</w:t>
      </w:r>
    </w:p>
    <w:p w14:paraId="1D435BB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09" w:name="_Toc26313"/>
      <w:bookmarkStart w:id="210" w:name="_Toc3854"/>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.6.3投标文件报价信封编制要求：</w:t>
      </w:r>
      <w:bookmarkEnd w:id="209"/>
      <w:bookmarkEnd w:id="210"/>
    </w:p>
    <w:p w14:paraId="5D806D4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（1）投标人应使用电子标书制作软件编制并生成报价信封，内容根据招标文件设置的报价信封内容按实填报。</w:t>
      </w:r>
    </w:p>
    <w:p w14:paraId="5A4A060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（2）大写金额数字用“零、壹、贰、叁、肆、伍、陆、柒、捌、玖、拾、佰、仟、万、亿”填写。投标值大写与小写不一致时，以大写数额为准，修正小写数额。</w:t>
      </w:r>
    </w:p>
    <w:p w14:paraId="3FD3B5B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（3）投标文件价格部分应按其格式要求使用依法设立的电子认证服务提供者签发的电子签名认证证书对电子投标文件进行电子签名。该电子签名与手写签名或者盖章具有同等的法律效力。</w:t>
      </w:r>
    </w:p>
    <w:p w14:paraId="3AB0E36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11" w:name="_Toc450662867"/>
    </w:p>
    <w:bookmarkEnd w:id="211"/>
    <w:p w14:paraId="34BAC93C">
      <w:pPr>
        <w:keepNext/>
        <w:keepLines/>
        <w:tabs>
          <w:tab w:val="left" w:pos="509"/>
        </w:tabs>
        <w:autoSpaceDE w:val="0"/>
        <w:autoSpaceDN w:val="0"/>
        <w:adjustRightInd w:val="0"/>
        <w:spacing w:line="360" w:lineRule="auto"/>
        <w:jc w:val="left"/>
        <w:outlineLvl w:val="1"/>
        <w:rPr>
          <w:rFonts w:ascii="宋体" w:hAnsi="宋体" w:eastAsia="宋体" w:cs="宋体"/>
          <w:b/>
          <w:bCs/>
          <w:color w:val="000000" w:themeColor="text1"/>
          <w:kern w:val="44"/>
          <w:szCs w:val="21"/>
          <w:highlight w:val="none"/>
          <w:lang w:val="zh-CN"/>
          <w14:textFill>
            <w14:solidFill>
              <w14:schemeClr w14:val="tx1"/>
            </w14:solidFill>
          </w14:textFill>
        </w:rPr>
      </w:pPr>
      <w:bookmarkStart w:id="212" w:name="_Toc3236"/>
      <w:bookmarkStart w:id="213" w:name="_Toc17199"/>
      <w:bookmarkStart w:id="214" w:name="_Toc140596891"/>
      <w:bookmarkStart w:id="215" w:name="_Toc195714236"/>
      <w:bookmarkStart w:id="216" w:name="_Toc22356_WPSOffice_Level2"/>
      <w:bookmarkStart w:id="217" w:name="_Toc11307"/>
      <w:bookmarkStart w:id="218" w:name="_Toc486167682"/>
      <w:bookmarkStart w:id="219" w:name="_Toc26605"/>
      <w:bookmarkStart w:id="220" w:name="_Toc142508332"/>
      <w:r>
        <w:rPr>
          <w:rFonts w:hint="eastAsia" w:ascii="宋体" w:hAnsi="宋体" w:eastAsia="宋体" w:cs="宋体"/>
          <w:b/>
          <w:bCs/>
          <w:color w:val="000000" w:themeColor="text1"/>
          <w:kern w:val="44"/>
          <w:szCs w:val="21"/>
          <w:highlight w:val="none"/>
          <w:lang w:val="zh-CN"/>
          <w14:textFill>
            <w14:solidFill>
              <w14:schemeClr w14:val="tx1"/>
            </w14:solidFill>
          </w14:textFill>
        </w:rPr>
        <w:t>四、投标</w:t>
      </w:r>
      <w:bookmarkEnd w:id="212"/>
      <w:bookmarkEnd w:id="213"/>
      <w:bookmarkEnd w:id="214"/>
      <w:bookmarkEnd w:id="215"/>
      <w:bookmarkEnd w:id="216"/>
      <w:bookmarkEnd w:id="217"/>
      <w:bookmarkEnd w:id="218"/>
      <w:bookmarkEnd w:id="219"/>
      <w:bookmarkEnd w:id="220"/>
    </w:p>
    <w:p w14:paraId="207FCB95">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29885"/>
      <w:bookmarkStart w:id="222" w:name="_Toc12192_WPSOffice_Level3"/>
      <w:bookmarkStart w:id="223" w:name="_Toc142508333"/>
      <w:bookmarkStart w:id="224" w:name="_Toc31551"/>
      <w:bookmarkStart w:id="225" w:name="_Toc450662868"/>
      <w:bookmarkStart w:id="226" w:name="_Toc486167683"/>
      <w:bookmarkStart w:id="227" w:name="_Toc195714237"/>
      <w:bookmarkStart w:id="228" w:name="_Toc11817"/>
      <w:bookmarkStart w:id="229" w:name="_Toc3466"/>
      <w:r>
        <w:rPr>
          <w:rFonts w:hint="eastAsia" w:ascii="宋体" w:hAnsi="宋体" w:eastAsia="宋体" w:cs="宋体"/>
          <w:color w:val="000000" w:themeColor="text1"/>
          <w:szCs w:val="21"/>
          <w:highlight w:val="none"/>
          <w:lang w:val="zh-CN"/>
          <w14:textFill>
            <w14:solidFill>
              <w14:schemeClr w14:val="tx1"/>
            </w14:solidFill>
          </w14:textFill>
        </w:rPr>
        <w:t xml:space="preserve">18 </w:t>
      </w:r>
      <w:bookmarkEnd w:id="221"/>
      <w:bookmarkEnd w:id="222"/>
      <w:bookmarkEnd w:id="223"/>
      <w:bookmarkEnd w:id="224"/>
      <w:bookmarkEnd w:id="225"/>
      <w:bookmarkEnd w:id="226"/>
      <w:bookmarkEnd w:id="227"/>
      <w:r>
        <w:rPr>
          <w:rFonts w:hint="eastAsia" w:ascii="宋体" w:hAnsi="宋体" w:eastAsia="宋体" w:cs="宋体"/>
          <w:color w:val="000000" w:themeColor="text1"/>
          <w:szCs w:val="21"/>
          <w:highlight w:val="none"/>
          <w:lang w:val="zh-CN"/>
          <w14:textFill>
            <w14:solidFill>
              <w14:schemeClr w14:val="tx1"/>
            </w14:solidFill>
          </w14:textFill>
        </w:rPr>
        <w:t>投标文件的加密</w:t>
      </w:r>
      <w:bookmarkEnd w:id="228"/>
      <w:bookmarkEnd w:id="229"/>
    </w:p>
    <w:p w14:paraId="376A92B5">
      <w:pPr>
        <w:tabs>
          <w:tab w:val="left" w:pos="567"/>
        </w:tabs>
        <w:adjustRightInd w:val="0"/>
        <w:spacing w:line="360" w:lineRule="auto"/>
        <w:ind w:firstLine="144" w:firstLineChars="6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投标人应使用依法设立的电子认证服务提供者签发的电子签章认证证书对电子投标文件进行电子签章并加密。</w:t>
      </w:r>
    </w:p>
    <w:p w14:paraId="1EE28FF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14:textFill>
            <w14:solidFill>
              <w14:schemeClr w14:val="tx1"/>
            </w14:solidFill>
          </w14:textFill>
        </w:rPr>
      </w:pPr>
    </w:p>
    <w:p w14:paraId="4D16DFFF">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30" w:name="_Toc22605"/>
      <w:bookmarkStart w:id="231" w:name="_Toc3867"/>
      <w:bookmarkStart w:id="232" w:name="_Toc195714238"/>
      <w:r>
        <w:rPr>
          <w:rFonts w:hint="eastAsia" w:ascii="宋体" w:hAnsi="宋体" w:eastAsia="宋体" w:cs="宋体"/>
          <w:color w:val="000000" w:themeColor="text1"/>
          <w:szCs w:val="21"/>
          <w:highlight w:val="none"/>
          <w:lang w:val="zh-CN"/>
          <w14:textFill>
            <w14:solidFill>
              <w14:schemeClr w14:val="tx1"/>
            </w14:solidFill>
          </w14:textFill>
        </w:rPr>
        <w:t>19 投标文件的提交</w:t>
      </w:r>
      <w:bookmarkEnd w:id="230"/>
      <w:bookmarkEnd w:id="231"/>
      <w:bookmarkEnd w:id="232"/>
    </w:p>
    <w:p w14:paraId="13347F4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投标人应在本招标公告规定的投标截止时间前通过交易系统在线上传投标文件。上述方式外提交的投标文件，招标人将不予受理。</w:t>
      </w:r>
    </w:p>
    <w:p w14:paraId="3255537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12FCC7A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投标文件成功上传后，交易系统将生成投标文件识别码。本识别码是投标人提交投标文件的唯一凭证，投标人须妥善保管。识别码丢失后，投标人将无法找回投标文件，需重新上传提交。</w:t>
      </w:r>
    </w:p>
    <w:p w14:paraId="4727B6F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bookmarkStart w:id="233" w:name="_Toc10837"/>
      <w:bookmarkStart w:id="234" w:name="_Toc8570"/>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投标会议</w:t>
      </w:r>
      <w:r>
        <w:rPr>
          <w:rFonts w:hint="eastAsia" w:ascii="宋体" w:hAnsi="宋体" w:eastAsia="宋体" w:cs="宋体"/>
          <w:color w:val="000000" w:themeColor="text1"/>
          <w:szCs w:val="21"/>
          <w:highlight w:val="none"/>
          <w14:textFill>
            <w14:solidFill>
              <w14:schemeClr w14:val="tx1"/>
            </w14:solidFill>
          </w14:textFill>
        </w:rPr>
        <w:t>时间及</w:t>
      </w:r>
      <w:r>
        <w:rPr>
          <w:rFonts w:hint="eastAsia" w:ascii="宋体" w:hAnsi="宋体" w:eastAsia="宋体" w:cs="宋体"/>
          <w:color w:val="000000" w:themeColor="text1"/>
          <w:szCs w:val="21"/>
          <w:highlight w:val="none"/>
          <w:lang w:val="zh-CN"/>
          <w14:textFill>
            <w14:solidFill>
              <w14:schemeClr w14:val="tx1"/>
            </w14:solidFill>
          </w14:textFill>
        </w:rPr>
        <w:t>地点：见招标公告。</w:t>
      </w:r>
      <w:bookmarkEnd w:id="233"/>
      <w:bookmarkEnd w:id="234"/>
    </w:p>
    <w:p w14:paraId="441A6F1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逾期送达的或者未按指定方式提交的投标文件，招标人不予受理。</w:t>
      </w:r>
    </w:p>
    <w:p w14:paraId="0DCD89F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0E27CD0F">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35" w:name="_Toc6132"/>
      <w:bookmarkStart w:id="236" w:name="_Toc2123"/>
      <w:bookmarkStart w:id="237" w:name="_Toc195714239"/>
      <w:r>
        <w:rPr>
          <w:rFonts w:hint="eastAsia" w:ascii="宋体" w:hAnsi="宋体" w:eastAsia="宋体" w:cs="宋体"/>
          <w:color w:val="000000" w:themeColor="text1"/>
          <w:szCs w:val="21"/>
          <w:highlight w:val="none"/>
          <w:lang w:val="zh-CN"/>
          <w14:textFill>
            <w14:solidFill>
              <w14:schemeClr w14:val="tx1"/>
            </w14:solidFill>
          </w14:textFill>
        </w:rPr>
        <w:t>20 投标会时间、地点及投标文件提交的截止时间</w:t>
      </w:r>
      <w:bookmarkEnd w:id="235"/>
      <w:bookmarkEnd w:id="236"/>
      <w:bookmarkEnd w:id="237"/>
    </w:p>
    <w:p w14:paraId="6299FCC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投标人应按招标公告的时间、地点，或根据本投标人须知第</w:t>
      </w:r>
      <w:r>
        <w:rPr>
          <w:rFonts w:hint="eastAsia" w:ascii="宋体" w:hAnsi="宋体" w:eastAsia="宋体" w:cs="宋体"/>
          <w:color w:val="000000" w:themeColor="text1"/>
          <w:szCs w:val="21"/>
          <w:highlight w:val="none"/>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 xml:space="preserve">款规定所延长的日期和时间之前通过交易系统在线上传投标文件。 </w:t>
      </w:r>
    </w:p>
    <w:p w14:paraId="47D6BFC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招标人有权按本投标人须知第</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条的规定发出补充通知书，延长投标文件递交的截止时间。这时，原截止时间前，招标人与投标人的权利和义务相应延长至新的投标截止时间。</w:t>
      </w:r>
    </w:p>
    <w:p w14:paraId="4FA30DC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F93B837">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38" w:name="_Toc8252"/>
      <w:bookmarkStart w:id="239" w:name="_Toc195714240"/>
      <w:bookmarkStart w:id="240" w:name="_Toc5699"/>
      <w:r>
        <w:rPr>
          <w:rFonts w:hint="eastAsia" w:ascii="宋体" w:hAnsi="宋体" w:eastAsia="宋体" w:cs="宋体"/>
          <w:color w:val="000000" w:themeColor="text1"/>
          <w:szCs w:val="21"/>
          <w:highlight w:val="none"/>
          <w:lang w:val="zh-CN"/>
          <w14:textFill>
            <w14:solidFill>
              <w14:schemeClr w14:val="tx1"/>
            </w14:solidFill>
          </w14:textFill>
        </w:rPr>
        <w:t>21 投标文件的拒绝</w:t>
      </w:r>
      <w:bookmarkEnd w:id="238"/>
      <w:bookmarkEnd w:id="239"/>
      <w:bookmarkEnd w:id="240"/>
    </w:p>
    <w:p w14:paraId="3B1E2AF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投标会上，出现下列情形之一的投标文件，将被招标人拒绝：</w:t>
      </w:r>
    </w:p>
    <w:p w14:paraId="0CBB18C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.1.1招标人在本投标人须知第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.4款规定的投标截止时间以后或指定方式以外收到的投标文件。</w:t>
      </w:r>
    </w:p>
    <w:p w14:paraId="22FCDED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.1.2投标人未按本投标人须知第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.4款规定提交的投标文件。</w:t>
      </w:r>
    </w:p>
    <w:p w14:paraId="0F26F199">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601A48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1" w:name="_Toc195714241"/>
      <w:bookmarkStart w:id="242" w:name="_Toc26166"/>
      <w:bookmarkStart w:id="243" w:name="_Toc28002"/>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val="zh-CN"/>
          <w14:textFill>
            <w14:solidFill>
              <w14:schemeClr w14:val="tx1"/>
            </w14:solidFill>
          </w14:textFill>
        </w:rPr>
        <w:t>投标文件的补充、修改与撤回</w:t>
      </w:r>
      <w:bookmarkEnd w:id="241"/>
      <w:bookmarkEnd w:id="242"/>
      <w:bookmarkEnd w:id="243"/>
    </w:p>
    <w:p w14:paraId="47EE510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在本投标人须知第</w:t>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.1款规定的投标截止时间前，投标人可以修改或撤回已递交的投标文件。在投标截止时间之后，投标人不得补充、修改投标文件。</w:t>
      </w:r>
    </w:p>
    <w:p w14:paraId="3989D73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投标人应使用企业数字证书、投标文件识别码及投标文件查询密码通过网络撤回已递交投标文件。</w:t>
      </w:r>
    </w:p>
    <w:p w14:paraId="61B78538">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在投标截止时间至投标有效期满之前，投标人不得撤销其投标文件。投标截止后投标人撤销投标文件的，招标人没收其投标保证金（逾期未解密投标文件的除外）。</w:t>
      </w:r>
    </w:p>
    <w:p w14:paraId="010B988F">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22DAC08">
      <w:pPr>
        <w:keepNext/>
        <w:keepLines/>
        <w:tabs>
          <w:tab w:val="left" w:pos="509"/>
        </w:tabs>
        <w:autoSpaceDE w:val="0"/>
        <w:autoSpaceDN w:val="0"/>
        <w:adjustRightInd w:val="0"/>
        <w:spacing w:line="360" w:lineRule="auto"/>
        <w:jc w:val="left"/>
        <w:outlineLvl w:val="1"/>
        <w:rPr>
          <w:rFonts w:ascii="宋体" w:hAnsi="宋体" w:eastAsia="宋体" w:cs="宋体"/>
          <w:b/>
          <w:bCs/>
          <w:color w:val="000000" w:themeColor="text1"/>
          <w:kern w:val="44"/>
          <w:szCs w:val="21"/>
          <w:highlight w:val="none"/>
          <w:lang w:val="zh-CN"/>
          <w14:textFill>
            <w14:solidFill>
              <w14:schemeClr w14:val="tx1"/>
            </w14:solidFill>
          </w14:textFill>
        </w:rPr>
      </w:pPr>
      <w:bookmarkStart w:id="244" w:name="_Toc450662872"/>
      <w:bookmarkStart w:id="245" w:name="_Toc30428"/>
      <w:bookmarkStart w:id="246" w:name="_Toc195714242"/>
      <w:bookmarkStart w:id="247" w:name="_Toc24804"/>
      <w:bookmarkStart w:id="248" w:name="_Toc142508337"/>
      <w:bookmarkStart w:id="249" w:name="_Toc1049_WPSOffice_Level2"/>
      <w:bookmarkStart w:id="250" w:name="_Toc28824"/>
      <w:bookmarkStart w:id="251" w:name="_Toc486167687"/>
      <w:bookmarkStart w:id="252" w:name="_Toc140596896"/>
      <w:bookmarkStart w:id="253" w:name="_Toc5498"/>
      <w:bookmarkStart w:id="254" w:name="_Toc450662880"/>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44"/>
      <w:bookmarkEnd w:id="245"/>
      <w:bookmarkEnd w:id="246"/>
      <w:bookmarkEnd w:id="247"/>
      <w:bookmarkEnd w:id="248"/>
      <w:bookmarkEnd w:id="249"/>
      <w:bookmarkEnd w:id="250"/>
      <w:bookmarkEnd w:id="251"/>
      <w:bookmarkEnd w:id="252"/>
      <w:bookmarkEnd w:id="253"/>
    </w:p>
    <w:p w14:paraId="0D0487D9">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55" w:name="_Toc195714243"/>
      <w:bookmarkStart w:id="256" w:name="_Toc3761"/>
      <w:bookmarkStart w:id="257" w:name="_Toc17477"/>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55"/>
      <w:bookmarkEnd w:id="256"/>
      <w:bookmarkEnd w:id="257"/>
    </w:p>
    <w:p w14:paraId="4B34F63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招标人在19.1款规定的投标截止时间（开标时间）和19.4款规定的地点召开投标会并公开开标，投标人可在规定的时间和地点参加投标会或通过登录交易系统在线查看开标过程相关信息。</w:t>
      </w:r>
    </w:p>
    <w:p w14:paraId="461F03C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23.2 </w:t>
      </w:r>
      <w:r>
        <w:rPr>
          <w:rFonts w:hint="eastAsia" w:ascii="宋体" w:hAnsi="宋体" w:eastAsia="宋体" w:cs="宋体"/>
          <w:b/>
          <w:bCs/>
          <w:color w:val="000000" w:themeColor="text1"/>
          <w:szCs w:val="21"/>
          <w:highlight w:val="none"/>
          <w14:textFill>
            <w14:solidFill>
              <w14:schemeClr w14:val="tx1"/>
            </w14:solidFill>
          </w14:textFill>
        </w:rPr>
        <w:t>投标人网上签到时间为开标当天上午6时至投标截止时间</w:t>
      </w:r>
      <w:r>
        <w:rPr>
          <w:rFonts w:hint="eastAsia" w:ascii="宋体" w:hAnsi="宋体" w:eastAsia="宋体" w:cs="宋体"/>
          <w:color w:val="000000" w:themeColor="text1"/>
          <w:szCs w:val="21"/>
          <w:highlight w:val="none"/>
          <w14:textFill>
            <w14:solidFill>
              <w14:schemeClr w14:val="tx1"/>
            </w14:solidFill>
          </w14:textFill>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D061DE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23.3 投标人网上签到需要由法定代表人或</w:t>
      </w:r>
      <w:r>
        <w:rPr>
          <w:rFonts w:hint="eastAsia" w:ascii="宋体" w:hAnsi="宋体" w:eastAsia="宋体" w:cs="宋体"/>
          <w:color w:val="000000" w:themeColor="text1"/>
          <w:szCs w:val="21"/>
          <w:highlight w:val="none"/>
          <w:lang w:val="zh-CN"/>
          <w14:textFill>
            <w14:solidFill>
              <w14:schemeClr w14:val="tx1"/>
            </w14:solidFill>
          </w14:textFill>
        </w:rPr>
        <w:t>其授权代表</w:t>
      </w:r>
      <w:r>
        <w:rPr>
          <w:rFonts w:hint="eastAsia" w:ascii="宋体" w:hAnsi="宋体" w:eastAsia="宋体" w:cs="宋体"/>
          <w:color w:val="000000" w:themeColor="text1"/>
          <w:szCs w:val="21"/>
          <w:highlight w:val="none"/>
          <w14:textFill>
            <w14:solidFill>
              <w14:schemeClr w14:val="tx1"/>
            </w14:solidFill>
          </w14:textFill>
        </w:rPr>
        <w:t>进行人脸识别完成签到。（注：投标人在网上签到时须关联的法定代表人</w:t>
      </w:r>
      <w:r>
        <w:rPr>
          <w:rFonts w:hint="eastAsia" w:ascii="宋体" w:hAnsi="宋体" w:eastAsia="宋体" w:cs="宋体"/>
          <w:color w:val="000000" w:themeColor="text1"/>
          <w:szCs w:val="21"/>
          <w:highlight w:val="none"/>
          <w:lang w:val="zh-CN"/>
          <w14:textFill>
            <w14:solidFill>
              <w14:schemeClr w14:val="tx1"/>
            </w14:solidFill>
          </w14:textFill>
        </w:rPr>
        <w:t>授权代表</w:t>
      </w:r>
      <w:r>
        <w:rPr>
          <w:rFonts w:hint="eastAsia" w:ascii="宋体" w:hAnsi="宋体" w:eastAsia="宋体" w:cs="宋体"/>
          <w:color w:val="000000" w:themeColor="text1"/>
          <w:szCs w:val="21"/>
          <w:highlight w:val="none"/>
          <w14:textFill>
            <w14:solidFill>
              <w14:schemeClr w14:val="tx1"/>
            </w14:solidFill>
          </w14:textFill>
        </w:rPr>
        <w:t>为本项目法定代表人授权书列明的被授权人。）</w:t>
      </w:r>
    </w:p>
    <w:p w14:paraId="3C57302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zh-CN"/>
          <w14:textFill>
            <w14:solidFill>
              <w14:schemeClr w14:val="tx1"/>
            </w14:solidFill>
          </w14:textFill>
        </w:rPr>
        <w:t>投标文件提交截止时间后，招标人按本投标人须知第2</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.1款规定拒绝不符合要求的投标文件。</w:t>
      </w:r>
    </w:p>
    <w:p w14:paraId="069982B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5 </w:t>
      </w:r>
      <w:r>
        <w:rPr>
          <w:rFonts w:hint="eastAsia" w:ascii="宋体" w:hAnsi="宋体" w:eastAsia="宋体" w:cs="宋体"/>
          <w:b/>
          <w:bCs/>
          <w:color w:val="000000" w:themeColor="text1"/>
          <w:szCs w:val="21"/>
          <w:highlight w:val="none"/>
          <w:lang w:val="zh-CN"/>
          <w14:textFill>
            <w14:solidFill>
              <w14:schemeClr w14:val="tx1"/>
            </w14:solidFill>
          </w14:textFill>
        </w:rPr>
        <w:t>解密投标文件的时间：投标文件提交截止时间后60分钟内</w:t>
      </w:r>
      <w:r>
        <w:rPr>
          <w:rFonts w:hint="eastAsia" w:ascii="宋体" w:hAnsi="宋体" w:eastAsia="宋体" w:cs="宋体"/>
          <w:color w:val="000000" w:themeColor="text1"/>
          <w:szCs w:val="21"/>
          <w:highlight w:val="none"/>
          <w:lang w:val="zh-CN"/>
          <w14:textFill>
            <w14:solidFill>
              <w14:schemeClr w14:val="tx1"/>
            </w14:solidFill>
          </w14:textFill>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000000" w:themeColor="text1"/>
          <w:szCs w:val="21"/>
          <w:highlight w:val="none"/>
          <w14:textFill>
            <w14:solidFill>
              <w14:schemeClr w14:val="tx1"/>
            </w14:solidFill>
          </w14:textFill>
        </w:rPr>
        <w:t>之外的</w:t>
      </w:r>
      <w:r>
        <w:rPr>
          <w:rFonts w:hint="eastAsia" w:ascii="宋体" w:hAnsi="宋体" w:eastAsia="宋体" w:cs="宋体"/>
          <w:color w:val="000000" w:themeColor="text1"/>
          <w:szCs w:val="21"/>
          <w:highlight w:val="none"/>
          <w:lang w:val="zh-CN"/>
          <w14:textFill>
            <w14:solidFill>
              <w14:schemeClr w14:val="tx1"/>
            </w14:solidFill>
          </w14:textFill>
        </w:rPr>
        <w:t>原因造成投标文件未解密的，视为撤回其投标文件。投标文件解密需要由法定代表人或其授权代表进行人脸识别完成解密。</w:t>
      </w:r>
      <w:r>
        <w:rPr>
          <w:rFonts w:hint="eastAsia" w:ascii="宋体" w:hAnsi="宋体" w:eastAsia="宋体" w:cs="宋体"/>
          <w:color w:val="000000" w:themeColor="text1"/>
          <w:szCs w:val="21"/>
          <w:highlight w:val="none"/>
          <w14:textFill>
            <w14:solidFill>
              <w14:schemeClr w14:val="tx1"/>
            </w14:solidFill>
          </w14:textFill>
        </w:rPr>
        <w:t>（注：投标人在网上签到时须关联的法定代表人</w:t>
      </w:r>
      <w:r>
        <w:rPr>
          <w:rFonts w:hint="eastAsia" w:ascii="宋体" w:hAnsi="宋体" w:eastAsia="宋体" w:cs="宋体"/>
          <w:color w:val="000000" w:themeColor="text1"/>
          <w:szCs w:val="21"/>
          <w:highlight w:val="none"/>
          <w:lang w:val="zh-CN"/>
          <w14:textFill>
            <w14:solidFill>
              <w14:schemeClr w14:val="tx1"/>
            </w14:solidFill>
          </w14:textFill>
        </w:rPr>
        <w:t>授权代表</w:t>
      </w:r>
      <w:r>
        <w:rPr>
          <w:rFonts w:hint="eastAsia" w:ascii="宋体" w:hAnsi="宋体" w:eastAsia="宋体" w:cs="宋体"/>
          <w:color w:val="000000" w:themeColor="text1"/>
          <w:szCs w:val="21"/>
          <w:highlight w:val="none"/>
          <w14:textFill>
            <w14:solidFill>
              <w14:schemeClr w14:val="tx1"/>
            </w14:solidFill>
          </w14:textFill>
        </w:rPr>
        <w:t>为本项目法定代表人授权书列明的被授权人。）</w:t>
      </w:r>
    </w:p>
    <w:p w14:paraId="7909B0B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23.6 由招标人及其委托的招标代理机构开启投标文件的报价信封进行唱标。</w:t>
      </w:r>
    </w:p>
    <w:p w14:paraId="2E45EFB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7 </w:t>
      </w:r>
      <w:r>
        <w:rPr>
          <w:rFonts w:hint="eastAsia" w:ascii="宋体" w:hAnsi="宋体" w:eastAsia="宋体" w:cs="宋体"/>
          <w:color w:val="000000" w:themeColor="text1"/>
          <w:szCs w:val="21"/>
          <w:highlight w:val="none"/>
          <w:lang w:val="zh-CN"/>
          <w14:textFill>
            <w14:solidFill>
              <w14:schemeClr w14:val="tx1"/>
            </w14:solidFill>
          </w14:textFill>
        </w:rPr>
        <w:t>招标人将所有已解密的电子投标文件，按要求通过开标系统将进入评标环节的投标文件打包并导入评标系统。</w:t>
      </w:r>
    </w:p>
    <w:p w14:paraId="475B414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8 </w:t>
      </w:r>
      <w:r>
        <w:rPr>
          <w:rFonts w:hint="eastAsia" w:ascii="宋体" w:hAnsi="宋体" w:eastAsia="宋体" w:cs="宋体"/>
          <w:color w:val="000000" w:themeColor="text1"/>
          <w:szCs w:val="21"/>
          <w:highlight w:val="none"/>
          <w:lang w:val="zh-CN"/>
          <w14:textFill>
            <w14:solidFill>
              <w14:schemeClr w14:val="tx1"/>
            </w14:solidFill>
          </w14:textFill>
        </w:rPr>
        <w:t>招标人、招标代理工作人员、监督部门（如有）等有关人员在开标记录上签字确认，开标记录封存。</w:t>
      </w:r>
    </w:p>
    <w:p w14:paraId="07565E1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7D9FE5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8" w:name="_Toc23059"/>
      <w:bookmarkStart w:id="259" w:name="_Toc24771"/>
      <w:bookmarkStart w:id="260" w:name="_Toc195714244"/>
      <w:bookmarkStart w:id="261" w:name="_Toc32534"/>
      <w:bookmarkStart w:id="262" w:name="_Toc29774"/>
      <w:bookmarkStart w:id="263" w:name="_Toc486167689"/>
      <w:bookmarkStart w:id="264" w:name="_Toc12165_WPSOffice_Level3"/>
      <w:bookmarkStart w:id="265" w:name="_Toc450662874"/>
      <w:bookmarkStart w:id="266" w:name="_Toc142508339"/>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58"/>
      <w:bookmarkEnd w:id="259"/>
      <w:bookmarkEnd w:id="260"/>
      <w:bookmarkEnd w:id="261"/>
      <w:bookmarkEnd w:id="262"/>
      <w:bookmarkEnd w:id="263"/>
      <w:bookmarkEnd w:id="264"/>
      <w:bookmarkEnd w:id="265"/>
      <w:bookmarkEnd w:id="266"/>
    </w:p>
    <w:p w14:paraId="1EF8DED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递交投标文件后，直至向中标人授予合同期间，凡与审查、澄清、评估和比较投标报价的有关资料以及意见等，均不得向投标人及与评审无关的其他人透露，否则追究有关当事人的法律责任。</w:t>
      </w:r>
    </w:p>
    <w:p w14:paraId="33F18BE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2654C8C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C14B09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7" w:name="_Toc16920"/>
      <w:bookmarkStart w:id="268" w:name="_Toc15057"/>
      <w:bookmarkStart w:id="269" w:name="_Toc800"/>
      <w:bookmarkStart w:id="270" w:name="_Toc15565_WPSOffice_Level3"/>
      <w:bookmarkStart w:id="271" w:name="_Toc486167690"/>
      <w:bookmarkStart w:id="272" w:name="_Toc142508340"/>
      <w:bookmarkStart w:id="273" w:name="_Toc450662875"/>
      <w:bookmarkStart w:id="274" w:name="_Toc195714245"/>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w:t>
      </w:r>
      <w:bookmarkEnd w:id="267"/>
      <w:bookmarkEnd w:id="268"/>
      <w:bookmarkEnd w:id="269"/>
      <w:bookmarkEnd w:id="270"/>
      <w:bookmarkEnd w:id="271"/>
      <w:bookmarkEnd w:id="272"/>
      <w:bookmarkEnd w:id="273"/>
      <w:bookmarkEnd w:id="274"/>
    </w:p>
    <w:p w14:paraId="13DC9D2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724A5F7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147CD6B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4AB684DA">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75" w:name="_Toc21448"/>
      <w:bookmarkStart w:id="276" w:name="_Toc4946"/>
      <w:bookmarkStart w:id="277" w:name="_Toc195714246"/>
      <w:r>
        <w:rPr>
          <w:rFonts w:hint="eastAsia" w:ascii="宋体" w:hAnsi="宋体" w:eastAsia="宋体" w:cs="宋体"/>
          <w:color w:val="000000" w:themeColor="text1"/>
          <w:szCs w:val="21"/>
          <w:highlight w:val="none"/>
          <w:lang w:val="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投标文件的有效性</w:t>
      </w:r>
      <w:bookmarkEnd w:id="275"/>
      <w:bookmarkEnd w:id="276"/>
      <w:bookmarkEnd w:id="277"/>
    </w:p>
    <w:p w14:paraId="0A00EB5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26.1开标（评标）时，投标文件出现下列情形之一的，应当作为无效投标文件：</w:t>
      </w:r>
    </w:p>
    <w:p w14:paraId="742A039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78" w:name="_Toc1252"/>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上传的投标文件损坏或无法读取的；</w:t>
      </w:r>
      <w:bookmarkEnd w:id="278"/>
    </w:p>
    <w:p w14:paraId="43B491A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经招标人确认，投标人在公共资源交易企业库填报的与本项目密切相关的信息与事实不相符的；</w:t>
      </w:r>
    </w:p>
    <w:p w14:paraId="1274956F">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26.1.3投标文件中使用的本项目招标文件版本，与交易系统上发布的本项目招标文件的最新版本不一致的；</w:t>
      </w:r>
    </w:p>
    <w:p w14:paraId="1977702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79" w:name="_Toc15371"/>
      <w:r>
        <w:rPr>
          <w:rFonts w:hint="eastAsia" w:ascii="宋体" w:hAnsi="宋体" w:eastAsia="宋体" w:cs="宋体"/>
          <w:color w:val="000000" w:themeColor="text1"/>
          <w:szCs w:val="21"/>
          <w:highlight w:val="none"/>
          <w14:textFill>
            <w14:solidFill>
              <w14:schemeClr w14:val="tx1"/>
            </w14:solidFill>
          </w14:textFill>
        </w:rPr>
        <w:t>26.1.4</w:t>
      </w:r>
      <w:r>
        <w:rPr>
          <w:rFonts w:hint="eastAsia" w:ascii="宋体" w:hAnsi="宋体" w:eastAsia="宋体" w:cs="宋体"/>
          <w:color w:val="000000" w:themeColor="text1"/>
          <w:szCs w:val="21"/>
          <w:highlight w:val="none"/>
          <w:lang w:val="zh-CN"/>
          <w14:textFill>
            <w14:solidFill>
              <w14:schemeClr w14:val="tx1"/>
            </w14:solidFill>
          </w14:textFill>
        </w:rPr>
        <w:t>投标文件未使用企业数字证书签名的；</w:t>
      </w:r>
      <w:bookmarkEnd w:id="279"/>
    </w:p>
    <w:p w14:paraId="7EB45A2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投标文件签名使用的数字证书与签到的投标人名称不一致的；</w:t>
      </w:r>
    </w:p>
    <w:p w14:paraId="10B79A4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投标人的投标编制MAC信息、投标编制CPU序列号、投标编制硬盘序列号均与其他投标人相同的；</w:t>
      </w:r>
    </w:p>
    <w:p w14:paraId="1B7F2C9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投标文件附有招标人不能接受的条件的；</w:t>
      </w:r>
    </w:p>
    <w:p w14:paraId="66C9758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投标人资格不满足本投标人须知第</w:t>
      </w:r>
      <w:r>
        <w:rPr>
          <w:rFonts w:hint="eastAsia" w:ascii="宋体" w:hAnsi="宋体" w:eastAsia="宋体" w:cs="宋体"/>
          <w:color w:val="000000" w:themeColor="text1"/>
          <w:szCs w:val="21"/>
          <w:highlight w:val="none"/>
          <w14:textFill>
            <w14:solidFill>
              <w14:schemeClr w14:val="tx1"/>
            </w14:solidFill>
          </w14:textFill>
        </w:rPr>
        <w:t>2条</w:t>
      </w:r>
      <w:r>
        <w:rPr>
          <w:rFonts w:hint="eastAsia" w:ascii="宋体" w:hAnsi="宋体" w:eastAsia="宋体" w:cs="宋体"/>
          <w:color w:val="000000" w:themeColor="text1"/>
          <w:szCs w:val="21"/>
          <w:highlight w:val="none"/>
          <w:lang w:val="zh-CN"/>
          <w14:textFill>
            <w14:solidFill>
              <w14:schemeClr w14:val="tx1"/>
            </w14:solidFill>
          </w14:textFill>
        </w:rPr>
        <w:t>的要求；</w:t>
      </w:r>
    </w:p>
    <w:p w14:paraId="31007A7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投标人未按招标文件要求交纳投标保证金的；</w:t>
      </w:r>
    </w:p>
    <w:p w14:paraId="7E4A3EC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投标文件报价信封中填报的投标单价报价高于不含税采购限价综合单价的；</w:t>
      </w:r>
    </w:p>
    <w:p w14:paraId="60BE8EB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投标人以低于企业成本价报价，且投标人不能合理说明或不能提供相关证明材料；</w:t>
      </w:r>
    </w:p>
    <w:p w14:paraId="388CB74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投标人递交两份或多份内容不同的投标文件，或在一份投标文件中报有两个或多个报价，且未书面声明哪一个有效；</w:t>
      </w:r>
    </w:p>
    <w:p w14:paraId="79F3B00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投标文件未按</w:t>
      </w: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val="zh-CN"/>
          <w14:textFill>
            <w14:solidFill>
              <w14:schemeClr w14:val="tx1"/>
            </w14:solidFill>
          </w14:textFill>
        </w:rPr>
        <w:t>投标人须知第17</w:t>
      </w:r>
      <w:r>
        <w:rPr>
          <w:rFonts w:hint="eastAsia" w:ascii="宋体" w:hAnsi="宋体" w:eastAsia="宋体" w:cs="宋体"/>
          <w:color w:val="000000" w:themeColor="text1"/>
          <w:szCs w:val="21"/>
          <w:highlight w:val="none"/>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的要求编制、使用企业数字证书或个人数字证书电子签名的；</w:t>
      </w:r>
    </w:p>
    <w:p w14:paraId="58B3151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80" w:name="_Toc30574"/>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投标有效期限不符合要求；</w:t>
      </w:r>
      <w:bookmarkEnd w:id="280"/>
    </w:p>
    <w:p w14:paraId="14E529B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lang w:val="zh-CN"/>
          <w14:textFill>
            <w14:solidFill>
              <w14:schemeClr w14:val="tx1"/>
            </w14:solidFill>
          </w14:textFill>
        </w:rPr>
        <w:t>投标文件未对招标范围内的全部内容进行投标报价或投标方案不是唯一；</w:t>
      </w:r>
    </w:p>
    <w:p w14:paraId="210BB99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lang w:val="zh-CN"/>
          <w14:textFill>
            <w14:solidFill>
              <w14:schemeClr w14:val="tx1"/>
            </w14:solidFill>
          </w14:textFill>
        </w:rPr>
        <w:t>未提供或虚假填写《合同条款偏离表》，或对《合同条款偏离表》有负偏离的；</w:t>
      </w:r>
    </w:p>
    <w:p w14:paraId="14EDCF1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bookmarkStart w:id="281" w:name="_Toc3291"/>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17</w:t>
      </w:r>
      <w:r>
        <w:rPr>
          <w:rFonts w:hint="eastAsia" w:ascii="宋体" w:hAnsi="宋体" w:eastAsia="宋体" w:cs="宋体"/>
          <w:color w:val="000000" w:themeColor="text1"/>
          <w:szCs w:val="21"/>
          <w:highlight w:val="none"/>
          <w:lang w:val="zh-CN"/>
          <w14:textFill>
            <w14:solidFill>
              <w14:schemeClr w14:val="tx1"/>
            </w14:solidFill>
          </w14:textFill>
        </w:rPr>
        <w:t>未填写或虚假填写《用户需求偏离表》的；</w:t>
      </w:r>
      <w:bookmarkEnd w:id="281"/>
    </w:p>
    <w:p w14:paraId="1C2D49E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lang w:val="zh-CN"/>
          <w14:textFill>
            <w14:solidFill>
              <w14:schemeClr w14:val="tx1"/>
            </w14:solidFill>
          </w14:textFill>
        </w:rPr>
        <w:t>未响应招标文件提出的实质性要求和条件（标注★的条款）；</w:t>
      </w:r>
    </w:p>
    <w:p w14:paraId="4C2DFE7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19</w:t>
      </w:r>
      <w:r>
        <w:rPr>
          <w:rFonts w:hint="eastAsia" w:ascii="宋体" w:hAnsi="宋体" w:eastAsia="宋体" w:cs="宋体"/>
          <w:color w:val="000000" w:themeColor="text1"/>
          <w:szCs w:val="21"/>
          <w:highlight w:val="none"/>
          <w:lang w:val="zh-CN"/>
          <w14:textFill>
            <w14:solidFill>
              <w14:schemeClr w14:val="tx1"/>
            </w14:solidFill>
          </w14:textFill>
        </w:rPr>
        <w:t>属于招标文件中规定为无效标的；属于法律、法规、规章规定的应作无效投标文件处理的。</w:t>
      </w:r>
    </w:p>
    <w:p w14:paraId="3C92C76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013E7C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82" w:name="_Toc450662876"/>
      <w:bookmarkStart w:id="283" w:name="_Toc195714247"/>
      <w:bookmarkStart w:id="284" w:name="_Toc486167691"/>
      <w:bookmarkStart w:id="285" w:name="_Toc28910_WPSOffice_Level3"/>
      <w:bookmarkStart w:id="286" w:name="_Toc12715"/>
      <w:bookmarkStart w:id="287" w:name="_Toc142508341"/>
      <w:bookmarkStart w:id="288" w:name="_Toc8692"/>
      <w:bookmarkStart w:id="289" w:name="_Toc18668"/>
      <w:bookmarkStart w:id="290" w:name="_Toc2994"/>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投标文件的初审</w:t>
      </w:r>
      <w:bookmarkEnd w:id="282"/>
      <w:bookmarkEnd w:id="283"/>
      <w:bookmarkEnd w:id="284"/>
      <w:bookmarkEnd w:id="285"/>
      <w:bookmarkEnd w:id="286"/>
      <w:bookmarkEnd w:id="287"/>
      <w:bookmarkEnd w:id="288"/>
      <w:bookmarkEnd w:id="289"/>
      <w:bookmarkEnd w:id="290"/>
    </w:p>
    <w:p w14:paraId="015B2138">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 资格性检查：依据法律法规和招标文件的规定，对投标文件中的资格证明、投标保证金等进行审查，以确定投标人是否具备投标资格。</w:t>
      </w:r>
    </w:p>
    <w:p w14:paraId="2F608751">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.2 符合性检查：依据招标文件的规定，从投标文件的有效性、完整性和对招标文件的响应程度进行审查，以确定是否对招标文件的实质性要求作出响应。</w:t>
      </w:r>
    </w:p>
    <w:p w14:paraId="4C954C61">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2AF5CE6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1" w:name="_Toc30225"/>
      <w:bookmarkStart w:id="292" w:name="_Toc6362"/>
      <w:bookmarkStart w:id="293" w:name="_Toc450662877"/>
      <w:bookmarkStart w:id="294" w:name="_Toc4837"/>
      <w:bookmarkStart w:id="295" w:name="_Toc195714248"/>
      <w:bookmarkStart w:id="296" w:name="_Toc338_WPSOffice_Level3"/>
      <w:bookmarkStart w:id="297" w:name="_Toc486167692"/>
      <w:bookmarkStart w:id="298" w:name="_Toc142508342"/>
      <w:bookmarkStart w:id="299" w:name="_Toc130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投标文件的澄清</w:t>
      </w:r>
      <w:bookmarkEnd w:id="291"/>
      <w:bookmarkEnd w:id="292"/>
      <w:bookmarkEnd w:id="293"/>
      <w:bookmarkEnd w:id="294"/>
      <w:bookmarkEnd w:id="295"/>
      <w:bookmarkEnd w:id="296"/>
      <w:bookmarkEnd w:id="297"/>
      <w:bookmarkEnd w:id="298"/>
      <w:bookmarkEnd w:id="299"/>
    </w:p>
    <w:p w14:paraId="578561D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408B59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00" w:name="_Toc450662879"/>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ascii="宋体" w:hAnsi="宋体" w:eastAsia="宋体" w:cs="宋体"/>
          <w:b/>
          <w:bCs/>
          <w:color w:val="000000" w:themeColor="text1"/>
          <w:szCs w:val="21"/>
          <w:highlight w:val="none"/>
          <w:lang w:val="zh-CN"/>
          <w14:textFill>
            <w14:solidFill>
              <w14:schemeClr w14:val="tx1"/>
            </w14:solidFill>
          </w14:textFill>
        </w:rPr>
        <w:t>因此温馨提示各投标人：编制投标文件时，请认真填写本项目递交投标文件时法定代表人或法定代表人授权书列明的被授权人的联系电话，如招标文件</w:t>
      </w:r>
      <w:r>
        <w:rPr>
          <w:rFonts w:hint="eastAsia" w:ascii="宋体" w:hAnsi="宋体" w:eastAsia="宋体" w:cs="宋体"/>
          <w:b/>
          <w:bCs/>
          <w:color w:val="000000" w:themeColor="text1"/>
          <w:szCs w:val="21"/>
          <w:highlight w:val="none"/>
          <w14:textFill>
            <w14:solidFill>
              <w14:schemeClr w14:val="tx1"/>
            </w14:solidFill>
          </w14:textFill>
        </w:rPr>
        <w:t>第六篇</w:t>
      </w:r>
      <w:r>
        <w:rPr>
          <w:rFonts w:hint="eastAsia" w:ascii="宋体" w:hAnsi="宋体" w:eastAsia="宋体" w:cs="宋体"/>
          <w:b/>
          <w:bCs/>
          <w:color w:val="000000" w:themeColor="text1"/>
          <w:szCs w:val="21"/>
          <w:highlight w:val="none"/>
          <w:lang w:val="zh-CN"/>
          <w14:textFill>
            <w14:solidFill>
              <w14:schemeClr w14:val="tx1"/>
            </w14:solidFill>
          </w14:textFill>
        </w:rPr>
        <w:t>投标文件格式“投标函”</w:t>
      </w:r>
      <w:r>
        <w:rPr>
          <w:rFonts w:hint="eastAsia" w:ascii="宋体" w:hAnsi="宋体" w:eastAsia="宋体" w:cs="宋体"/>
          <w:b/>
          <w:bCs/>
          <w:color w:val="000000" w:themeColor="text1"/>
          <w:szCs w:val="21"/>
          <w:highlight w:val="none"/>
          <w14:textFill>
            <w14:solidFill>
              <w14:schemeClr w14:val="tx1"/>
            </w14:solidFill>
          </w14:textFill>
        </w:rPr>
        <w:t>和“法定代表人授权书”</w:t>
      </w:r>
      <w:r>
        <w:rPr>
          <w:rFonts w:hint="eastAsia" w:ascii="宋体" w:hAnsi="宋体" w:eastAsia="宋体" w:cs="宋体"/>
          <w:b/>
          <w:bCs/>
          <w:color w:val="000000" w:themeColor="text1"/>
          <w:szCs w:val="21"/>
          <w:highlight w:val="none"/>
          <w:lang w:val="zh-CN"/>
          <w14:textFill>
            <w14:solidFill>
              <w14:schemeClr w14:val="tx1"/>
            </w14:solidFill>
          </w14:textFill>
        </w:rPr>
        <w:t>中的</w:t>
      </w:r>
      <w:r>
        <w:rPr>
          <w:rFonts w:hint="eastAsia" w:ascii="宋体" w:hAnsi="宋体" w:eastAsia="宋体" w:cs="宋体"/>
          <w:b/>
          <w:bCs/>
          <w:color w:val="000000" w:themeColor="text1"/>
          <w:szCs w:val="21"/>
          <w:highlight w:val="none"/>
          <w14:textFill>
            <w14:solidFill>
              <w14:schemeClr w14:val="tx1"/>
            </w14:solidFill>
          </w14:textFill>
        </w:rPr>
        <w:t>联系方式及电子邮箱</w:t>
      </w:r>
      <w:r>
        <w:rPr>
          <w:rFonts w:hint="eastAsia" w:ascii="宋体" w:hAnsi="宋体" w:eastAsia="宋体" w:cs="宋体"/>
          <w:b/>
          <w:bCs/>
          <w:color w:val="000000" w:themeColor="text1"/>
          <w:szCs w:val="21"/>
          <w:highlight w:val="none"/>
          <w:lang w:val="zh-CN"/>
          <w14:textFill>
            <w14:solidFill>
              <w14:schemeClr w14:val="tx1"/>
            </w14:solidFill>
          </w14:textFill>
        </w:rPr>
        <w:t>，以便能及时收到澄清通知。</w:t>
      </w:r>
    </w:p>
    <w:p w14:paraId="70D81961">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300"/>
    <w:p w14:paraId="0F435C1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1" w:name="_Toc195714249"/>
      <w:bookmarkStart w:id="302" w:name="_Toc521918096"/>
      <w:bookmarkStart w:id="303" w:name="_Toc18368_WPSOffice_Level3"/>
      <w:bookmarkStart w:id="304" w:name="_Toc2517"/>
      <w:bookmarkStart w:id="305" w:name="_Toc22065"/>
      <w:bookmarkStart w:id="306" w:name="_Toc142508343"/>
      <w:bookmarkStart w:id="307" w:name="_Toc10292"/>
      <w:bookmarkStart w:id="308" w:name="_Toc10967"/>
      <w:bookmarkStart w:id="309" w:name="_Toc52204735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 xml:space="preserve"> 对投标文件的比较和评价</w:t>
      </w:r>
      <w:bookmarkEnd w:id="301"/>
      <w:bookmarkEnd w:id="302"/>
      <w:bookmarkEnd w:id="303"/>
      <w:bookmarkEnd w:id="304"/>
      <w:bookmarkEnd w:id="305"/>
      <w:bookmarkEnd w:id="306"/>
      <w:bookmarkEnd w:id="307"/>
      <w:bookmarkEnd w:id="308"/>
      <w:bookmarkEnd w:id="309"/>
    </w:p>
    <w:p w14:paraId="57DF194A">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评标委员会将对资格性检查和符合性检查合格的投标文件进行比较和评价，包括商务、技术、价格</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详细评审。</w:t>
      </w:r>
    </w:p>
    <w:p w14:paraId="72770FD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2AA3DD9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4A85F52A">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29.4 </w:t>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002C439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6D0A7EA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2B5FF55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10" w:name="_Toc522047356"/>
      <w:bookmarkStart w:id="311" w:name="_Toc521918097"/>
    </w:p>
    <w:p w14:paraId="38D162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2" w:name="_Toc27026"/>
      <w:bookmarkStart w:id="313" w:name="_Toc14804"/>
      <w:bookmarkStart w:id="314" w:name="_Toc18614"/>
      <w:bookmarkStart w:id="315" w:name="_Toc12845"/>
      <w:bookmarkStart w:id="316" w:name="_Toc142508344"/>
      <w:bookmarkStart w:id="317" w:name="_Toc195714250"/>
      <w:bookmarkStart w:id="318" w:name="_Toc21460_WPSOffice_Level3"/>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评标原则及方法</w:t>
      </w:r>
      <w:bookmarkEnd w:id="310"/>
      <w:bookmarkEnd w:id="311"/>
      <w:bookmarkEnd w:id="312"/>
      <w:bookmarkEnd w:id="313"/>
      <w:bookmarkEnd w:id="314"/>
      <w:bookmarkEnd w:id="315"/>
      <w:bookmarkEnd w:id="316"/>
      <w:bookmarkEnd w:id="317"/>
      <w:bookmarkEnd w:id="318"/>
    </w:p>
    <w:p w14:paraId="5E8F6F0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对所有投标文件的评审，都采用相同的程序和标准。按步骤先进行初步评审，再进行商务、技术评审、价格评审。</w:t>
      </w:r>
    </w:p>
    <w:p w14:paraId="493032B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bookmarkStart w:id="319" w:name="_Toc4225"/>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.2 评标严格按照招标文件的要求和条件进行。</w:t>
      </w:r>
      <w:bookmarkEnd w:id="319"/>
    </w:p>
    <w:p w14:paraId="5AB0BCE4">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w:t>
      </w:r>
      <w:r>
        <w:rPr>
          <w:rFonts w:hint="eastAsia" w:ascii="宋体" w:hAnsi="宋体" w:eastAsia="宋体" w:cs="宋体"/>
          <w:color w:val="000000" w:themeColor="text1"/>
          <w:szCs w:val="21"/>
          <w:highlight w:val="none"/>
          <w14:textFill>
            <w14:solidFill>
              <w14:schemeClr w14:val="tx1"/>
            </w14:solidFill>
          </w14:textFill>
        </w:rPr>
        <w:t>29</w:t>
      </w:r>
      <w:r>
        <w:rPr>
          <w:rFonts w:hint="eastAsia" w:ascii="宋体" w:hAnsi="宋体" w:eastAsia="宋体" w:cs="宋体"/>
          <w:color w:val="000000" w:themeColor="text1"/>
          <w:szCs w:val="21"/>
          <w:highlight w:val="none"/>
          <w:lang w:val="zh-CN"/>
          <w14:textFill>
            <w14:solidFill>
              <w14:schemeClr w14:val="tx1"/>
            </w14:solidFill>
          </w14:textFill>
        </w:rPr>
        <w:t>条，采用综合评分法的评审方法，对所有实质响应性投标文件进行综合打分。</w:t>
      </w:r>
    </w:p>
    <w:p w14:paraId="6CDDD0E6">
      <w:pPr>
        <w:tabs>
          <w:tab w:val="left" w:pos="360"/>
        </w:tabs>
        <w:autoSpaceDE w:val="0"/>
        <w:autoSpaceDN w:val="0"/>
        <w:adjustRightInd w:val="0"/>
        <w:spacing w:line="360" w:lineRule="auto"/>
        <w:ind w:left="330" w:leftChars="-100" w:right="44" w:rightChars="21" w:hanging="54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30</w:t>
      </w:r>
      <w:r>
        <w:rPr>
          <w:rFonts w:hint="eastAsia" w:ascii="宋体" w:hAnsi="宋体" w:eastAsia="宋体" w:cs="宋体"/>
          <w:b/>
          <w:bCs/>
          <w:color w:val="000000" w:themeColor="text1"/>
          <w:szCs w:val="21"/>
          <w:highlight w:val="none"/>
          <w:lang w:val="zh-CN"/>
          <w14:textFill>
            <w14:solidFill>
              <w14:schemeClr w14:val="tx1"/>
            </w14:solidFill>
          </w14:textFill>
        </w:rPr>
        <w:t>.3 若本次招标过程中有效投标人不足三个时，公开招标失败</w:t>
      </w:r>
      <w:r>
        <w:rPr>
          <w:rFonts w:hint="eastAsia" w:ascii="宋体" w:hAnsi="宋体" w:eastAsia="宋体" w:cs="宋体"/>
          <w:b/>
          <w:bCs/>
          <w:color w:val="000000" w:themeColor="text1"/>
          <w:szCs w:val="21"/>
          <w:highlight w:val="none"/>
          <w14:textFill>
            <w14:solidFill>
              <w14:schemeClr w14:val="tx1"/>
            </w14:solidFill>
          </w14:textFill>
        </w:rPr>
        <w:t>。</w:t>
      </w:r>
    </w:p>
    <w:p w14:paraId="378F578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6A05E5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0" w:name="_Toc11615"/>
      <w:bookmarkStart w:id="321" w:name="_Toc466882017"/>
      <w:bookmarkStart w:id="322" w:name="_Toc14700"/>
      <w:bookmarkStart w:id="323" w:name="_Toc4819"/>
      <w:bookmarkStart w:id="324" w:name="_Toc15217"/>
      <w:bookmarkStart w:id="325" w:name="_Toc32498_WPSOffice_Level3"/>
      <w:bookmarkStart w:id="326" w:name="_Toc195714251"/>
      <w:bookmarkStart w:id="327" w:name="_Toc486167694"/>
      <w:bookmarkStart w:id="328" w:name="_Toc465358969"/>
      <w:bookmarkStart w:id="329" w:name="_Toc142508345"/>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bookmarkEnd w:id="320"/>
      <w:bookmarkEnd w:id="321"/>
      <w:bookmarkEnd w:id="322"/>
      <w:bookmarkEnd w:id="323"/>
      <w:bookmarkEnd w:id="324"/>
      <w:bookmarkEnd w:id="325"/>
      <w:bookmarkEnd w:id="326"/>
      <w:bookmarkEnd w:id="327"/>
      <w:bookmarkEnd w:id="328"/>
      <w:bookmarkEnd w:id="329"/>
    </w:p>
    <w:p w14:paraId="7CAAB086">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000000" w:themeColor="text1"/>
          <w:szCs w:val="21"/>
          <w:highlight w:val="none"/>
          <w14:textFill>
            <w14:solidFill>
              <w14:schemeClr w14:val="tx1"/>
            </w14:solidFill>
          </w14:textFill>
        </w:rPr>
        <w:t>评标结果</w:t>
      </w:r>
      <w:r>
        <w:rPr>
          <w:rFonts w:hint="eastAsia" w:ascii="宋体" w:hAnsi="宋体" w:eastAsia="宋体" w:cs="宋体"/>
          <w:color w:val="000000" w:themeColor="text1"/>
          <w:szCs w:val="21"/>
          <w:highlight w:val="none"/>
          <w:lang w:val="zh-CN"/>
          <w14:textFill>
            <w14:solidFill>
              <w14:schemeClr w14:val="tx1"/>
            </w14:solidFill>
          </w14:textFill>
        </w:rPr>
        <w:t>公示期间向招标代理机构以书面的形式提出，并将完整的异议书面材料原件送达招标代理机构，逾期则视为对评标结果无异议。超出提交异议截止时间而提出的任何疑问，招标代理机构可不予答复。</w:t>
      </w:r>
    </w:p>
    <w:p w14:paraId="21E99C74">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000000" w:themeColor="text1"/>
          <w:szCs w:val="21"/>
          <w:highlight w:val="none"/>
          <w14:textFill>
            <w14:solidFill>
              <w14:schemeClr w14:val="tx1"/>
            </w14:solidFill>
          </w14:textFill>
        </w:rPr>
        <w:t>复印件</w:t>
      </w:r>
      <w:r>
        <w:rPr>
          <w:rFonts w:hint="eastAsia" w:ascii="宋体" w:hAnsi="宋体" w:eastAsia="宋体" w:cs="宋体"/>
          <w:color w:val="000000" w:themeColor="text1"/>
          <w:szCs w:val="21"/>
          <w:highlight w:val="none"/>
          <w:lang w:val="zh-CN"/>
          <w14:textFill>
            <w14:solidFill>
              <w14:schemeClr w14:val="tx1"/>
            </w14:solidFill>
          </w14:textFill>
        </w:rPr>
        <w:t>（加盖法人公章）、以及合法来源的证据证明材料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8A58E9F">
      <w:pPr>
        <w:autoSpaceDE w:val="0"/>
        <w:autoSpaceDN w:val="0"/>
        <w:adjustRightInd w:val="0"/>
        <w:spacing w:line="360" w:lineRule="auto"/>
        <w:ind w:left="284" w:hanging="568"/>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31.2 </w:t>
      </w:r>
      <w:r>
        <w:rPr>
          <w:rFonts w:hint="eastAsia" w:ascii="宋体" w:hAnsi="宋体" w:eastAsia="宋体" w:cs="宋体"/>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1A6795D">
      <w:pPr>
        <w:autoSpaceDE w:val="0"/>
        <w:autoSpaceDN w:val="0"/>
        <w:adjustRightInd w:val="0"/>
        <w:snapToGrid w:val="0"/>
        <w:spacing w:line="360" w:lineRule="auto"/>
        <w:ind w:left="246" w:leftChars="117" w:firstLine="422" w:firstLineChars="200"/>
        <w:jc w:val="lef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000000" w:themeColor="text1"/>
          <w:kern w:val="0"/>
          <w:szCs w:val="21"/>
          <w:highlight w:val="none"/>
          <w14:textFill>
            <w14:solidFill>
              <w14:schemeClr w14:val="tx1"/>
            </w14:solidFill>
          </w14:textFill>
        </w:rPr>
        <w:t>第一中标候选人未能在招标人（或其委托的招标代理机构)书面要求的时间(一般不少于三个工作日)内提供完整的材料原件进行核查的</w:t>
      </w:r>
      <w:r>
        <w:rPr>
          <w:rFonts w:hint="eastAsia" w:ascii="宋体" w:hAnsi="宋体" w:eastAsia="宋体" w:cs="宋体"/>
          <w:b/>
          <w:color w:val="000000" w:themeColor="text1"/>
          <w:szCs w:val="21"/>
          <w:highlight w:val="none"/>
          <w:lang w:val="zh-CN"/>
          <w14:textFill>
            <w14:solidFill>
              <w14:schemeClr w14:val="tx1"/>
            </w14:solidFill>
          </w14:textFill>
        </w:rPr>
        <w:t>，视为其无法提供真实的资料，招标人有权取消其中标候选人资格。</w:t>
      </w:r>
    </w:p>
    <w:p w14:paraId="1EF2E01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37749C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512BAB6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1C9D9A9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604EC88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23D15B9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1010D61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298F9E3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759288B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投诉人投诉的事项不得超出已异议事项的范围，但基于异议答复内容提出的投诉事项除外。</w:t>
      </w:r>
    </w:p>
    <w:p w14:paraId="414EE3D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监督部门：</w:t>
      </w:r>
      <w:r>
        <w:rPr>
          <w:rFonts w:hint="eastAsia" w:ascii="宋体" w:hAnsi="宋体" w:eastAsia="宋体" w:cs="宋体"/>
          <w:bCs/>
          <w:color w:val="000000" w:themeColor="text1"/>
          <w:szCs w:val="21"/>
          <w:highlight w:val="none"/>
          <w14:textFill>
            <w14:solidFill>
              <w14:schemeClr w14:val="tx1"/>
            </w14:solidFill>
          </w14:textFill>
        </w:rPr>
        <w:t>东莞市水务环境投资控股集团有限公司</w:t>
      </w:r>
      <w:r>
        <w:rPr>
          <w:rFonts w:hint="eastAsia" w:ascii="宋体" w:hAnsi="宋体" w:eastAsia="宋体" w:cs="宋体"/>
          <w:color w:val="000000" w:themeColor="text1"/>
          <w:szCs w:val="21"/>
          <w:highlight w:val="none"/>
          <w:lang w:val="zh-CN"/>
          <w14:textFill>
            <w14:solidFill>
              <w14:schemeClr w14:val="tx1"/>
            </w14:solidFill>
          </w14:textFill>
        </w:rPr>
        <w:t>，联系人：莫先生，联系电话：0769-28823251。</w:t>
      </w:r>
    </w:p>
    <w:p w14:paraId="065CF04F">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6A88854D">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30" w:name="_Toc1848_WPSOffice_Level3"/>
      <w:bookmarkStart w:id="331" w:name="_Toc3154"/>
      <w:bookmarkStart w:id="332" w:name="_Toc486167695"/>
      <w:bookmarkStart w:id="333" w:name="_Toc142508346"/>
      <w:bookmarkStart w:id="334" w:name="_Toc26283"/>
      <w:bookmarkStart w:id="335" w:name="_Toc19784"/>
      <w:bookmarkStart w:id="336" w:name="_Toc195714252"/>
      <w:bookmarkStart w:id="337" w:name="_Toc466882018"/>
      <w:bookmarkStart w:id="338" w:name="_Toc465358970"/>
      <w:bookmarkStart w:id="339" w:name="_Toc26354"/>
      <w:r>
        <w:rPr>
          <w:rFonts w:hint="eastAsia" w:ascii="宋体" w:hAnsi="宋体" w:eastAsia="宋体" w:cs="宋体"/>
          <w:b/>
          <w:color w:val="000000" w:themeColor="text1"/>
          <w:szCs w:val="21"/>
          <w:highlight w:val="none"/>
          <w14:textFill>
            <w14:solidFill>
              <w14:schemeClr w14:val="tx1"/>
            </w14:solidFill>
          </w14:textFill>
        </w:rPr>
        <w:t>32</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30"/>
      <w:bookmarkEnd w:id="331"/>
      <w:bookmarkEnd w:id="332"/>
      <w:bookmarkEnd w:id="333"/>
      <w:bookmarkEnd w:id="334"/>
      <w:bookmarkEnd w:id="335"/>
      <w:bookmarkEnd w:id="336"/>
      <w:bookmarkEnd w:id="337"/>
      <w:bookmarkEnd w:id="338"/>
      <w:bookmarkEnd w:id="339"/>
    </w:p>
    <w:p w14:paraId="35CEB79A">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32.1 在</w:t>
      </w:r>
      <w:r>
        <w:rPr>
          <w:rFonts w:hint="eastAsia" w:ascii="宋体" w:hAnsi="宋体" w:eastAsia="宋体" w:cs="宋体"/>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宋体"/>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0AD1B08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32.2 投标人</w:t>
      </w:r>
      <w:r>
        <w:rPr>
          <w:rFonts w:hint="eastAsia" w:ascii="宋体" w:hAnsi="宋体" w:eastAsia="宋体" w:cs="宋体"/>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宋体"/>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宋体"/>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F21CDFE">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32.3 若投标人在投标或履约过程中存在提供虚假材料、虚假响应招标文件要求等弄虚作假行为，或未能根据本须知31.2款约定按时提供原件进行核查的，或不按照投标文件承诺履约或撤销投标或放弃中标资格或不按要求与招标人签订合同等影响中标结果的行为，因此导致投标人无法参与东莞市水务环境投资控股集团有限公司相关招标采购等活动的，由投标人自行承担全部后果。</w:t>
      </w:r>
    </w:p>
    <w:p w14:paraId="5CFDB0F0">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40" w:name="_Toc466882019"/>
      <w:bookmarkStart w:id="341" w:name="_Toc465358971"/>
    </w:p>
    <w:p w14:paraId="70D67C28">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42" w:name="_Toc8654"/>
      <w:bookmarkStart w:id="343" w:name="_Toc142508347"/>
      <w:bookmarkStart w:id="344" w:name="_Toc23672"/>
      <w:bookmarkStart w:id="345" w:name="_Toc21915"/>
      <w:bookmarkStart w:id="346" w:name="_Toc6704"/>
      <w:bookmarkStart w:id="347" w:name="_Toc195714253"/>
      <w:bookmarkStart w:id="348" w:name="_Toc486167696"/>
      <w:bookmarkStart w:id="349" w:name="_Toc10867_WPSOffice_Level3"/>
      <w:r>
        <w:rPr>
          <w:rFonts w:hint="eastAsia" w:ascii="宋体" w:hAnsi="宋体" w:eastAsia="宋体" w:cs="宋体"/>
          <w:color w:val="000000" w:themeColor="text1"/>
          <w:szCs w:val="21"/>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40"/>
      <w:bookmarkEnd w:id="341"/>
      <w:bookmarkEnd w:id="342"/>
      <w:bookmarkEnd w:id="343"/>
      <w:bookmarkEnd w:id="344"/>
      <w:bookmarkEnd w:id="345"/>
      <w:bookmarkEnd w:id="346"/>
      <w:bookmarkEnd w:id="347"/>
      <w:bookmarkEnd w:id="348"/>
      <w:bookmarkEnd w:id="349"/>
    </w:p>
    <w:p w14:paraId="611CD198">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3C31BF75">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p>
    <w:bookmarkEnd w:id="254"/>
    <w:p w14:paraId="113B8933">
      <w:pPr>
        <w:keepNext/>
        <w:keepLines/>
        <w:autoSpaceDE w:val="0"/>
        <w:autoSpaceDN w:val="0"/>
        <w:adjustRightInd w:val="0"/>
        <w:spacing w:line="360" w:lineRule="auto"/>
        <w:jc w:val="left"/>
        <w:outlineLvl w:val="1"/>
        <w:rPr>
          <w:rFonts w:ascii="宋体" w:hAnsi="宋体" w:eastAsia="宋体" w:cs="宋体"/>
          <w:b/>
          <w:bCs/>
          <w:color w:val="000000" w:themeColor="text1"/>
          <w:kern w:val="44"/>
          <w:szCs w:val="21"/>
          <w:highlight w:val="none"/>
          <w:lang w:val="zh-CN"/>
          <w14:textFill>
            <w14:solidFill>
              <w14:schemeClr w14:val="tx1"/>
            </w14:solidFill>
          </w14:textFill>
        </w:rPr>
      </w:pPr>
      <w:bookmarkStart w:id="350" w:name="_Toc486167697"/>
      <w:bookmarkStart w:id="351" w:name="_Toc28382"/>
      <w:bookmarkStart w:id="352" w:name="_Toc142508348"/>
      <w:bookmarkStart w:id="353" w:name="_Toc140596907"/>
      <w:bookmarkStart w:id="354" w:name="_Toc195714254"/>
      <w:bookmarkStart w:id="355" w:name="_Toc16789"/>
      <w:bookmarkStart w:id="356" w:name="_Toc27936"/>
      <w:bookmarkStart w:id="357" w:name="_Toc25011"/>
      <w:bookmarkStart w:id="358" w:name="_Toc16848_WPSOffice_Level2"/>
      <w:bookmarkStart w:id="359" w:name="_Toc466882025"/>
      <w:bookmarkStart w:id="360" w:name="_Toc46535897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50"/>
      <w:bookmarkEnd w:id="351"/>
      <w:bookmarkEnd w:id="352"/>
      <w:bookmarkEnd w:id="353"/>
      <w:bookmarkEnd w:id="354"/>
      <w:bookmarkEnd w:id="355"/>
      <w:bookmarkEnd w:id="356"/>
      <w:bookmarkEnd w:id="357"/>
      <w:bookmarkEnd w:id="358"/>
    </w:p>
    <w:p w14:paraId="365CC3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1" w:name="_Toc6401_WPSOffice_Level3"/>
      <w:bookmarkStart w:id="362" w:name="_Toc21137"/>
      <w:bookmarkStart w:id="363" w:name="_Toc195714255"/>
      <w:bookmarkStart w:id="364" w:name="_Toc450662881"/>
      <w:bookmarkStart w:id="365" w:name="_Toc8164"/>
      <w:bookmarkStart w:id="366" w:name="_Toc142508349"/>
      <w:bookmarkStart w:id="367" w:name="_Toc29383"/>
      <w:bookmarkStart w:id="368" w:name="_Toc31713"/>
      <w:bookmarkStart w:id="369" w:name="_Toc486167698"/>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bookmarkEnd w:id="361"/>
      <w:bookmarkEnd w:id="362"/>
      <w:bookmarkEnd w:id="363"/>
      <w:bookmarkEnd w:id="364"/>
      <w:bookmarkEnd w:id="365"/>
      <w:bookmarkEnd w:id="366"/>
      <w:bookmarkEnd w:id="367"/>
      <w:bookmarkEnd w:id="368"/>
      <w:bookmarkEnd w:id="369"/>
    </w:p>
    <w:p w14:paraId="23B67361">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w:t>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33</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1520D26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7F79F4AC">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26E092D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70" w:name="_Toc450662885"/>
    </w:p>
    <w:p w14:paraId="25F12FD7">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1" w:name="_Toc6726_WPSOffice_Level3"/>
      <w:bookmarkStart w:id="372" w:name="_Toc18984"/>
      <w:bookmarkStart w:id="373" w:name="_Toc195714256"/>
      <w:bookmarkStart w:id="374" w:name="_Toc13906"/>
      <w:bookmarkStart w:id="375" w:name="_Toc142508350"/>
      <w:bookmarkStart w:id="376" w:name="_Toc1650"/>
      <w:bookmarkStart w:id="377" w:name="_Toc8196"/>
      <w:bookmarkStart w:id="378" w:name="_Toc486167699"/>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 xml:space="preserve"> 中标通知</w:t>
      </w:r>
      <w:bookmarkEnd w:id="370"/>
      <w:bookmarkEnd w:id="371"/>
      <w:bookmarkEnd w:id="372"/>
      <w:bookmarkEnd w:id="373"/>
      <w:bookmarkEnd w:id="374"/>
      <w:bookmarkEnd w:id="375"/>
      <w:bookmarkEnd w:id="376"/>
      <w:bookmarkEnd w:id="377"/>
      <w:bookmarkEnd w:id="378"/>
    </w:p>
    <w:p w14:paraId="5B7340A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79" w:name="_Toc450662886"/>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3FF9D74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3030781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25D63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0" w:name="_Toc486167700"/>
      <w:bookmarkStart w:id="381" w:name="_Toc4722"/>
      <w:bookmarkStart w:id="382" w:name="_Toc142508351"/>
      <w:bookmarkStart w:id="383" w:name="_Toc195714257"/>
      <w:bookmarkStart w:id="384" w:name="_Toc17810"/>
      <w:bookmarkStart w:id="385" w:name="_Toc28020"/>
      <w:bookmarkStart w:id="386" w:name="_Toc19127"/>
      <w:bookmarkStart w:id="387" w:name="_Toc9694_WPSOffice_Level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bookmarkEnd w:id="379"/>
      <w:bookmarkEnd w:id="380"/>
      <w:bookmarkEnd w:id="381"/>
      <w:bookmarkEnd w:id="382"/>
      <w:bookmarkEnd w:id="383"/>
      <w:bookmarkEnd w:id="384"/>
      <w:bookmarkEnd w:id="385"/>
      <w:bookmarkEnd w:id="386"/>
      <w:bookmarkEnd w:id="387"/>
    </w:p>
    <w:p w14:paraId="042BCF68">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w:t>
      </w:r>
      <w:r>
        <w:rPr>
          <w:rFonts w:hint="eastAsia" w:ascii="宋体" w:hAnsi="宋体" w:eastAsia="宋体" w:cs="宋体"/>
          <w:b/>
          <w:bCs/>
          <w:color w:val="000000" w:themeColor="text1"/>
          <w:szCs w:val="21"/>
          <w:highlight w:val="none"/>
          <w:u w:val="single"/>
          <w:lang w:val="zh-CN"/>
          <w14:textFill>
            <w14:solidFill>
              <w14:schemeClr w14:val="tx1"/>
            </w14:solidFill>
          </w14:textFill>
        </w:rPr>
        <w:t>招标人</w:t>
      </w:r>
      <w:r>
        <w:rPr>
          <w:rFonts w:hint="eastAsia" w:ascii="宋体" w:hAnsi="宋体" w:eastAsia="宋体" w:cs="宋体"/>
          <w:b/>
          <w:color w:val="000000" w:themeColor="text1"/>
          <w:szCs w:val="21"/>
          <w:highlight w:val="none"/>
          <w:u w:val="single"/>
          <w:lang w:val="zh-CN"/>
          <w14:textFill>
            <w14:solidFill>
              <w14:schemeClr w14:val="tx1"/>
            </w14:solidFill>
          </w14:textFill>
        </w:rPr>
        <w:t>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66BC401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2 在签署合同前，招标人可对中标人投标报价明细及附表内的算术性错误进行修正，修正原则为：</w:t>
      </w:r>
    </w:p>
    <w:p w14:paraId="2F652A3A">
      <w:pPr>
        <w:autoSpaceDE w:val="0"/>
        <w:autoSpaceDN w:val="0"/>
        <w:adjustRightInd w:val="0"/>
        <w:snapToGrid w:val="0"/>
        <w:spacing w:line="360" w:lineRule="auto"/>
        <w:ind w:left="315" w:leftChars="100" w:hanging="105" w:hangingChars="5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当以数字表示的金额与以文字表示的金额不一致时，以文字表示的金额为准；</w:t>
      </w:r>
    </w:p>
    <w:p w14:paraId="6EF55F65">
      <w:pPr>
        <w:autoSpaceDE w:val="0"/>
        <w:autoSpaceDN w:val="0"/>
        <w:adjustRightInd w:val="0"/>
        <w:snapToGrid w:val="0"/>
        <w:spacing w:line="360" w:lineRule="auto"/>
        <w:ind w:left="315" w:leftChars="100" w:hanging="105" w:hangingChars="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按前述修正原则排序依次进行修正至唯一值后的报价表经双方确认后，作为合同文件的组成部分</w:t>
      </w:r>
      <w:r>
        <w:rPr>
          <w:rFonts w:hint="eastAsia" w:ascii="宋体" w:hAnsi="宋体" w:eastAsia="宋体" w:cs="Times New Roman"/>
          <w:color w:val="000000" w:themeColor="text1"/>
          <w:szCs w:val="21"/>
          <w:highlight w:val="none"/>
          <w:lang w:val="zh-CN"/>
          <w14:textFill>
            <w14:solidFill>
              <w14:schemeClr w14:val="tx1"/>
            </w14:solidFill>
          </w14:textFill>
        </w:rPr>
        <w:t>。</w:t>
      </w:r>
    </w:p>
    <w:p w14:paraId="41899B60">
      <w:pPr>
        <w:autoSpaceDE w:val="0"/>
        <w:autoSpaceDN w:val="0"/>
        <w:adjustRightInd w:val="0"/>
        <w:snapToGrid w:val="0"/>
        <w:spacing w:line="360" w:lineRule="auto"/>
        <w:ind w:left="315" w:leftChars="100" w:hanging="105" w:hangingChars="50"/>
        <w:jc w:val="left"/>
        <w:rPr>
          <w:rFonts w:ascii="宋体" w:hAnsi="宋体" w:eastAsia="宋体" w:cs="宋体"/>
          <w:color w:val="000000" w:themeColor="text1"/>
          <w:szCs w:val="21"/>
          <w:highlight w:val="none"/>
          <w:lang w:val="zh-CN"/>
          <w14:textFill>
            <w14:solidFill>
              <w14:schemeClr w14:val="tx1"/>
            </w14:solidFill>
          </w14:textFill>
        </w:rPr>
      </w:pPr>
    </w:p>
    <w:p w14:paraId="1F7735F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8" w:name="_Toc450662887"/>
      <w:bookmarkStart w:id="389" w:name="_Toc10371"/>
      <w:bookmarkStart w:id="390" w:name="_Toc8181"/>
      <w:bookmarkStart w:id="391" w:name="_Toc20701"/>
      <w:bookmarkStart w:id="392" w:name="_Toc142508352"/>
      <w:bookmarkStart w:id="393" w:name="_Toc195714258"/>
      <w:bookmarkStart w:id="394" w:name="_Toc10513_WPSOffice_Level3"/>
      <w:bookmarkStart w:id="395" w:name="_Toc5304"/>
      <w:bookmarkStart w:id="396" w:name="_Toc486167701"/>
      <w:r>
        <w:rPr>
          <w:rFonts w:hint="eastAsia" w:ascii="宋体" w:hAnsi="宋体" w:eastAsia="宋体" w:cs="宋体"/>
          <w:color w:val="000000" w:themeColor="text1"/>
          <w:szCs w:val="21"/>
          <w:highlight w:val="none"/>
          <w14:textFill>
            <w14:solidFill>
              <w14:schemeClr w14:val="tx1"/>
            </w14:solidFill>
          </w14:textFill>
        </w:rPr>
        <w:t xml:space="preserve">37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88"/>
      <w:bookmarkEnd w:id="389"/>
      <w:bookmarkEnd w:id="390"/>
      <w:bookmarkEnd w:id="391"/>
      <w:bookmarkEnd w:id="392"/>
      <w:bookmarkEnd w:id="393"/>
      <w:bookmarkEnd w:id="394"/>
      <w:bookmarkEnd w:id="395"/>
      <w:bookmarkEnd w:id="396"/>
    </w:p>
    <w:p w14:paraId="68CF24CD">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37</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宋体"/>
          <w:b/>
          <w:bCs/>
          <w:color w:val="000000" w:themeColor="text1"/>
          <w:szCs w:val="21"/>
          <w:highlight w:val="none"/>
          <w:u w:val="single"/>
          <w14:textFill>
            <w14:solidFill>
              <w14:schemeClr w14:val="tx1"/>
            </w14:solidFill>
          </w14:textFill>
        </w:rPr>
        <w:t>或履约保证保险</w:t>
      </w:r>
      <w:r>
        <w:rPr>
          <w:rFonts w:hint="eastAsia" w:ascii="宋体" w:hAnsi="宋体" w:eastAsia="宋体" w:cs="宋体"/>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hint="eastAsia" w:ascii="宋体" w:hAnsi="宋体" w:eastAsia="宋体" w:cs="宋体"/>
          <w:b/>
          <w:bCs/>
          <w:color w:val="000000" w:themeColor="text1"/>
          <w:kern w:val="0"/>
          <w:szCs w:val="24"/>
          <w:highlight w:val="none"/>
          <w:u w:val="single"/>
          <w14:textFill>
            <w14:solidFill>
              <w14:schemeClr w14:val="tx1"/>
            </w14:solidFill>
          </w14:textFill>
        </w:rPr>
        <w:t>否则招标人可取消中标人的中标资格，不予退还其投标保证金。</w:t>
      </w:r>
      <w:r>
        <w:rPr>
          <w:rFonts w:hint="eastAsia" w:ascii="宋体" w:hAnsi="宋体" w:eastAsia="宋体" w:cs="宋体"/>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宋体"/>
          <w:b/>
          <w:bCs/>
          <w:color w:val="000000" w:themeColor="text1"/>
          <w:szCs w:val="21"/>
          <w:highlight w:val="none"/>
          <w:u w:val="single"/>
          <w14:textFill>
            <w14:solidFill>
              <w14:schemeClr w14:val="tx1"/>
            </w14:solidFill>
          </w14:textFill>
        </w:rPr>
        <w:t>不含税暂定总合同价</w:t>
      </w:r>
      <w:r>
        <w:rPr>
          <w:rFonts w:hint="eastAsia" w:ascii="宋体" w:hAnsi="宋体" w:eastAsia="宋体" w:cs="宋体"/>
          <w:b/>
          <w:bCs/>
          <w:color w:val="000000" w:themeColor="text1"/>
          <w:szCs w:val="21"/>
          <w:highlight w:val="none"/>
          <w:u w:val="single"/>
          <w:lang w:val="zh-CN"/>
          <w14:textFill>
            <w14:solidFill>
              <w14:schemeClr w14:val="tx1"/>
            </w14:solidFill>
          </w14:textFill>
        </w:rPr>
        <w:t>的5%；采用不可撤销银行履约保函（或履约保证保险）形式的金额为</w:t>
      </w:r>
      <w:r>
        <w:rPr>
          <w:rFonts w:hint="eastAsia" w:ascii="宋体" w:hAnsi="宋体" w:eastAsia="宋体" w:cs="宋体"/>
          <w:b/>
          <w:bCs/>
          <w:color w:val="000000" w:themeColor="text1"/>
          <w:szCs w:val="21"/>
          <w:highlight w:val="none"/>
          <w:u w:val="single"/>
          <w14:textFill>
            <w14:solidFill>
              <w14:schemeClr w14:val="tx1"/>
            </w14:solidFill>
          </w14:textFill>
        </w:rPr>
        <w:t>不含税暂定总合同价</w:t>
      </w:r>
      <w:r>
        <w:rPr>
          <w:rFonts w:hint="eastAsia" w:ascii="宋体" w:hAnsi="宋体" w:eastAsia="宋体" w:cs="宋体"/>
          <w:b/>
          <w:bCs/>
          <w:color w:val="000000" w:themeColor="text1"/>
          <w:szCs w:val="21"/>
          <w:highlight w:val="none"/>
          <w:u w:val="single"/>
          <w:lang w:val="zh-CN"/>
          <w14:textFill>
            <w14:solidFill>
              <w14:schemeClr w14:val="tx1"/>
            </w14:solidFill>
          </w14:textFill>
        </w:rPr>
        <w:t>的8%</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zh-CN"/>
          <w14:textFill>
            <w14:solidFill>
              <w14:schemeClr w14:val="tx1"/>
            </w14:solidFill>
          </w14:textFill>
        </w:rPr>
        <w:t>采用担保公司履约担保书形式的金额为</w:t>
      </w:r>
      <w:r>
        <w:rPr>
          <w:rFonts w:hint="eastAsia" w:ascii="宋体" w:hAnsi="宋体" w:eastAsia="宋体" w:cs="宋体"/>
          <w:b/>
          <w:bCs/>
          <w:color w:val="000000" w:themeColor="text1"/>
          <w:szCs w:val="21"/>
          <w:highlight w:val="none"/>
          <w:u w:val="single"/>
          <w14:textFill>
            <w14:solidFill>
              <w14:schemeClr w14:val="tx1"/>
            </w14:solidFill>
          </w14:textFill>
        </w:rPr>
        <w:t>不含税暂定总合同价</w:t>
      </w:r>
      <w:r>
        <w:rPr>
          <w:rFonts w:hint="eastAsia" w:ascii="宋体" w:hAnsi="宋体" w:eastAsia="宋体" w:cs="宋体"/>
          <w:b/>
          <w:bCs/>
          <w:color w:val="000000" w:themeColor="text1"/>
          <w:szCs w:val="21"/>
          <w:highlight w:val="none"/>
          <w:u w:val="single"/>
          <w:lang w:val="zh-CN"/>
          <w14:textFill>
            <w14:solidFill>
              <w14:schemeClr w14:val="tx1"/>
            </w14:solidFill>
          </w14:textFill>
        </w:rPr>
        <w:t>的10%</w:t>
      </w:r>
      <w:bookmarkStart w:id="397" w:name="OLE_LINK387"/>
      <w:r>
        <w:rPr>
          <w:rFonts w:hint="eastAsia" w:ascii="宋体" w:hAnsi="宋体" w:eastAsia="宋体" w:cs="宋体"/>
          <w:b/>
          <w:bCs/>
          <w:color w:val="000000" w:themeColor="text1"/>
          <w:szCs w:val="21"/>
          <w:highlight w:val="none"/>
          <w:u w:val="single"/>
          <w:lang w:val="zh-CN"/>
          <w14:textFill>
            <w14:solidFill>
              <w14:schemeClr w14:val="tx1"/>
            </w14:solidFill>
          </w14:textFill>
        </w:rPr>
        <w:t>。</w:t>
      </w:r>
      <w:bookmarkEnd w:id="397"/>
      <w:r>
        <w:rPr>
          <w:rFonts w:hint="eastAsia" w:ascii="宋体" w:hAnsi="宋体" w:eastAsia="宋体" w:cs="宋体"/>
          <w:bCs/>
          <w:color w:val="000000" w:themeColor="text1"/>
          <w:kern w:val="0"/>
          <w:szCs w:val="24"/>
          <w:highlight w:val="none"/>
          <w14:textFill>
            <w14:solidFill>
              <w14:schemeClr w14:val="tx1"/>
            </w14:solidFill>
          </w14:textFill>
        </w:rPr>
        <w:t>合同履行过程中，中标人</w:t>
      </w:r>
      <w:r>
        <w:rPr>
          <w:rFonts w:hint="eastAsia" w:ascii="宋体" w:hAnsi="宋体" w:eastAsia="宋体" w:cs="宋体"/>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21BF084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37.2 履约担保用于补偿招标人因中标人不能完全履行其合同义务而蒙受的损失或其他合同约定的事项。如发生下列任一情况时，招标人有权依合同追究违约责任外，同时有权提取履约担保并进行相应处理：</w:t>
      </w:r>
    </w:p>
    <w:p w14:paraId="66918D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（1）中标人将合同项下中标人的权利义务全部转让给第三方，或未经招标人书面同意将部分权利义务转让给第三方的，招标人有权没收其履约担保。</w:t>
      </w:r>
    </w:p>
    <w:p w14:paraId="6C66865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（2）在合同履行期间，中标人怠于履行合同义务，经招标人通知或要求承担违约金后仍拒不改正的，招标人有权直接使用履约担保抵扣乙方届时应付的违约金及赔偿金。抵扣金额以本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Cs w:val="21"/>
          <w:highlight w:val="none"/>
          <w14:textFill>
            <w14:solidFill>
              <w14:schemeClr w14:val="tx1"/>
            </w14:solidFill>
          </w14:textFill>
        </w:rPr>
        <w:t>合同第九条违约责任等相关约定及招标人损失为准。</w:t>
      </w:r>
    </w:p>
    <w:p w14:paraId="39D9903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和经济损失由中标人承担。</w:t>
      </w:r>
    </w:p>
    <w:p w14:paraId="45C46E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（4）在合同履行期间，中标人违约产生的违约金、赔偿、罚款或其他应付费用等款项，招标人有权直接从未付款项中直接扣除或启用履约担保予以支付。</w:t>
      </w:r>
    </w:p>
    <w:p w14:paraId="6660E5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（5）合同期内，中标人不能及时完成合同某项义务的，招标人有权提取履约担保用于处理该项工作。</w:t>
      </w:r>
    </w:p>
    <w:p w14:paraId="09C232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（6）其他根据本合同约定或法律规定，招标人可启用履约担保的情形。</w:t>
      </w:r>
    </w:p>
    <w:p w14:paraId="60AFB9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bookmarkStart w:id="398" w:name="_Toc32290"/>
      <w:r>
        <w:rPr>
          <w:rFonts w:hint="eastAsia" w:ascii="宋体" w:hAnsi="宋体" w:eastAsia="宋体" w:cs="宋体"/>
          <w:color w:val="000000" w:themeColor="text1"/>
          <w:kern w:val="0"/>
          <w:szCs w:val="21"/>
          <w:highlight w:val="none"/>
          <w14:textFill>
            <w14:solidFill>
              <w14:schemeClr w14:val="tx1"/>
            </w14:solidFill>
          </w14:textFill>
        </w:rPr>
        <w:t>37.3  履约担保应符合如下规定：</w:t>
      </w:r>
      <w:bookmarkEnd w:id="398"/>
    </w:p>
    <w:p w14:paraId="6752CA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（1）出具履约保函的银行必须是境内支行一级以上机构，并经招标人同意，执行本款时所发生的费用由中标人承担。</w:t>
      </w:r>
    </w:p>
    <w:p w14:paraId="05092C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25842FC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提供担保书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5D3BD4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6262A5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1EAC6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（6）不可撤销银行履约保函（或履约保证保险或担保公司履约担保书）应从合同签订之日起（或签订合同前）至合同服务期满且</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完成本合同项下全部服务后二十八（28）日内保持有效。</w:t>
      </w:r>
    </w:p>
    <w:p w14:paraId="6F1A21B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bookmarkStart w:id="399" w:name="_Toc26730"/>
      <w:r>
        <w:rPr>
          <w:rFonts w:hint="eastAsia" w:ascii="宋体" w:hAnsi="宋体" w:eastAsia="宋体" w:cs="宋体"/>
          <w:color w:val="000000" w:themeColor="text1"/>
          <w:kern w:val="0"/>
          <w:szCs w:val="21"/>
          <w:highlight w:val="none"/>
          <w14:textFill>
            <w14:solidFill>
              <w14:schemeClr w14:val="tx1"/>
            </w14:solidFill>
          </w14:textFill>
        </w:rPr>
        <w:t>37.4  履约保证金应用本合同货币。</w:t>
      </w:r>
      <w:bookmarkEnd w:id="399"/>
    </w:p>
    <w:p w14:paraId="4DE0E9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695504A">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bookmarkStart w:id="400" w:name="_Toc26661"/>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bookmarkEnd w:id="400"/>
    </w:p>
    <w:p w14:paraId="3CA67D65">
      <w:pPr>
        <w:autoSpaceDE w:val="0"/>
        <w:autoSpaceDN w:val="0"/>
        <w:adjustRightInd w:val="0"/>
        <w:snapToGri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开户名称：东莞市众源环境投资有限公司</w:t>
      </w:r>
    </w:p>
    <w:p w14:paraId="4AB72BD1">
      <w:pPr>
        <w:autoSpaceDE w:val="0"/>
        <w:autoSpaceDN w:val="0"/>
        <w:adjustRightInd w:val="0"/>
        <w:snapToGri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银行账号：769908269610828</w:t>
      </w:r>
    </w:p>
    <w:p w14:paraId="1D5961D7">
      <w:pPr>
        <w:autoSpaceDE w:val="0"/>
        <w:autoSpaceDN w:val="0"/>
        <w:adjustRightInd w:val="0"/>
        <w:snapToGri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开户银行：招商银行股份有限公司东莞分行</w:t>
      </w:r>
    </w:p>
    <w:bookmarkEnd w:id="359"/>
    <w:bookmarkEnd w:id="360"/>
    <w:p w14:paraId="08328321">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37.6  中标</w:t>
      </w:r>
      <w:r>
        <w:rPr>
          <w:rFonts w:hint="eastAsia" w:ascii="宋体" w:hAnsi="宋体" w:eastAsia="宋体" w:cs="宋体"/>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宋体"/>
          <w:bCs/>
          <w:color w:val="000000" w:themeColor="text1"/>
          <w:kern w:val="0"/>
          <w:szCs w:val="24"/>
          <w:highlight w:val="none"/>
          <w14:textFill>
            <w14:solidFill>
              <w14:schemeClr w14:val="tx1"/>
            </w14:solidFill>
          </w14:textFill>
        </w:rPr>
        <w:t>注明</w:t>
      </w:r>
      <w:r>
        <w:rPr>
          <w:rFonts w:hint="eastAsia" w:ascii="宋体" w:hAnsi="宋体" w:eastAsia="宋体" w:cs="宋体"/>
          <w:bCs/>
          <w:color w:val="000000" w:themeColor="text1"/>
          <w:szCs w:val="21"/>
          <w:highlight w:val="none"/>
          <w:lang w:val="zh-CN"/>
          <w14:textFill>
            <w14:solidFill>
              <w14:schemeClr w14:val="tx1"/>
            </w14:solidFill>
          </w14:textFill>
        </w:rPr>
        <w:t>招标</w:t>
      </w:r>
      <w:r>
        <w:rPr>
          <w:rFonts w:hint="eastAsia" w:ascii="宋体" w:hAnsi="宋体" w:eastAsia="宋体" w:cs="宋体"/>
          <w:bCs/>
          <w:color w:val="000000" w:themeColor="text1"/>
          <w:kern w:val="0"/>
          <w:szCs w:val="24"/>
          <w:highlight w:val="none"/>
          <w14:textFill>
            <w14:solidFill>
              <w14:schemeClr w14:val="tx1"/>
            </w14:solidFill>
          </w14:textFill>
        </w:rPr>
        <w:t>编号</w:t>
      </w:r>
      <w:r>
        <w:rPr>
          <w:rFonts w:hint="eastAsia" w:ascii="宋体" w:hAnsi="宋体" w:eastAsia="宋体" w:cs="宋体"/>
          <w:color w:val="000000" w:themeColor="text1"/>
          <w:kern w:val="0"/>
          <w:szCs w:val="24"/>
          <w:highlight w:val="none"/>
          <w14:textFill>
            <w14:solidFill>
              <w14:schemeClr w14:val="tx1"/>
            </w14:solidFill>
          </w14:textFill>
        </w:rPr>
        <w:t>）一式二份并加盖</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或担保公司履约担保书）原件</w:t>
      </w:r>
      <w:r>
        <w:rPr>
          <w:rFonts w:hint="eastAsia" w:ascii="宋体" w:hAnsi="宋体" w:eastAsia="宋体" w:cs="宋体"/>
          <w:color w:val="000000" w:themeColor="text1"/>
          <w:szCs w:val="21"/>
          <w:highlight w:val="none"/>
          <w:lang w:val="zh-CN"/>
          <w14:textFill>
            <w14:solidFill>
              <w14:schemeClr w14:val="tx1"/>
            </w14:solidFill>
          </w14:textFill>
        </w:rPr>
        <w:t>交给招标人，由招标人在</w:t>
      </w:r>
      <w:r>
        <w:rPr>
          <w:rFonts w:hint="eastAsia" w:ascii="宋体" w:hAnsi="宋体" w:eastAsia="宋体" w:cs="宋体"/>
          <w:color w:val="000000" w:themeColor="text1"/>
          <w:kern w:val="0"/>
          <w:szCs w:val="24"/>
          <w:highlight w:val="none"/>
          <w14:textFill>
            <w14:solidFill>
              <w14:schemeClr w14:val="tx1"/>
            </w14:solidFill>
          </w14:textFill>
        </w:rPr>
        <w:t>履约保函一式两份复印件上</w:t>
      </w:r>
      <w:r>
        <w:rPr>
          <w:rFonts w:hint="eastAsia" w:ascii="宋体" w:hAnsi="宋体" w:eastAsia="宋体" w:cs="宋体"/>
          <w:color w:val="000000" w:themeColor="text1"/>
          <w:szCs w:val="21"/>
          <w:highlight w:val="none"/>
          <w:lang w:val="zh-CN"/>
          <w14:textFill>
            <w14:solidFill>
              <w14:schemeClr w14:val="tx1"/>
            </w14:solidFill>
          </w14:textFill>
        </w:rPr>
        <w:t>注明“原件已收”及签收人、日期后，中标人在每份</w:t>
      </w:r>
      <w:r>
        <w:rPr>
          <w:rFonts w:hint="eastAsia" w:ascii="宋体" w:hAnsi="宋体" w:eastAsia="宋体" w:cs="宋体"/>
          <w:color w:val="000000" w:themeColor="text1"/>
          <w:kern w:val="0"/>
          <w:szCs w:val="24"/>
          <w:highlight w:val="none"/>
          <w14:textFill>
            <w14:solidFill>
              <w14:schemeClr w14:val="tx1"/>
            </w14:solidFill>
          </w14:textFill>
        </w:rPr>
        <w:t>复印</w:t>
      </w:r>
      <w:r>
        <w:rPr>
          <w:rFonts w:hint="eastAsia" w:ascii="宋体" w:hAnsi="宋体" w:eastAsia="宋体" w:cs="宋体"/>
          <w:color w:val="000000" w:themeColor="text1"/>
          <w:szCs w:val="21"/>
          <w:highlight w:val="none"/>
          <w:lang w:val="zh-CN"/>
          <w14:textFill>
            <w14:solidFill>
              <w14:schemeClr w14:val="tx1"/>
            </w14:solidFill>
          </w14:textFill>
        </w:rPr>
        <w:t>件上</w:t>
      </w:r>
      <w:r>
        <w:rPr>
          <w:rFonts w:hint="eastAsia" w:ascii="宋体" w:hAnsi="宋体" w:eastAsia="宋体" w:cs="宋体"/>
          <w:color w:val="000000" w:themeColor="text1"/>
          <w:kern w:val="0"/>
          <w:szCs w:val="24"/>
          <w:highlight w:val="none"/>
          <w14:textFill>
            <w14:solidFill>
              <w14:schemeClr w14:val="tx1"/>
            </w14:solidFill>
          </w14:textFill>
        </w:rPr>
        <w:t>加盖</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2E36979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37.7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本合同服务期满且乙方完成本合同项下全部服务后二十八（28）日后，经招标人确认，中标人可向招标人提交退回履约担保的申请。招标人审核无异议后，办理履约担保退还手续，退回时一律以银行转账的形式无息退回到中标人的账户。</w:t>
      </w:r>
    </w:p>
    <w:p w14:paraId="4A26DF2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2942D8F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01" w:name="_Toc10548"/>
      <w:bookmarkStart w:id="402" w:name="_Toc27162"/>
      <w:bookmarkStart w:id="403" w:name="_Toc3311"/>
      <w:bookmarkStart w:id="404" w:name="_Toc486167702"/>
      <w:bookmarkStart w:id="405" w:name="_Toc195714259"/>
      <w:bookmarkStart w:id="406" w:name="_Toc142508353"/>
      <w:bookmarkStart w:id="407" w:name="_Toc2602"/>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401"/>
      <w:bookmarkEnd w:id="402"/>
      <w:bookmarkEnd w:id="403"/>
      <w:bookmarkEnd w:id="404"/>
      <w:bookmarkEnd w:id="405"/>
      <w:bookmarkEnd w:id="406"/>
      <w:bookmarkEnd w:id="407"/>
    </w:p>
    <w:p w14:paraId="5151C9B6">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38.1 合同履行中，招标人在合同约定的范围内，招标人有权根据项目实际情况及有关法律法规、政策的规定对采购范围进行变更调整，变更采购范围后，投标人应遵照执行。</w:t>
      </w:r>
    </w:p>
    <w:p w14:paraId="35D2F98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08" w:name="_Toc450662888"/>
    </w:p>
    <w:p w14:paraId="7C6BBF85">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09" w:name="_Toc27947"/>
      <w:bookmarkStart w:id="410" w:name="_Toc486167703"/>
      <w:bookmarkStart w:id="411" w:name="_Toc14850"/>
      <w:bookmarkStart w:id="412" w:name="_Toc28921_WPSOffice_Level3"/>
      <w:bookmarkStart w:id="413" w:name="_Toc23218"/>
      <w:bookmarkStart w:id="414" w:name="_Toc2401"/>
      <w:bookmarkStart w:id="415" w:name="_Toc195714260"/>
      <w:bookmarkStart w:id="416" w:name="_Toc142508354"/>
      <w:r>
        <w:rPr>
          <w:rFonts w:hint="eastAsia" w:ascii="宋体" w:hAnsi="宋体" w:eastAsia="宋体" w:cs="宋体"/>
          <w:color w:val="000000" w:themeColor="text1"/>
          <w:szCs w:val="21"/>
          <w:highlight w:val="none"/>
          <w14:textFill>
            <w14:solidFill>
              <w14:schemeClr w14:val="tx1"/>
            </w14:solidFill>
          </w14:textFill>
        </w:rPr>
        <w:t>39</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bookmarkEnd w:id="408"/>
      <w:bookmarkEnd w:id="409"/>
      <w:bookmarkEnd w:id="410"/>
      <w:bookmarkEnd w:id="411"/>
      <w:bookmarkEnd w:id="412"/>
      <w:bookmarkEnd w:id="413"/>
      <w:bookmarkEnd w:id="414"/>
      <w:bookmarkEnd w:id="415"/>
      <w:bookmarkEnd w:id="416"/>
    </w:p>
    <w:p w14:paraId="10C3FB4C">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bookmarkStart w:id="417" w:name="_Toc450662889"/>
      <w:r>
        <w:rPr>
          <w:rFonts w:hint="eastAsia" w:ascii="宋体" w:hAnsi="宋体" w:eastAsia="宋体" w:cs="宋体"/>
          <w:color w:val="000000" w:themeColor="text1"/>
          <w:szCs w:val="21"/>
          <w:highlight w:val="none"/>
          <w14:textFill>
            <w14:solidFill>
              <w14:schemeClr w14:val="tx1"/>
            </w14:solidFill>
          </w14:textFill>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综合单价计算得出的暂定合同总价为计费额，本项目业务性质：按</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类招标代理服务收费）。</w:t>
      </w:r>
    </w:p>
    <w:p w14:paraId="0741AC50">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39.2 中标人收到中标通知后，须在15日内向招标代理机构交纳中标服务费用。</w:t>
      </w:r>
    </w:p>
    <w:p w14:paraId="5C54F8A9">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39.3 中标服务费只接受以银行转账、电汇方式交纳</w:t>
      </w:r>
    </w:p>
    <w:p w14:paraId="688DB843">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中标服务费汇入账号（特别提醒，本账户非投标保证金汇入账户)：</w:t>
      </w:r>
    </w:p>
    <w:p w14:paraId="533AE240">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开户名称：建成工程咨询股份有限公司东莞分公司</w:t>
      </w:r>
    </w:p>
    <w:p w14:paraId="3A804D5C">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银行账号：</w:t>
      </w:r>
      <w:r>
        <w:rPr>
          <w:rFonts w:ascii="宋体" w:hAnsi="宋体" w:eastAsia="宋体" w:cs="宋体"/>
          <w:color w:val="000000" w:themeColor="text1"/>
          <w:szCs w:val="21"/>
          <w:highlight w:val="none"/>
          <w14:textFill>
            <w14:solidFill>
              <w14:schemeClr w14:val="tx1"/>
            </w14:solidFill>
          </w14:textFill>
        </w:rPr>
        <w:t>7016 5805 9503</w:t>
      </w:r>
    </w:p>
    <w:p w14:paraId="691B06C8">
      <w:pPr>
        <w:autoSpaceDE w:val="0"/>
        <w:autoSpaceDN w:val="0"/>
        <w:adjustRightInd w:val="0"/>
        <w:spacing w:line="360" w:lineRule="auto"/>
        <w:ind w:left="357" w:leftChars="-100"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开户银行：中国银行东莞东城大道支行</w:t>
      </w:r>
    </w:p>
    <w:p w14:paraId="6812D1A2">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39.4 中标人如未按第39.1款、第39.2款规定办理，将不予退还其投标保证金。</w:t>
      </w:r>
    </w:p>
    <w:p w14:paraId="4F5F2D8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8FD83B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8" w:name="_Toc30239"/>
      <w:bookmarkStart w:id="419" w:name="_Toc31030"/>
      <w:bookmarkStart w:id="420" w:name="_Toc486167704"/>
      <w:bookmarkStart w:id="421" w:name="_Toc6764_WPSOffice_Level3"/>
      <w:bookmarkStart w:id="422" w:name="_Toc6796"/>
      <w:bookmarkStart w:id="423" w:name="_Toc195714261"/>
      <w:bookmarkStart w:id="424" w:name="_Toc142508355"/>
      <w:bookmarkStart w:id="425" w:name="_Toc21985"/>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417"/>
      <w:bookmarkEnd w:id="418"/>
      <w:bookmarkEnd w:id="419"/>
      <w:bookmarkEnd w:id="420"/>
      <w:bookmarkEnd w:id="421"/>
      <w:bookmarkEnd w:id="422"/>
      <w:bookmarkEnd w:id="423"/>
      <w:bookmarkEnd w:id="424"/>
      <w:bookmarkEnd w:id="425"/>
    </w:p>
    <w:p w14:paraId="64B34D0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lang w:val="zh-CN"/>
          <w14:textFill>
            <w14:solidFill>
              <w14:schemeClr w14:val="tx1"/>
            </w14:solidFill>
          </w14:textFill>
        </w:rPr>
        <w:t>.1</w:t>
      </w:r>
      <w:bookmarkStart w:id="426" w:name="_Toc31106_WPSOffice_Level3"/>
      <w:bookmarkStart w:id="427" w:name="_Toc486167705"/>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p>
    <w:p w14:paraId="1AE5729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607AFD89">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28" w:name="_Toc26953"/>
      <w:bookmarkStart w:id="429" w:name="_Toc8619"/>
      <w:bookmarkStart w:id="430" w:name="_Toc195714262"/>
      <w:bookmarkStart w:id="431" w:name="_Toc24547"/>
      <w:bookmarkStart w:id="432" w:name="_Toc10243"/>
      <w:bookmarkStart w:id="433" w:name="_Toc142508356"/>
      <w:r>
        <w:rPr>
          <w:rFonts w:hint="eastAsia" w:ascii="宋体" w:hAnsi="宋体" w:eastAsia="宋体" w:cs="宋体"/>
          <w:b/>
          <w:color w:val="000000" w:themeColor="text1"/>
          <w:szCs w:val="21"/>
          <w:highlight w:val="none"/>
          <w14:textFill>
            <w14:solidFill>
              <w14:schemeClr w14:val="tx1"/>
            </w14:solidFill>
          </w14:textFill>
        </w:rPr>
        <w:t>41 招标相关补充约定</w:t>
      </w:r>
      <w:bookmarkEnd w:id="428"/>
      <w:bookmarkEnd w:id="429"/>
      <w:bookmarkEnd w:id="430"/>
      <w:bookmarkEnd w:id="431"/>
      <w:bookmarkEnd w:id="432"/>
      <w:bookmarkEnd w:id="433"/>
    </w:p>
    <w:p w14:paraId="6FFC62FA">
      <w:pPr>
        <w:autoSpaceDE w:val="0"/>
        <w:autoSpaceDN w:val="0"/>
        <w:adjustRightInd w:val="0"/>
        <w:snapToGrid w:val="0"/>
        <w:spacing w:line="360" w:lineRule="auto"/>
        <w:ind w:left="317" w:leftChars="-100" w:hanging="527" w:hangingChars="25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41.1</w:t>
      </w:r>
      <w:r>
        <w:rPr>
          <w:rFonts w:hint="eastAsia" w:ascii="宋体" w:hAnsi="宋体" w:eastAsia="宋体" w:cs="宋体"/>
          <w:b/>
          <w:color w:val="000000" w:themeColor="text1"/>
          <w:szCs w:val="21"/>
          <w:highlight w:val="none"/>
          <w14:textFill>
            <w14:solidFill>
              <w14:schemeClr w14:val="tx1"/>
            </w14:solidFill>
          </w14:textFill>
        </w:rPr>
        <w:tab/>
      </w:r>
      <w:r>
        <w:rPr>
          <w:rFonts w:hint="eastAsia" w:ascii="宋体" w:hAnsi="宋体" w:eastAsia="宋体" w:cs="宋体"/>
          <w:b/>
          <w:color w:val="000000" w:themeColor="text1"/>
          <w:szCs w:val="21"/>
          <w:highlight w:val="none"/>
          <w14:textFill>
            <w14:solidFill>
              <w14:schemeClr w14:val="tx1"/>
            </w14:solidFill>
          </w14:textFill>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19FF1E9C">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p>
    <w:p w14:paraId="123D48A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34" w:name="_Toc29758"/>
      <w:bookmarkStart w:id="435" w:name="_Toc26594"/>
      <w:bookmarkStart w:id="436" w:name="_Toc142508357"/>
      <w:bookmarkStart w:id="437" w:name="_Toc22346"/>
      <w:bookmarkStart w:id="438" w:name="_Toc14821"/>
      <w:bookmarkStart w:id="439" w:name="_Toc195714263"/>
      <w:r>
        <w:rPr>
          <w:rFonts w:hint="eastAsia" w:ascii="宋体" w:hAnsi="宋体" w:eastAsia="宋体" w:cs="宋体"/>
          <w:color w:val="000000" w:themeColor="text1"/>
          <w:szCs w:val="21"/>
          <w:highlight w:val="none"/>
          <w14:textFill>
            <w14:solidFill>
              <w14:schemeClr w14:val="tx1"/>
            </w14:solidFill>
          </w14:textFill>
        </w:rPr>
        <w:t>42 本次招标活动的最终解释权归招标代理机构及招标人所有。</w:t>
      </w:r>
      <w:bookmarkEnd w:id="426"/>
      <w:bookmarkEnd w:id="427"/>
      <w:bookmarkEnd w:id="434"/>
      <w:bookmarkEnd w:id="435"/>
      <w:bookmarkEnd w:id="436"/>
      <w:bookmarkEnd w:id="437"/>
      <w:bookmarkEnd w:id="438"/>
      <w:bookmarkEnd w:id="439"/>
    </w:p>
    <w:p w14:paraId="1D8CFB0C">
      <w:pPr>
        <w:autoSpaceDE w:val="0"/>
        <w:autoSpaceDN w:val="0"/>
        <w:adjustRightInd w:val="0"/>
        <w:spacing w:line="360" w:lineRule="auto"/>
        <w:ind w:firstLine="5775" w:firstLineChars="2750"/>
        <w:jc w:val="left"/>
        <w:rPr>
          <w:rFonts w:ascii="宋体" w:hAnsi="宋体" w:eastAsia="宋体" w:cs="宋体"/>
          <w:color w:val="000000" w:themeColor="text1"/>
          <w:kern w:val="0"/>
          <w:szCs w:val="21"/>
          <w:highlight w:val="none"/>
          <w14:textFill>
            <w14:solidFill>
              <w14:schemeClr w14:val="tx1"/>
            </w14:solidFill>
          </w14:textFill>
        </w:rPr>
      </w:pPr>
    </w:p>
    <w:p w14:paraId="01319D5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1A46E55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440" w:name="_Toc26850"/>
      <w:bookmarkStart w:id="441" w:name="_Toc14879"/>
      <w:bookmarkStart w:id="442" w:name="_Toc21446"/>
      <w:bookmarkStart w:id="443" w:name="_Toc4386"/>
      <w:bookmarkStart w:id="444" w:name="_Toc3380"/>
      <w:bookmarkStart w:id="445" w:name="_Toc6474_WPSOffice_Level2"/>
      <w:bookmarkStart w:id="446" w:name="_Toc23768_WPSOffice_Level2"/>
      <w:bookmarkStart w:id="447" w:name="_Toc450662895"/>
      <w:bookmarkStart w:id="448" w:name="_Toc15817"/>
      <w:bookmarkStart w:id="449" w:name="_Toc9840"/>
      <w:bookmarkStart w:id="450" w:name="_Toc486167708"/>
      <w:bookmarkStart w:id="451" w:name="_Toc32761_WPSOffice_Level1"/>
      <w:bookmarkStart w:id="452" w:name="_Toc14250836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 用户需求书</w:t>
      </w:r>
      <w:bookmarkEnd w:id="440"/>
      <w:bookmarkEnd w:id="441"/>
      <w:bookmarkEnd w:id="442"/>
      <w:bookmarkEnd w:id="443"/>
      <w:bookmarkEnd w:id="444"/>
    </w:p>
    <w:bookmarkEnd w:id="445"/>
    <w:bookmarkEnd w:id="446"/>
    <w:p w14:paraId="2C0012D0">
      <w:pPr>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一、项目概</w:t>
      </w:r>
      <w:r>
        <w:rPr>
          <w:rFonts w:hint="eastAsia" w:ascii="宋体" w:hAnsi="宋体" w:eastAsia="宋体" w:cs="宋体"/>
          <w:b/>
          <w:color w:val="000000" w:themeColor="text1"/>
          <w:kern w:val="0"/>
          <w:szCs w:val="21"/>
          <w:highlight w:val="none"/>
          <w14:textFill>
            <w14:solidFill>
              <w14:schemeClr w14:val="tx1"/>
            </w14:solidFill>
          </w14:textFill>
        </w:rPr>
        <w:t>况</w:t>
      </w:r>
    </w:p>
    <w:p w14:paraId="63382C5A">
      <w:pPr>
        <w:widowControl/>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bookmarkStart w:id="453" w:name="_Hlk131664256"/>
      <w:r>
        <w:rPr>
          <w:rFonts w:hint="eastAsia" w:ascii="宋体" w:hAnsi="宋体" w:eastAsia="宋体" w:cs="宋体"/>
          <w:color w:val="000000" w:themeColor="text1"/>
          <w:kern w:val="0"/>
          <w:szCs w:val="21"/>
          <w:highlight w:val="none"/>
          <w14:textFill>
            <w14:solidFill>
              <w14:schemeClr w14:val="tx1"/>
            </w14:solidFill>
          </w14:textFill>
        </w:rPr>
        <w:t>东莞市众源环境投资有限公司（下称“招标人”）将逐步承接东莞市水务环境投资控股集团净水有限公司下属污水处理厂内污泥脱水减</w:t>
      </w:r>
      <w:r>
        <w:rPr>
          <w:rFonts w:hint="eastAsia" w:ascii="宋体" w:hAnsi="宋体" w:eastAsia="宋体" w:cs="宋体"/>
          <w:color w:val="000000" w:themeColor="text1"/>
          <w:kern w:val="0"/>
          <w:szCs w:val="21"/>
          <w:highlight w:val="none"/>
          <w:lang w:val="en-US" w:eastAsia="zh-CN"/>
          <w14:textFill>
            <w14:solidFill>
              <w14:schemeClr w14:val="tx1"/>
            </w14:solidFill>
          </w14:textFill>
        </w:rPr>
        <w:t>量</w:t>
      </w:r>
      <w:r>
        <w:rPr>
          <w:rFonts w:hint="eastAsia" w:ascii="宋体" w:hAnsi="宋体" w:eastAsia="宋体" w:cs="宋体"/>
          <w:color w:val="000000" w:themeColor="text1"/>
          <w:kern w:val="0"/>
          <w:szCs w:val="21"/>
          <w:highlight w:val="none"/>
          <w14:textFill>
            <w14:solidFill>
              <w14:schemeClr w14:val="tx1"/>
            </w14:solidFill>
          </w14:textFill>
        </w:rPr>
        <w:t>项目（下称“污泥项目”）的自主运营生产工作。本次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共涉及25个项目点，</w:t>
      </w:r>
      <w:r>
        <w:rPr>
          <w:rFonts w:hint="eastAsia" w:ascii="宋体" w:hAnsi="宋体" w:eastAsia="宋体" w:cs="宋体"/>
          <w:color w:val="000000" w:themeColor="text1"/>
          <w:kern w:val="0"/>
          <w:szCs w:val="21"/>
          <w:highlight w:val="none"/>
          <w14:textFill>
            <w14:solidFill>
              <w14:schemeClr w14:val="tx1"/>
            </w14:solidFill>
          </w14:textFill>
        </w:rPr>
        <w:t>招标人以公开招标的方式，确定</w:t>
      </w:r>
      <w:r>
        <w:rPr>
          <w:rFonts w:hint="eastAsia" w:ascii="宋体" w:hAnsi="宋体" w:eastAsia="宋体" w:cs="宋体"/>
          <w:color w:val="000000" w:themeColor="text1"/>
          <w:kern w:val="0"/>
          <w:szCs w:val="21"/>
          <w:highlight w:val="none"/>
          <w:lang w:val="en-US" w:eastAsia="zh-CN"/>
          <w14:textFill>
            <w14:solidFill>
              <w14:schemeClr w14:val="tx1"/>
            </w14:solidFill>
          </w14:textFill>
        </w:rPr>
        <w:t>1家</w:t>
      </w:r>
      <w:r>
        <w:rPr>
          <w:rFonts w:hint="eastAsia" w:ascii="宋体" w:hAnsi="宋体" w:eastAsia="宋体" w:cs="宋体"/>
          <w:color w:val="000000" w:themeColor="text1"/>
          <w:kern w:val="0"/>
          <w:szCs w:val="21"/>
          <w:highlight w:val="none"/>
          <w14:textFill>
            <w14:solidFill>
              <w14:schemeClr w14:val="tx1"/>
            </w14:solidFill>
          </w14:textFill>
        </w:rPr>
        <w:t>服务单位。中标人使用招标人提供的设备及配套设施、药剂，为招标人提供污泥脱水减量配合服务。</w:t>
      </w:r>
      <w:bookmarkEnd w:id="453"/>
    </w:p>
    <w:p w14:paraId="17E85E2A">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2、本概况介绍的配合服务情况仅为了便于投标人了解项目情况使用，不作为招标人针对某个项目点最终委托服务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时</w:t>
      </w:r>
      <w:r>
        <w:rPr>
          <w:rFonts w:hint="eastAsia" w:ascii="宋体" w:hAnsi="宋体" w:eastAsia="宋体" w:cs="宋体"/>
          <w:color w:val="000000" w:themeColor="text1"/>
          <w:kern w:val="0"/>
          <w:szCs w:val="21"/>
          <w:highlight w:val="none"/>
          <w14:textFill>
            <w14:solidFill>
              <w14:schemeClr w14:val="tx1"/>
            </w14:solidFill>
          </w14:textFill>
        </w:rPr>
        <w:t>长和污泥产量的保证。最终按实际各项目点含水率要求和污泥产量结算，中标人不得因项目服务时长比预期短或污泥产量减少而要求提供任何形式的补偿或赔偿。</w:t>
      </w:r>
    </w:p>
    <w:p w14:paraId="203499CD">
      <w:pPr>
        <w:widowControl/>
        <w:autoSpaceDE w:val="0"/>
        <w:autoSpaceDN w:val="0"/>
        <w:adjustRightInd w:val="0"/>
        <w:snapToGrid w:val="0"/>
        <w:spacing w:line="360" w:lineRule="auto"/>
        <w:ind w:firstLine="420"/>
        <w:contextualSpacing/>
        <w:jc w:val="left"/>
        <w:outlineLvl w:val="9"/>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二、采购范围、服务期限及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处理</w:t>
      </w:r>
      <w:r>
        <w:rPr>
          <w:rFonts w:hint="eastAsia" w:ascii="宋体" w:hAnsi="宋体" w:eastAsia="宋体" w:cs="宋体"/>
          <w:b/>
          <w:bCs/>
          <w:color w:val="000000" w:themeColor="text1"/>
          <w:kern w:val="0"/>
          <w:szCs w:val="21"/>
          <w:highlight w:val="none"/>
          <w14:textFill>
            <w14:solidFill>
              <w14:schemeClr w14:val="tx1"/>
            </w14:solidFill>
          </w14:textFill>
        </w:rPr>
        <w:t>量</w:t>
      </w:r>
    </w:p>
    <w:p w14:paraId="1B5B6101">
      <w:pPr>
        <w:widowControl/>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1、采购范围：</w:t>
      </w:r>
    </w:p>
    <w:p w14:paraId="3C8A10A9">
      <w:pPr>
        <w:widowControl/>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在招标人指定的污水处理厂或其他地方，使用招标人的设备及配套设施、药剂，为招标人提供生产运营</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w:t>
      </w:r>
      <w:r>
        <w:rPr>
          <w:rFonts w:hint="eastAsia" w:ascii="宋体" w:hAnsi="宋体" w:eastAsia="宋体" w:cs="宋体"/>
          <w:color w:val="000000" w:themeColor="text1"/>
          <w:kern w:val="0"/>
          <w:szCs w:val="21"/>
          <w:highlight w:val="none"/>
          <w14:textFill>
            <w14:solidFill>
              <w14:schemeClr w14:val="tx1"/>
            </w14:solidFill>
          </w14:textFill>
        </w:rPr>
        <w:t>服务，主要为将污水处理厂的剩余污泥</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通过</w:t>
      </w:r>
      <w:r>
        <w:rPr>
          <w:rFonts w:hint="eastAsia" w:ascii="宋体" w:hAnsi="宋体" w:eastAsia="宋体" w:cs="宋体"/>
          <w:color w:val="000000" w:themeColor="text1"/>
          <w:kern w:val="0"/>
          <w:szCs w:val="21"/>
          <w:highlight w:val="none"/>
          <w14:textFill>
            <w14:solidFill>
              <w14:schemeClr w14:val="tx1"/>
            </w14:solidFill>
          </w14:textFill>
        </w:rPr>
        <w:t>脱水减量</w:t>
      </w:r>
      <w:r>
        <w:rPr>
          <w:rFonts w:hint="eastAsia" w:ascii="宋体" w:hAnsi="宋体" w:eastAsia="宋体" w:cs="宋体"/>
          <w:color w:val="000000" w:themeColor="text1"/>
          <w:kern w:val="0"/>
          <w:szCs w:val="21"/>
          <w:highlight w:val="none"/>
          <w:lang w:val="en-US" w:eastAsia="zh-CN"/>
          <w14:textFill>
            <w14:solidFill>
              <w14:schemeClr w14:val="tx1"/>
            </w14:solidFill>
          </w14:textFill>
        </w:rPr>
        <w:t>措施，降</w:t>
      </w:r>
      <w:r>
        <w:rPr>
          <w:rFonts w:hint="eastAsia" w:ascii="宋体" w:hAnsi="宋体" w:eastAsia="宋体" w:cs="宋体"/>
          <w:color w:val="000000" w:themeColor="text1"/>
          <w:kern w:val="0"/>
          <w:szCs w:val="21"/>
          <w:highlight w:val="none"/>
          <w14:textFill>
            <w14:solidFill>
              <w14:schemeClr w14:val="tx1"/>
            </w14:solidFill>
          </w14:textFill>
        </w:rPr>
        <w:t>至</w:t>
      </w:r>
      <w:r>
        <w:rPr>
          <w:rFonts w:hint="eastAsia" w:ascii="宋体" w:hAnsi="宋体" w:eastAsia="宋体" w:cs="宋体"/>
          <w:color w:val="000000" w:themeColor="text1"/>
          <w:kern w:val="0"/>
          <w:szCs w:val="21"/>
          <w:highlight w:val="none"/>
          <w:lang w:val="en-US" w:eastAsia="zh-CN"/>
          <w14:textFill>
            <w14:solidFill>
              <w14:schemeClr w14:val="tx1"/>
            </w14:solidFill>
          </w14:textFill>
        </w:rPr>
        <w:t>约定的</w:t>
      </w:r>
      <w:r>
        <w:rPr>
          <w:rFonts w:hint="eastAsia" w:ascii="宋体" w:hAnsi="宋体" w:eastAsia="宋体" w:cs="宋体"/>
          <w:color w:val="000000" w:themeColor="text1"/>
          <w:kern w:val="0"/>
          <w:szCs w:val="21"/>
          <w:highlight w:val="none"/>
          <w14:textFill>
            <w14:solidFill>
              <w14:schemeClr w14:val="tx1"/>
            </w14:solidFill>
          </w14:textFill>
        </w:rPr>
        <w:t>含水率</w:t>
      </w:r>
      <w:r>
        <w:rPr>
          <w:rFonts w:hint="eastAsia" w:ascii="宋体" w:hAnsi="宋体" w:eastAsia="宋体" w:cs="宋体"/>
          <w:color w:val="000000" w:themeColor="text1"/>
          <w:kern w:val="0"/>
          <w:szCs w:val="21"/>
          <w:highlight w:val="none"/>
          <w:lang w:val="en-US" w:eastAsia="zh-CN"/>
          <w14:textFill>
            <w14:solidFill>
              <w14:schemeClr w14:val="tx1"/>
            </w14:solidFill>
          </w14:textFill>
        </w:rPr>
        <w:t>以下（含水率标准参考下表，各项目点的实际含水率标准以合同约定或招标人书面通知为准）</w:t>
      </w:r>
      <w:r>
        <w:rPr>
          <w:rFonts w:hint="eastAsia" w:ascii="宋体" w:hAnsi="宋体" w:eastAsia="宋体" w:cs="宋体"/>
          <w:color w:val="000000" w:themeColor="text1"/>
          <w:kern w:val="0"/>
          <w:szCs w:val="21"/>
          <w:highlight w:val="none"/>
          <w14:textFill>
            <w14:solidFill>
              <w14:schemeClr w14:val="tx1"/>
            </w14:solidFill>
          </w14:textFill>
        </w:rPr>
        <w:t>。</w:t>
      </w:r>
    </w:p>
    <w:tbl>
      <w:tblPr>
        <w:tblStyle w:val="3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47E9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11DDA68A">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项目点</w:t>
            </w:r>
          </w:p>
        </w:tc>
        <w:tc>
          <w:tcPr>
            <w:tcW w:w="2268" w:type="dxa"/>
            <w:vAlign w:val="center"/>
          </w:tcPr>
          <w:p w14:paraId="6F8561FF">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含水率标准 （上限值）</w:t>
            </w:r>
          </w:p>
        </w:tc>
      </w:tr>
      <w:tr w14:paraId="7237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2CA69E82">
            <w:pPr>
              <w:autoSpaceDE w:val="0"/>
              <w:autoSpaceDN w:val="0"/>
              <w:adjustRightInd w:val="0"/>
              <w:spacing w:line="36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市区厂众源移动式（含一二期和三期）</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长安新区众源移动式</w:t>
            </w:r>
          </w:p>
        </w:tc>
        <w:tc>
          <w:tcPr>
            <w:tcW w:w="2268" w:type="dxa"/>
            <w:vAlign w:val="center"/>
          </w:tcPr>
          <w:p w14:paraId="4A916A37">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Cs w:val="21"/>
                <w:highlight w:val="none"/>
                <w14:textFill>
                  <w14:solidFill>
                    <w14:schemeClr w14:val="tx1"/>
                  </w14:solidFill>
                </w14:textFill>
              </w:rPr>
              <w:t xml:space="preserve">% </w:t>
            </w:r>
          </w:p>
        </w:tc>
      </w:tr>
      <w:tr w14:paraId="0483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5DCE803F">
            <w:pPr>
              <w:autoSpaceDE w:val="0"/>
              <w:autoSpaceDN w:val="0"/>
              <w:adjustRightInd w:val="0"/>
              <w:spacing w:line="360" w:lineRule="auto"/>
              <w:jc w:val="left"/>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黄江二期、寮步三期、温塘二期、横沥东坑二期、常平东二期、常平西二期、黄江梅塘南部厂、松山湖科学城厂、茶山改扩建项目、麻涌二期、中堂二期、石碣二期、万江二期、高埗二期、长安新区厂、牛山二期、大岭山二期、沙田二期、虎门宁洲三期、塘厦白泥湖项目、凤岗竹塘三期、清溪厦坭二期</w:t>
            </w:r>
          </w:p>
        </w:tc>
        <w:tc>
          <w:tcPr>
            <w:tcW w:w="2268" w:type="dxa"/>
            <w:shd w:val="clear" w:color="auto" w:fill="auto"/>
            <w:vAlign w:val="center"/>
          </w:tcPr>
          <w:p w14:paraId="35D8BFF5">
            <w:pPr>
              <w:autoSpaceDE w:val="0"/>
              <w:autoSpaceDN w:val="0"/>
              <w:adjustRightInd w:val="0"/>
              <w:spacing w:line="240" w:lineRule="auto"/>
              <w:jc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60% </w:t>
            </w:r>
          </w:p>
        </w:tc>
      </w:tr>
      <w:tr w14:paraId="299E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6AAABE2E">
            <w:pPr>
              <w:autoSpaceDE w:val="0"/>
              <w:autoSpaceDN w:val="0"/>
              <w:adjustRightInd w:val="0"/>
              <w:spacing w:line="240" w:lineRule="auto"/>
              <w:jc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凤岗竹塘二期</w:t>
            </w:r>
          </w:p>
        </w:tc>
        <w:tc>
          <w:tcPr>
            <w:tcW w:w="2268" w:type="dxa"/>
            <w:shd w:val="clear" w:color="auto" w:fill="auto"/>
            <w:vAlign w:val="center"/>
          </w:tcPr>
          <w:p w14:paraId="28388B60">
            <w:pPr>
              <w:autoSpaceDE w:val="0"/>
              <w:autoSpaceDN w:val="0"/>
              <w:adjustRightInd w:val="0"/>
              <w:spacing w:line="240" w:lineRule="auto"/>
              <w:jc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80%</w:t>
            </w:r>
          </w:p>
        </w:tc>
      </w:tr>
    </w:tbl>
    <w:p w14:paraId="1CB10911">
      <w:pPr>
        <w:autoSpaceDE w:val="0"/>
        <w:autoSpaceDN w:val="0"/>
        <w:adjustRightInd w:val="0"/>
        <w:spacing w:line="360" w:lineRule="auto"/>
        <w:ind w:firstLine="420" w:firstLineChars="200"/>
        <w:jc w:val="left"/>
        <w:outlineLvl w:val="9"/>
        <w:rPr>
          <w:rFonts w:hint="default"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备注： 含水率标准以设备设计能力及招标人与污水处理厂的约定为设定依据，为污泥脱水减量工作的验收、结算的合格线，具体结算方式详见第</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kern w:val="0"/>
          <w:szCs w:val="21"/>
          <w:highlight w:val="none"/>
          <w14:textFill>
            <w14:solidFill>
              <w14:schemeClr w14:val="tx1"/>
            </w14:solidFill>
          </w14:textFill>
        </w:rPr>
        <w:t>款第2条。不同项目点的含水率标准存在不一致的情况。</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服务期内，若招标人需增加项目点时，中标人将根据合同价格承接，增加项目点以招标人书面通知为准。</w:t>
      </w:r>
    </w:p>
    <w:p w14:paraId="6586894D">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2、服务期限：</w:t>
      </w:r>
    </w:p>
    <w:p w14:paraId="46EA672C">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各污水处理厂污泥脱水减量项目配合服务服务限期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自</w:t>
      </w:r>
      <w:r>
        <w:rPr>
          <w:rFonts w:hint="eastAsia" w:ascii="宋体" w:hAnsi="宋体" w:eastAsia="宋体" w:cs="宋体"/>
          <w:color w:val="000000" w:themeColor="text1"/>
          <w:kern w:val="0"/>
          <w:szCs w:val="21"/>
          <w:highlight w:val="none"/>
          <w14:textFill>
            <w14:solidFill>
              <w14:schemeClr w14:val="tx1"/>
            </w14:solidFill>
          </w14:textFill>
        </w:rPr>
        <w:t>招标人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发出的《进场通知书》中载明</w:t>
      </w:r>
      <w:r>
        <w:rPr>
          <w:rFonts w:hint="eastAsia" w:ascii="宋体" w:hAnsi="宋体" w:eastAsia="宋体" w:cs="宋体"/>
          <w:color w:val="000000" w:themeColor="text1"/>
          <w:kern w:val="0"/>
          <w:szCs w:val="21"/>
          <w:highlight w:val="none"/>
          <w14:textFill>
            <w14:solidFill>
              <w14:schemeClr w14:val="tx1"/>
            </w14:solidFill>
          </w14:textFill>
        </w:rPr>
        <w:t>之日起至202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年12月31日止。</w:t>
      </w:r>
    </w:p>
    <w:p w14:paraId="0EC3CF61">
      <w:pPr>
        <w:widowControl/>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处理</w:t>
      </w:r>
      <w:r>
        <w:rPr>
          <w:rFonts w:hint="eastAsia" w:ascii="宋体" w:hAnsi="宋体" w:eastAsia="宋体" w:cs="宋体"/>
          <w:color w:val="000000" w:themeColor="text1"/>
          <w:kern w:val="0"/>
          <w:szCs w:val="21"/>
          <w:highlight w:val="none"/>
          <w14:textFill>
            <w14:solidFill>
              <w14:schemeClr w14:val="tx1"/>
            </w14:solidFill>
          </w14:textFill>
        </w:rPr>
        <w:t>量</w:t>
      </w:r>
    </w:p>
    <w:p w14:paraId="0F37B262">
      <w:pPr>
        <w:widowControl/>
        <w:autoSpaceDE w:val="0"/>
        <w:autoSpaceDN w:val="0"/>
        <w:adjustRightInd w:val="0"/>
        <w:snapToGrid w:val="0"/>
        <w:spacing w:line="360" w:lineRule="auto"/>
        <w:ind w:firstLine="420"/>
        <w:contextualSpacing/>
        <w:jc w:val="left"/>
        <w:outlineLvl w:val="9"/>
        <w:rPr>
          <w:rFonts w:ascii="宋体" w:hAnsi="宋体" w:eastAsia="宋体" w:cs="宋体"/>
          <w:color w:val="000000" w:themeColor="text1"/>
          <w:kern w:val="0"/>
          <w:szCs w:val="21"/>
          <w:highlight w:val="none"/>
          <w14:textFill>
            <w14:solidFill>
              <w14:schemeClr w14:val="tx1"/>
            </w14:solidFill>
          </w14:textFill>
        </w:rPr>
      </w:pPr>
      <w:bookmarkStart w:id="454" w:name="_Toc24054"/>
      <w:bookmarkStart w:id="455" w:name="_Toc1332"/>
      <w:r>
        <w:rPr>
          <w:rFonts w:hint="eastAsia" w:ascii="宋体" w:hAnsi="宋体" w:eastAsia="宋体" w:cs="宋体"/>
          <w:color w:val="000000" w:themeColor="text1"/>
          <w:kern w:val="0"/>
          <w:szCs w:val="21"/>
          <w:highlight w:val="none"/>
          <w14:textFill>
            <w14:solidFill>
              <w14:schemeClr w14:val="tx1"/>
            </w14:solidFill>
          </w14:textFill>
        </w:rPr>
        <w:t>预计陆续投产</w:t>
      </w:r>
      <w:r>
        <w:rPr>
          <w:rFonts w:hint="eastAsia" w:ascii="宋体" w:hAnsi="宋体" w:eastAsia="宋体" w:cs="宋体"/>
          <w:color w:val="000000" w:themeColor="text1"/>
          <w:kern w:val="0"/>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Cs w:val="21"/>
          <w:highlight w:val="none"/>
          <w14:textFill>
            <w14:solidFill>
              <w14:schemeClr w14:val="tx1"/>
            </w14:solidFill>
          </w14:textFill>
        </w:rPr>
        <w:t>个项目点（详见附件），预计服务期内总产量约</w:t>
      </w:r>
      <w:r>
        <w:rPr>
          <w:rFonts w:hint="eastAsia" w:ascii="宋体" w:hAnsi="宋体" w:eastAsia="宋体" w:cs="宋体"/>
          <w:color w:val="000000" w:themeColor="text1"/>
          <w:kern w:val="0"/>
          <w:szCs w:val="21"/>
          <w:highlight w:val="none"/>
          <w:lang w:val="en-US" w:eastAsia="zh-CN"/>
          <w14:textFill>
            <w14:solidFill>
              <w14:schemeClr w14:val="tx1"/>
            </w14:solidFill>
          </w14:textFill>
        </w:rPr>
        <w:t>243,530.00</w:t>
      </w:r>
      <w:r>
        <w:rPr>
          <w:rFonts w:hint="eastAsia" w:ascii="宋体" w:hAnsi="宋体" w:eastAsia="宋体" w:cs="宋体"/>
          <w:color w:val="000000" w:themeColor="text1"/>
          <w:kern w:val="0"/>
          <w:szCs w:val="21"/>
          <w:highlight w:val="none"/>
          <w14:textFill>
            <w14:solidFill>
              <w14:schemeClr w14:val="tx1"/>
            </w14:solidFill>
          </w14:textFill>
        </w:rPr>
        <w:t>吨（含水率80%计算）。以上为预计产量，应以实际产泥量为准。</w:t>
      </w:r>
      <w:bookmarkEnd w:id="454"/>
      <w:bookmarkEnd w:id="455"/>
      <w:bookmarkStart w:id="456" w:name="_Toc5313"/>
      <w:bookmarkStart w:id="457" w:name="_Toc17256"/>
    </w:p>
    <w:bookmarkEnd w:id="456"/>
    <w:bookmarkEnd w:id="457"/>
    <w:p w14:paraId="42BCC1F9">
      <w:pPr>
        <w:widowControl/>
        <w:autoSpaceDE w:val="0"/>
        <w:autoSpaceDN w:val="0"/>
        <w:adjustRightInd w:val="0"/>
        <w:snapToGrid w:val="0"/>
        <w:spacing w:line="360" w:lineRule="auto"/>
        <w:ind w:firstLine="420"/>
        <w:contextualSpacing/>
        <w:jc w:val="left"/>
        <w:outlineLvl w:val="9"/>
        <w:rPr>
          <w:rFonts w:hint="default"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三、</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服务费支付及考核标准</w:t>
      </w:r>
    </w:p>
    <w:p w14:paraId="71268471">
      <w:pPr>
        <w:spacing w:line="360" w:lineRule="auto"/>
        <w:ind w:firstLine="424" w:firstLineChars="202"/>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服务费按月支付，</w:t>
      </w:r>
      <w:r>
        <w:rPr>
          <w:rFonts w:hint="eastAsia" w:ascii="宋体" w:hAnsi="宋体" w:eastAsia="宋体" w:cs="宋体"/>
          <w:color w:val="000000" w:themeColor="text1"/>
          <w:szCs w:val="21"/>
          <w:highlight w:val="none"/>
          <w:lang w:val="en-US" w:eastAsia="zh-CN"/>
          <w14:textFill>
            <w14:solidFill>
              <w14:schemeClr w14:val="tx1"/>
            </w14:solidFill>
          </w14:textFill>
        </w:rPr>
        <w:t>招标人和中标人</w:t>
      </w:r>
      <w:r>
        <w:rPr>
          <w:rFonts w:hint="eastAsia" w:ascii="宋体" w:hAnsi="宋体" w:eastAsia="宋体" w:cs="宋体"/>
          <w:color w:val="000000" w:themeColor="text1"/>
          <w:szCs w:val="21"/>
          <w:highlight w:val="none"/>
          <w14:textFill>
            <w14:solidFill>
              <w14:schemeClr w14:val="tx1"/>
            </w14:solidFill>
          </w14:textFill>
        </w:rPr>
        <w:t>双方在每月15日前完成上月应付款项核算工作，</w:t>
      </w:r>
      <w:r>
        <w:rPr>
          <w:rFonts w:hint="eastAsia" w:ascii="宋体" w:hAnsi="宋体" w:eastAsia="宋体" w:cs="宋体"/>
          <w:color w:val="000000" w:themeColor="text1"/>
          <w:szCs w:val="21"/>
          <w:highlight w:val="none"/>
          <w:lang w:val="en-US" w:eastAsia="zh-CN"/>
          <w14:textFill>
            <w14:solidFill>
              <w14:schemeClr w14:val="tx1"/>
            </w14:solidFill>
          </w14:textFill>
        </w:rPr>
        <w:t>双方对该应付款项确认无误后，中标人向招标人提交完整的</w:t>
      </w:r>
      <w:r>
        <w:rPr>
          <w:rFonts w:hint="eastAsia" w:ascii="宋体" w:hAnsi="宋体" w:eastAsia="宋体" w:cs="宋体"/>
          <w:color w:val="000000" w:themeColor="text1"/>
          <w:szCs w:val="21"/>
          <w:highlight w:val="none"/>
          <w14:textFill>
            <w14:solidFill>
              <w14:schemeClr w14:val="tx1"/>
            </w14:solidFill>
          </w14:textFill>
        </w:rPr>
        <w:t>请款材料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详见合同支付方式第（2）点）</w:t>
      </w:r>
      <w:r>
        <w:rPr>
          <w:rFonts w:hint="eastAsia" w:ascii="宋体" w:hAnsi="宋体" w:eastAsia="宋体" w:cs="宋体"/>
          <w:color w:val="000000" w:themeColor="text1"/>
          <w:szCs w:val="21"/>
          <w:highlight w:val="none"/>
          <w14:textFill>
            <w14:solidFill>
              <w14:schemeClr w14:val="tx1"/>
            </w14:solidFill>
          </w14:textFill>
        </w:rPr>
        <w:t>并</w:t>
      </w:r>
      <w:r>
        <w:rPr>
          <w:rFonts w:hint="eastAsia" w:ascii="宋体" w:hAnsi="宋体" w:eastAsia="宋体" w:cs="宋体"/>
          <w:color w:val="000000" w:themeColor="text1"/>
          <w:szCs w:val="21"/>
          <w:highlight w:val="none"/>
          <w:lang w:val="en-US" w:eastAsia="zh-CN"/>
          <w14:textFill>
            <w14:solidFill>
              <w14:schemeClr w14:val="tx1"/>
            </w14:solidFill>
          </w14:textFill>
        </w:rPr>
        <w:t>经招标人</w:t>
      </w:r>
      <w:r>
        <w:rPr>
          <w:rFonts w:hint="eastAsia" w:ascii="宋体" w:hAnsi="宋体" w:eastAsia="宋体" w:cs="宋体"/>
          <w:color w:val="000000" w:themeColor="text1"/>
          <w:szCs w:val="21"/>
          <w:highlight w:val="none"/>
          <w14:textFill>
            <w14:solidFill>
              <w14:schemeClr w14:val="tx1"/>
            </w14:solidFill>
          </w14:textFill>
        </w:rPr>
        <w:t>确认无误后30个工作日内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招标人采用银行转账或银行承兑汇票向中标人支付请款金额的50%，</w:t>
      </w:r>
      <w:r>
        <w:rPr>
          <w:rFonts w:hint="eastAsia" w:ascii="宋体" w:hAnsi="宋体" w:eastAsia="宋体" w:cs="宋体"/>
          <w:color w:val="000000" w:themeColor="text1"/>
          <w:szCs w:val="21"/>
          <w:highlight w:val="none"/>
          <w14:textFill>
            <w14:solidFill>
              <w14:schemeClr w14:val="tx1"/>
            </w14:solidFill>
          </w14:textFill>
        </w:rPr>
        <w:t>若采用银行承兑汇票支付，该笔费用按元位取整，且汇票期限不超3个月，每期款项支付方式由</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决定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中标人在收到前述50%款项之日起【 3 】个月后可向招标人发出该请款月份剩余50%款项的申请函，招标人收到申请函并确认无误后【 30 】个工作日内采用银行转账方式或汇款方式向中标人支付对应款项。</w:t>
      </w:r>
    </w:p>
    <w:p w14:paraId="278B3789">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综合</w:t>
      </w:r>
      <w:r>
        <w:rPr>
          <w:rFonts w:hint="eastAsia" w:ascii="宋体" w:hAnsi="宋体" w:eastAsia="宋体" w:cs="宋体"/>
          <w:color w:val="000000" w:themeColor="text1"/>
          <w:kern w:val="0"/>
          <w:szCs w:val="21"/>
          <w:highlight w:val="none"/>
          <w14:textFill>
            <w14:solidFill>
              <w14:schemeClr w14:val="tx1"/>
            </w14:solidFill>
          </w14:textFill>
        </w:rPr>
        <w:t>单价按含水率80%的湿泥计价（元/吨），当车污泥通过双方认可</w:t>
      </w:r>
      <w:r>
        <w:rPr>
          <w:rFonts w:hint="eastAsia" w:ascii="宋体" w:hAnsi="宋体" w:eastAsia="宋体" w:cs="宋体"/>
          <w:color w:val="000000" w:themeColor="text1"/>
          <w:kern w:val="0"/>
          <w:szCs w:val="21"/>
          <w:highlight w:val="none"/>
          <w:lang w:val="en-US" w:eastAsia="zh-CN"/>
          <w14:textFill>
            <w14:solidFill>
              <w14:schemeClr w14:val="tx1"/>
            </w14:solidFill>
          </w14:textFill>
        </w:rPr>
        <w:t>且经法定计量检定机构周期性检定合格</w:t>
      </w:r>
      <w:r>
        <w:rPr>
          <w:rFonts w:hint="eastAsia" w:ascii="宋体" w:hAnsi="宋体" w:eastAsia="宋体" w:cs="宋体"/>
          <w:color w:val="000000" w:themeColor="text1"/>
          <w:kern w:val="0"/>
          <w:szCs w:val="21"/>
          <w:highlight w:val="none"/>
          <w14:textFill>
            <w14:solidFill>
              <w14:schemeClr w14:val="tx1"/>
            </w14:solidFill>
          </w14:textFill>
        </w:rPr>
        <w:t>的电子地磅的称重数据（磅单）为计量计费依据（按吨计，精确到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小数点后两位，即</w:t>
      </w:r>
      <w:r>
        <w:rPr>
          <w:rFonts w:hint="eastAsia" w:ascii="宋体" w:hAnsi="宋体" w:eastAsia="宋体" w:cs="宋体"/>
          <w:color w:val="000000" w:themeColor="text1"/>
          <w:kern w:val="0"/>
          <w:szCs w:val="21"/>
          <w:highlight w:val="none"/>
          <w14:textFill>
            <w14:solidFill>
              <w14:schemeClr w14:val="tx1"/>
            </w14:solidFill>
          </w14:textFill>
        </w:rPr>
        <w:t>0.01吨）。</w:t>
      </w:r>
    </w:p>
    <w:p w14:paraId="4B7903D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综合单价：（1）当项目约定的含水率标准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上限值</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000000" w:themeColor="text1"/>
          <w:kern w:val="0"/>
          <w:szCs w:val="21"/>
          <w:highlight w:val="none"/>
          <w:lang w:val="en-US" w:eastAsia="zh-CN"/>
          <w14:textFill>
            <w14:solidFill>
              <w14:schemeClr w14:val="tx1"/>
            </w14:solidFill>
          </w14:textFill>
        </w:rPr>
        <w:t>例如</w:t>
      </w:r>
      <w:r>
        <w:rPr>
          <w:rFonts w:hint="eastAsia" w:ascii="宋体" w:hAnsi="宋体" w:eastAsia="宋体" w:cs="宋体"/>
          <w:color w:val="000000" w:themeColor="text1"/>
          <w:kern w:val="0"/>
          <w:szCs w:val="21"/>
          <w:highlight w:val="none"/>
          <w14:textFill>
            <w14:solidFill>
              <w14:schemeClr w14:val="tx1"/>
            </w14:solidFill>
          </w14:textFill>
        </w:rPr>
        <w:t>当含水率标准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上限值</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为60%时，对应折算系数为2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当有新含水率标准时，招标人再书面通知，相应折算系数按照折算公式计算</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C5129E6">
      <w:pPr>
        <w:autoSpaceDE/>
        <w:autoSpaceDN/>
        <w:adjustRightInd/>
        <w:spacing w:line="360" w:lineRule="auto"/>
        <w:ind w:firstLine="424" w:firstLineChars="202"/>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3、每车次外运污泥含水率以污水处理厂化验室检测的结果为计费依据。含水率取样方式为用不锈钢采样器，</w:t>
      </w:r>
      <w:r>
        <w:rPr>
          <w:rFonts w:hint="eastAsia" w:ascii="宋体" w:hAnsi="宋体" w:eastAsia="宋体" w:cs="宋体"/>
          <w:color w:val="000000" w:themeColor="text1"/>
          <w:kern w:val="0"/>
          <w:szCs w:val="21"/>
          <w:highlight w:val="none"/>
          <w:lang w:val="en-US" w:eastAsia="zh-CN"/>
          <w14:textFill>
            <w14:solidFill>
              <w14:schemeClr w14:val="tx1"/>
            </w14:solidFill>
          </w14:textFill>
        </w:rPr>
        <w:t>由运输车司机</w:t>
      </w:r>
      <w:r>
        <w:rPr>
          <w:rFonts w:hint="eastAsia" w:ascii="宋体" w:hAnsi="宋体" w:eastAsia="宋体" w:cs="宋体"/>
          <w:color w:val="000000" w:themeColor="text1"/>
          <w:kern w:val="0"/>
          <w:szCs w:val="21"/>
          <w:highlight w:val="none"/>
          <w14:textFill>
            <w14:solidFill>
              <w14:schemeClr w14:val="tx1"/>
            </w14:solidFill>
          </w14:textFill>
        </w:rPr>
        <w:t>在污泥装车后污泥运输车（车辆未驶离污水处理厂大门前）上3个不同位置采集，并充分混合，分为三等份，分别交中标人、招标人及化验室，由各方代表在交样清单上签名确认。采样方式亦可能会因主管部门颁布的政策法规或行业标准、规范而调整，或经与项目所在厂区</w:t>
      </w:r>
      <w:r>
        <w:rPr>
          <w:rFonts w:hint="eastAsia" w:ascii="宋体" w:hAnsi="宋体" w:eastAsia="宋体" w:cs="宋体"/>
          <w:color w:val="000000" w:themeColor="text1"/>
          <w:kern w:val="0"/>
          <w:szCs w:val="21"/>
          <w:highlight w:val="none"/>
          <w:lang w:val="en-US" w:eastAsia="zh-CN"/>
          <w14:textFill>
            <w14:solidFill>
              <w14:schemeClr w14:val="tx1"/>
            </w14:solidFill>
          </w14:textFill>
        </w:rPr>
        <w:t>权属单位或运营单位或行政主管部门</w:t>
      </w:r>
      <w:r>
        <w:rPr>
          <w:rFonts w:hint="eastAsia" w:ascii="宋体" w:hAnsi="宋体" w:eastAsia="宋体" w:cs="宋体"/>
          <w:color w:val="000000" w:themeColor="text1"/>
          <w:kern w:val="0"/>
          <w:szCs w:val="21"/>
          <w:highlight w:val="none"/>
          <w14:textFill>
            <w14:solidFill>
              <w14:schemeClr w14:val="tx1"/>
            </w14:solidFill>
          </w14:textFill>
        </w:rPr>
        <w:t>沟通后双方认可的方式进行调整。</w:t>
      </w:r>
      <w:r>
        <w:rPr>
          <w:rFonts w:hint="eastAsia" w:ascii="宋体" w:hAnsi="宋体" w:eastAsia="宋体" w:cs="宋体"/>
          <w:color w:val="000000" w:themeColor="text1"/>
          <w:kern w:val="0"/>
          <w:szCs w:val="21"/>
          <w:highlight w:val="none"/>
          <w:lang w:val="en-US" w:eastAsia="zh-CN"/>
          <w14:textFill>
            <w14:solidFill>
              <w14:schemeClr w14:val="tx1"/>
            </w14:solidFill>
          </w14:textFill>
        </w:rPr>
        <w:t>如中标人对</w:t>
      </w:r>
      <w:r>
        <w:rPr>
          <w:rFonts w:hint="eastAsia" w:ascii="宋体" w:hAnsi="宋体" w:eastAsia="宋体" w:cs="宋体"/>
          <w:color w:val="000000" w:themeColor="text1"/>
          <w:szCs w:val="21"/>
          <w:highlight w:val="none"/>
          <w14:textFill>
            <w14:solidFill>
              <w14:schemeClr w14:val="tx1"/>
            </w14:solidFill>
          </w14:textFill>
        </w:rPr>
        <w:t>污水处理厂化验室检测的结果</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提出质疑，则由招标人委托具有检测资质的第三方检测机构针对当车样品重新检测并出具复检检测报告，双方同意以该复检报告作为含水率认定和计费依据，检测费用由最终责任方支付。</w:t>
      </w:r>
    </w:p>
    <w:p w14:paraId="2888E492">
      <w:pPr>
        <w:pStyle w:val="16"/>
        <w:spacing w:line="360" w:lineRule="auto"/>
        <w:ind w:firstLine="420" w:firstLineChars="200"/>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招标人每季度第三个月对中标人每个项目点的履约情况进行逐一评价，填写《履约评价表》。</w:t>
      </w:r>
    </w:p>
    <w:p w14:paraId="4A22FCD6">
      <w:pPr>
        <w:pStyle w:val="16"/>
        <w:spacing w:line="360" w:lineRule="auto"/>
        <w:ind w:firstLine="420" w:firstLineChars="200"/>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针对单个项目点：对于评价结论为不合格的项目点，招标人将从该项目点的该季度第三个月的服务费中扣除违约金（如第三个月的服务费不足以扣除，将从履约担保中扣除）。合同期内同一项目点首次评价不合格扣除违约金1万元，合同期内同一项目点第二次不合格扣除违约金2万元，合同期内同一项目点第三次不合格扣除违约金4万元，合同期内同一项目点第四次不合格扣除违约金8万元。合同期内同一项目点出现第四次不合格情况之后，招标人有权单方解除合同，中标人还需向招标人支付100,000元的违约金。</w:t>
      </w:r>
    </w:p>
    <w:p w14:paraId="42BE9162">
      <w:pPr>
        <w:pStyle w:val="16"/>
        <w:spacing w:line="360" w:lineRule="auto"/>
        <w:ind w:firstLine="420" w:firstLineChars="200"/>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（2）针对全部项目点（新增全局累计条款）：在合同期内，所有项目点的履约评价不合格次数累计达到【 10 】次时，招标人有权单方解除合同，中标人还需向招标人支付100,000元的违约金。此解除权与上述第（1）项的解除权可同时行使，招标人可选择最有利于自身的一种方式执行。</w:t>
      </w:r>
    </w:p>
    <w:p w14:paraId="1AEB0236">
      <w:pPr>
        <w:pStyle w:val="16"/>
        <w:spacing w:line="360" w:lineRule="auto"/>
        <w:ind w:firstLine="420" w:firstLineChars="200"/>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说明：上述“首次”“第二次”“第三次”“第四次”系指在合同期内，针对同一项目点连续或非连续评价不合格的累计次数；全局累计次数自合同生效之日起开始计算，包含所有项目点发生的所有不合格评价次数。）</w:t>
      </w:r>
    </w:p>
    <w:p w14:paraId="40A778A7">
      <w:pPr>
        <w:pStyle w:val="16"/>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该笔违约金的支付，不影响招标人根据本合同约定要求中标人赔偿其他损失的权利。</w:t>
      </w:r>
    </w:p>
    <w:p w14:paraId="0889A0BE">
      <w:pPr>
        <w:autoSpaceDE w:val="0"/>
        <w:autoSpaceDN w:val="0"/>
        <w:adjustRightInd w:val="0"/>
        <w:spacing w:line="360" w:lineRule="auto"/>
        <w:ind w:firstLine="422" w:firstLineChars="200"/>
        <w:jc w:val="left"/>
        <w:outlineLvl w:val="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四、服务内容</w:t>
      </w:r>
    </w:p>
    <w:p w14:paraId="39660ABD">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1、中标人应按照招标人制定的设备生产工艺参数执行落实，保证满足污泥处理量</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要求</w:t>
      </w:r>
      <w:r>
        <w:rPr>
          <w:rFonts w:hint="eastAsia" w:ascii="宋体" w:hAnsi="宋体" w:eastAsia="宋体" w:cs="宋体"/>
          <w:bCs/>
          <w:color w:val="000000" w:themeColor="text1"/>
          <w:kern w:val="0"/>
          <w:szCs w:val="21"/>
          <w:highlight w:val="none"/>
          <w14:textFill>
            <w14:solidFill>
              <w14:schemeClr w14:val="tx1"/>
            </w14:solidFill>
          </w14:textFill>
        </w:rPr>
        <w:t>及含水率标准，各工艺段的设备类型详见附件。</w:t>
      </w:r>
    </w:p>
    <w:p w14:paraId="05176271">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2、中标人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配合服务设备操作人员</w:t>
      </w:r>
      <w:r>
        <w:rPr>
          <w:rFonts w:hint="eastAsia" w:ascii="宋体" w:hAnsi="宋体" w:eastAsia="宋体" w:cs="宋体"/>
          <w:bCs/>
          <w:color w:val="000000" w:themeColor="text1"/>
          <w:kern w:val="0"/>
          <w:szCs w:val="21"/>
          <w:highlight w:val="none"/>
          <w14:textFill>
            <w14:solidFill>
              <w14:schemeClr w14:val="tx1"/>
            </w14:solidFill>
          </w14:textFill>
        </w:rPr>
        <w:t>应根据运输计划，保证现场运作顺畅，指引车辆到达指定装卸地点进行装车，装车完毕后配合项目所在厂区和招标人进行取样。完成取样后，监督车辆盖上帆布，满足要求后放行。其中，外运装车取样的含水率由所在厂区的化验室进行检测，由</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填写《含水率检测统计台账》，该《含水率检测统计台账》作为服务费结算依据。</w:t>
      </w:r>
    </w:p>
    <w:p w14:paraId="551A9D72">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3、中标人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配合服务设备操作人员</w:t>
      </w:r>
      <w:r>
        <w:rPr>
          <w:rFonts w:hint="eastAsia" w:ascii="宋体" w:hAnsi="宋体" w:eastAsia="宋体" w:cs="宋体"/>
          <w:bCs/>
          <w:color w:val="000000" w:themeColor="text1"/>
          <w:kern w:val="0"/>
          <w:szCs w:val="21"/>
          <w:highlight w:val="none"/>
          <w14:textFill>
            <w14:solidFill>
              <w14:schemeClr w14:val="tx1"/>
            </w14:solidFill>
          </w14:textFill>
        </w:rPr>
        <w:t xml:space="preserve">应根据招标人的要求，在生产过程中定期使用含水率检测仪测量泥饼含水率，并记录于《生产日报表》，便于对生产工艺调整。 </w:t>
      </w:r>
    </w:p>
    <w:p w14:paraId="416D9F52">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4、中标人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配合服务设备操作人员</w:t>
      </w:r>
      <w:r>
        <w:rPr>
          <w:rFonts w:hint="eastAsia" w:ascii="宋体" w:hAnsi="宋体" w:eastAsia="宋体" w:cs="宋体"/>
          <w:bCs/>
          <w:color w:val="000000" w:themeColor="text1"/>
          <w:kern w:val="0"/>
          <w:szCs w:val="21"/>
          <w:highlight w:val="none"/>
          <w14:textFill>
            <w14:solidFill>
              <w14:schemeClr w14:val="tx1"/>
            </w14:solidFill>
          </w14:textFill>
        </w:rPr>
        <w:t>应根据招标人的要求，如实记录《生产日报表》，《生产日报表》</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bCs/>
          <w:color w:val="000000" w:themeColor="text1"/>
          <w:kern w:val="0"/>
          <w:szCs w:val="21"/>
          <w:highlight w:val="none"/>
          <w14:textFill>
            <w14:solidFill>
              <w14:schemeClr w14:val="tx1"/>
            </w14:solidFill>
          </w14:textFill>
        </w:rPr>
        <w:t>包含日常生产中的主要设备及配套设备的运行参数、处理量、药剂使用量、能源使用量、泥饼产生量、含水率等。 所有与本合同履行相关的原始数据</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包括但不限于过磅单、含水率检测记录、现场取样影像、设备运行</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日</w:t>
      </w:r>
      <w:r>
        <w:rPr>
          <w:rFonts w:hint="eastAsia" w:ascii="宋体" w:hAnsi="宋体" w:eastAsia="宋体" w:cs="宋体"/>
          <w:bCs/>
          <w:color w:val="000000" w:themeColor="text1"/>
          <w:kern w:val="0"/>
          <w:szCs w:val="21"/>
          <w:highlight w:val="none"/>
          <w14:textFill>
            <w14:solidFill>
              <w14:schemeClr w14:val="tx1"/>
            </w14:solidFill>
          </w14:textFill>
        </w:rPr>
        <w:t>志、监控视频、现场照片、维护记录等</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及其衍生成果的知识产权、占有权及使用权均归属于</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。每月10号前各项目点《生产日报表》统一交由</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保存。</w:t>
      </w:r>
    </w:p>
    <w:p w14:paraId="7A15FC8D">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5、中标人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配合服务设备操作人员</w:t>
      </w:r>
      <w:r>
        <w:rPr>
          <w:rFonts w:hint="eastAsia" w:ascii="宋体" w:hAnsi="宋体" w:eastAsia="宋体" w:cs="宋体"/>
          <w:bCs/>
          <w:color w:val="000000" w:themeColor="text1"/>
          <w:kern w:val="0"/>
          <w:szCs w:val="21"/>
          <w:highlight w:val="none"/>
          <w14:textFill>
            <w14:solidFill>
              <w14:schemeClr w14:val="tx1"/>
            </w14:solidFill>
          </w14:textFill>
        </w:rPr>
        <w:t>应根据</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的要求配合招标人管理好生产设备，并做好项目内各项设备设施的日常养护，包括但不限于机械硬件的日常检查、润滑保养、易耗件更换、管道补漏及防锈防腐等工作。中标人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配合服务设备操作人员</w:t>
      </w:r>
      <w:r>
        <w:rPr>
          <w:rFonts w:hint="eastAsia" w:ascii="宋体" w:hAnsi="宋体" w:eastAsia="宋体" w:cs="宋体"/>
          <w:bCs/>
          <w:color w:val="000000" w:themeColor="text1"/>
          <w:kern w:val="0"/>
          <w:szCs w:val="21"/>
          <w:highlight w:val="none"/>
          <w14:textFill>
            <w14:solidFill>
              <w14:schemeClr w14:val="tx1"/>
            </w14:solidFill>
          </w14:textFill>
        </w:rPr>
        <w:t>对项目内的设备故障有预判和告知的义务，</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当</w:t>
      </w:r>
      <w:r>
        <w:rPr>
          <w:rFonts w:hint="eastAsia" w:ascii="宋体" w:hAnsi="宋体" w:eastAsia="宋体" w:cs="宋体"/>
          <w:bCs/>
          <w:color w:val="000000" w:themeColor="text1"/>
          <w:kern w:val="0"/>
          <w:szCs w:val="21"/>
          <w:highlight w:val="none"/>
          <w14:textFill>
            <w14:solidFill>
              <w14:schemeClr w14:val="tx1"/>
            </w14:solidFill>
          </w14:textFill>
        </w:rPr>
        <w:t>项目仓库中缺少维修维护所需物资时，应提前10个工作日将需求告知招标人。当</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发现设备故障或潜在隐患后应在2小时内报告</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。若因</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未按前述要求及时报备导致维修延误或设备停机的，视为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服务中断，按本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Cs/>
          <w:color w:val="000000" w:themeColor="text1"/>
          <w:kern w:val="0"/>
          <w:szCs w:val="21"/>
          <w:highlight w:val="none"/>
          <w14:textFill>
            <w14:solidFill>
              <w14:schemeClr w14:val="tx1"/>
            </w14:solidFill>
          </w14:textFill>
        </w:rPr>
        <w:t>合同第九条违约责任处理。</w:t>
      </w:r>
    </w:p>
    <w:p w14:paraId="5E3F099C">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6、中标人应为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bCs/>
          <w:color w:val="000000" w:themeColor="text1"/>
          <w:kern w:val="0"/>
          <w:szCs w:val="21"/>
          <w:highlight w:val="none"/>
          <w14:textFill>
            <w14:solidFill>
              <w14:schemeClr w14:val="tx1"/>
            </w14:solidFill>
          </w14:textFill>
        </w:rPr>
        <w:t>设备操作人员提供统一工作服和</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劳保鞋等</w:t>
      </w:r>
      <w:r>
        <w:rPr>
          <w:rFonts w:hint="eastAsia" w:ascii="宋体" w:hAnsi="宋体" w:eastAsia="宋体" w:cs="宋体"/>
          <w:bCs/>
          <w:color w:val="000000" w:themeColor="text1"/>
          <w:kern w:val="0"/>
          <w:szCs w:val="21"/>
          <w:highlight w:val="none"/>
          <w14:textFill>
            <w14:solidFill>
              <w14:schemeClr w14:val="tx1"/>
            </w14:solidFill>
          </w14:textFill>
        </w:rPr>
        <w:t>个人专用劳保用品。</w:t>
      </w:r>
    </w:p>
    <w:p w14:paraId="38941DC0">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7、</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派驻现场的人员根据各项目点设备设施配套情况，持有对应操作证等特种作业资格证书（如：市区厂众源移动式（含一二期和三期）</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长安新区众源移动式</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温塘二期、横沥东坑二期、常平东二期、常平西二期、黄江梅塘南部厂、沙田二期、虎门宁洲三期、塘厦白泥湖项目、凤岗竹塘三期、清溪厦坭二期</w:t>
      </w:r>
      <w:r>
        <w:rPr>
          <w:rFonts w:hint="eastAsia" w:ascii="宋体" w:hAnsi="宋体" w:eastAsia="宋体" w:cs="宋体"/>
          <w:bCs/>
          <w:color w:val="000000" w:themeColor="text1"/>
          <w:kern w:val="0"/>
          <w:szCs w:val="21"/>
          <w:highlight w:val="none"/>
          <w14:textFill>
            <w14:solidFill>
              <w14:schemeClr w14:val="tx1"/>
            </w14:solidFill>
          </w14:textFill>
        </w:rPr>
        <w:t>，需要使用叉车辅助生产，每个项目点需要配套不少于2名持有叉车操作证的人员）。合同履约过程中如有新要求，招标人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将</w:t>
      </w:r>
      <w:r>
        <w:rPr>
          <w:rFonts w:hint="eastAsia" w:ascii="宋体" w:hAnsi="宋体" w:eastAsia="宋体" w:cs="宋体"/>
          <w:bCs/>
          <w:color w:val="000000" w:themeColor="text1"/>
          <w:kern w:val="0"/>
          <w:szCs w:val="21"/>
          <w:highlight w:val="none"/>
          <w14:textFill>
            <w14:solidFill>
              <w14:schemeClr w14:val="tx1"/>
            </w14:solidFill>
          </w14:textFill>
        </w:rPr>
        <w:t>以书面形式通知</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w:t>
      </w:r>
    </w:p>
    <w:p w14:paraId="1FA7247C">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8、中标人应做好生产现场卫生工作，保证项目生产现场室内、外环境干净整洁，物品摆放整齐，无烟头污渍等，照明设施完好，道路通畅，生产设备设施的外立面简洁美观，无明显的破损及渗漏，无泥水、泥饼等跑、冒、滴、漏的现象。</w:t>
      </w:r>
    </w:p>
    <w:p w14:paraId="65633B15">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9、</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中标人应</w:t>
      </w:r>
      <w:r>
        <w:rPr>
          <w:rFonts w:hint="eastAsia" w:ascii="宋体" w:hAnsi="宋体" w:eastAsia="宋体" w:cs="宋体"/>
          <w:bCs/>
          <w:color w:val="000000" w:themeColor="text1"/>
          <w:kern w:val="0"/>
          <w:szCs w:val="21"/>
          <w:highlight w:val="none"/>
          <w14:textFill>
            <w14:solidFill>
              <w14:schemeClr w14:val="tx1"/>
            </w14:solidFill>
          </w14:textFill>
        </w:rPr>
        <w:t>接受和配合招标人及其上级主管部门对本项目的监督管理，服从招标人安全生产管理，如发现中标人未按招标人要求或执行内容不符合设计和规范要求行为的（包括但不限于系统操作不当、未按要求对设备进行维护等），招标人有权要求中标人限期改正，由此产生的费用由中标人全部承担。</w:t>
      </w:r>
    </w:p>
    <w:p w14:paraId="5E16D950">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应建立并维持一个具备同等资质的应急备援人员库（不少于3人），确保在任一项目点因人员缺岗或其他任何原因导致服务中断或可能中断时，能够在【 12 】小时内调配替补人员到位。如因</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原因导致服务中断，</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应在【 48 】小时内恢复生产。若</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未能在上述时限内恢复服务，</w:t>
      </w:r>
      <w:r>
        <w:rPr>
          <w:rFonts w:hint="eastAsia" w:ascii="宋体" w:hAnsi="宋体" w:eastAsia="宋体" w:cs="宋体"/>
          <w:bCs/>
          <w:color w:val="000000" w:themeColor="text1"/>
          <w:kern w:val="0"/>
          <w:szCs w:val="21"/>
          <w:highlight w:val="none"/>
          <w:lang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有权视为</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未按合同约定开展服务工作，按本</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Cs/>
          <w:color w:val="000000" w:themeColor="text1"/>
          <w:kern w:val="0"/>
          <w:szCs w:val="21"/>
          <w:highlight w:val="none"/>
          <w14:textFill>
            <w14:solidFill>
              <w14:schemeClr w14:val="tx1"/>
            </w14:solidFill>
          </w14:textFill>
        </w:rPr>
        <w:t>合同第九条第1款追究</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违约责任，并可临时委托第三方提供服务，因此产生的一切费用由</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承担，</w:t>
      </w:r>
      <w:r>
        <w:rPr>
          <w:rFonts w:hint="eastAsia" w:ascii="宋体" w:hAnsi="宋体" w:eastAsia="宋体" w:cs="宋体"/>
          <w:bCs/>
          <w:color w:val="000000" w:themeColor="text1"/>
          <w:kern w:val="0"/>
          <w:szCs w:val="21"/>
          <w:highlight w:val="none"/>
          <w:lang w:eastAsia="zh-CN"/>
          <w14:textFill>
            <w14:solidFill>
              <w14:schemeClr w14:val="tx1"/>
            </w14:solidFill>
          </w14:textFill>
        </w:rPr>
        <w:t>招标人</w:t>
      </w:r>
      <w:r>
        <w:rPr>
          <w:rFonts w:hint="eastAsia" w:ascii="宋体" w:hAnsi="宋体" w:eastAsia="宋体" w:cs="宋体"/>
          <w:bCs/>
          <w:color w:val="000000" w:themeColor="text1"/>
          <w:kern w:val="0"/>
          <w:szCs w:val="21"/>
          <w:highlight w:val="none"/>
          <w14:textFill>
            <w14:solidFill>
              <w14:schemeClr w14:val="tx1"/>
            </w14:solidFill>
          </w14:textFill>
        </w:rPr>
        <w:t>有权从应付</w:t>
      </w:r>
      <w:r>
        <w:rPr>
          <w:rFonts w:hint="eastAsia" w:ascii="宋体" w:hAnsi="宋体" w:eastAsia="宋体" w:cs="宋体"/>
          <w:bCs/>
          <w:color w:val="000000" w:themeColor="text1"/>
          <w:kern w:val="0"/>
          <w:szCs w:val="21"/>
          <w:highlight w:val="none"/>
          <w:lang w:eastAsia="zh-CN"/>
          <w14:textFill>
            <w14:solidFill>
              <w14:schemeClr w14:val="tx1"/>
            </w14:solidFill>
          </w14:textFill>
        </w:rPr>
        <w:t>中标人</w:t>
      </w:r>
      <w:r>
        <w:rPr>
          <w:rFonts w:hint="eastAsia" w:ascii="宋体" w:hAnsi="宋体" w:eastAsia="宋体" w:cs="宋体"/>
          <w:bCs/>
          <w:color w:val="000000" w:themeColor="text1"/>
          <w:kern w:val="0"/>
          <w:szCs w:val="21"/>
          <w:highlight w:val="none"/>
          <w14:textFill>
            <w14:solidFill>
              <w14:schemeClr w14:val="tx1"/>
            </w14:solidFill>
          </w14:textFill>
        </w:rPr>
        <w:t>的服务费或履约担保中直接抵扣。</w:t>
      </w:r>
    </w:p>
    <w:p w14:paraId="75BEB844">
      <w:pPr>
        <w:autoSpaceDE w:val="0"/>
        <w:autoSpaceDN w:val="0"/>
        <w:adjustRightInd w:val="0"/>
        <w:spacing w:line="360" w:lineRule="auto"/>
        <w:ind w:firstLine="420" w:firstLineChars="20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11</w:t>
      </w:r>
      <w:r>
        <w:rPr>
          <w:rFonts w:hint="eastAsia" w:ascii="宋体" w:hAnsi="宋体" w:eastAsia="宋体" w:cs="宋体"/>
          <w:bCs/>
          <w:color w:val="000000" w:themeColor="text1"/>
          <w:kern w:val="0"/>
          <w:szCs w:val="21"/>
          <w:highlight w:val="none"/>
          <w14:textFill>
            <w14:solidFill>
              <w14:schemeClr w14:val="tx1"/>
            </w14:solidFill>
          </w14:textFill>
        </w:rPr>
        <w:t>、其它属于本项目</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Cs/>
          <w:color w:val="000000" w:themeColor="text1"/>
          <w:kern w:val="0"/>
          <w:szCs w:val="21"/>
          <w:highlight w:val="none"/>
          <w14:textFill>
            <w14:solidFill>
              <w14:schemeClr w14:val="tx1"/>
            </w14:solidFill>
          </w14:textFill>
        </w:rPr>
        <w:t>范围内的招标人临时交办的</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Cs/>
          <w:color w:val="000000" w:themeColor="text1"/>
          <w:kern w:val="0"/>
          <w:szCs w:val="21"/>
          <w:highlight w:val="none"/>
          <w14:textFill>
            <w14:solidFill>
              <w14:schemeClr w14:val="tx1"/>
            </w14:solidFill>
          </w14:textFill>
        </w:rPr>
        <w:t>任务。</w:t>
      </w:r>
    </w:p>
    <w:p w14:paraId="4FE72CD2">
      <w:pPr>
        <w:autoSpaceDE w:val="0"/>
        <w:autoSpaceDN w:val="0"/>
        <w:adjustRightInd w:val="0"/>
        <w:spacing w:line="360" w:lineRule="auto"/>
        <w:ind w:firstLine="422" w:firstLineChars="200"/>
        <w:jc w:val="left"/>
        <w:outlineLvl w:val="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五、管理要求</w:t>
      </w:r>
    </w:p>
    <w:p w14:paraId="1D572857">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1、中标人应根据设备操作人员数量和项目情况，配备专门的项目管理人员，负责管理</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设备操作人员的日常事务，协调处理</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设备操作人员与招标人之间的关系。此外，每个已投产的项目，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安排1名现场生产班长驻点，负责统筹项目点内安全生产、</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中标人履约情况监督</w:t>
      </w:r>
      <w:r>
        <w:rPr>
          <w:rFonts w:hint="eastAsia" w:ascii="宋体" w:hAnsi="宋体" w:eastAsia="宋体" w:cs="宋体"/>
          <w:color w:val="000000" w:themeColor="text1"/>
          <w:kern w:val="0"/>
          <w:szCs w:val="21"/>
          <w:highlight w:val="none"/>
          <w14:textFill>
            <w14:solidFill>
              <w14:schemeClr w14:val="tx1"/>
            </w14:solidFill>
          </w14:textFill>
        </w:rPr>
        <w:t>、设备常规保养、药耗管控、仓库物资管控等工作，如涉及生产项目的设备操作或工艺调整的问题以招标人的现场生产班长指令为主。</w:t>
      </w:r>
    </w:p>
    <w:p w14:paraId="1B6C644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2、中标人收到招标人</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进场通知书</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后，应根据项目点生产情况，在10个工作日内安排充足的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设备操作人员，必须满足污水厂的污泥脱水需求，且不论项目点是否停产，需保持</w:t>
      </w:r>
      <w:r>
        <w:rPr>
          <w:rFonts w:hint="eastAsia" w:ascii="宋体" w:hAnsi="宋体" w:eastAsia="宋体" w:cs="宋体"/>
          <w:color w:val="000000" w:themeColor="text1"/>
          <w:kern w:val="0"/>
          <w:szCs w:val="21"/>
          <w:highlight w:val="none"/>
          <w:lang w:val="en-US" w:eastAsia="zh-CN"/>
          <w14:textFill>
            <w14:solidFill>
              <w14:schemeClr w14:val="tx1"/>
            </w14:solidFill>
          </w14:textFill>
        </w:rPr>
        <w:t>每个项目</w:t>
      </w:r>
      <w:r>
        <w:rPr>
          <w:rFonts w:hint="eastAsia" w:ascii="宋体" w:hAnsi="宋体" w:eastAsia="宋体" w:cs="宋体"/>
          <w:color w:val="000000" w:themeColor="text1"/>
          <w:kern w:val="0"/>
          <w:szCs w:val="21"/>
          <w:highlight w:val="none"/>
          <w14:textFill>
            <w14:solidFill>
              <w14:schemeClr w14:val="tx1"/>
            </w14:solidFill>
          </w14:textFill>
        </w:rPr>
        <w:t>24小时必须有人员值班，每班至少1人。</w:t>
      </w:r>
    </w:p>
    <w:p w14:paraId="6CD5803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3、中标人</w:t>
      </w:r>
      <w:r>
        <w:rPr>
          <w:rFonts w:hint="eastAsia" w:ascii="宋体" w:hAnsi="宋体" w:eastAsia="宋体" w:cs="宋体"/>
          <w:color w:val="000000" w:themeColor="text1"/>
          <w:szCs w:val="21"/>
          <w:highlight w:val="none"/>
          <w14:textFill>
            <w14:solidFill>
              <w14:schemeClr w14:val="tx1"/>
            </w14:solidFill>
          </w14:textFill>
        </w:rPr>
        <w:t>应按</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的要求连续不断的使用</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提供的污泥脱水减量设备进行生产，若</w:t>
      </w:r>
      <w:r>
        <w:rPr>
          <w:rFonts w:hint="eastAsia" w:ascii="宋体" w:hAnsi="宋体" w:eastAsia="宋体" w:cs="宋体"/>
          <w:color w:val="000000" w:themeColor="text1"/>
          <w:szCs w:val="21"/>
          <w:highlight w:val="none"/>
          <w:lang w:val="en-US" w:eastAsia="zh-CN"/>
          <w14:textFill>
            <w14:solidFill>
              <w14:schemeClr w14:val="tx1"/>
            </w14:solidFill>
          </w14:textFill>
        </w:rPr>
        <w:t>中标人</w:t>
      </w:r>
      <w:r>
        <w:rPr>
          <w:rFonts w:hint="eastAsia" w:ascii="宋体" w:hAnsi="宋体" w:eastAsia="宋体" w:cs="宋体"/>
          <w:color w:val="000000" w:themeColor="text1"/>
          <w:szCs w:val="21"/>
          <w:highlight w:val="none"/>
          <w14:textFill>
            <w14:solidFill>
              <w14:schemeClr w14:val="tx1"/>
            </w14:solidFill>
          </w14:textFill>
        </w:rPr>
        <w:t>出现人力不足时，</w:t>
      </w:r>
      <w:r>
        <w:rPr>
          <w:rFonts w:hint="eastAsia" w:ascii="宋体" w:hAnsi="宋体" w:eastAsia="宋体" w:cs="宋体"/>
          <w:color w:val="000000" w:themeColor="text1"/>
          <w:szCs w:val="21"/>
          <w:highlight w:val="none"/>
          <w:lang w:val="en-US" w:eastAsia="zh-CN"/>
          <w14:textFill>
            <w14:solidFill>
              <w14:schemeClr w14:val="tx1"/>
            </w14:solidFill>
          </w14:textFill>
        </w:rPr>
        <w:t>中标人</w:t>
      </w:r>
      <w:r>
        <w:rPr>
          <w:rFonts w:hint="eastAsia" w:ascii="宋体" w:hAnsi="宋体" w:eastAsia="宋体" w:cs="宋体"/>
          <w:color w:val="000000" w:themeColor="text1"/>
          <w:szCs w:val="21"/>
          <w:highlight w:val="none"/>
          <w14:textFill>
            <w14:solidFill>
              <w14:schemeClr w14:val="tx1"/>
            </w14:solidFill>
          </w14:textFill>
        </w:rPr>
        <w:t>有义务增加人员，以满足项目需求。</w:t>
      </w:r>
    </w:p>
    <w:p w14:paraId="146D1FF7">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4、招标人可根据实际情况或需求，对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服务时间</w:t>
      </w:r>
      <w:r>
        <w:rPr>
          <w:rFonts w:hint="eastAsia" w:ascii="宋体" w:hAnsi="宋体" w:eastAsia="宋体" w:cs="宋体"/>
          <w:color w:val="000000" w:themeColor="text1"/>
          <w:kern w:val="0"/>
          <w:szCs w:val="21"/>
          <w:highlight w:val="none"/>
          <w14:textFill>
            <w14:solidFill>
              <w14:schemeClr w14:val="tx1"/>
            </w14:solidFill>
          </w14:textFill>
        </w:rPr>
        <w:t>进行</w:t>
      </w:r>
      <w:r>
        <w:rPr>
          <w:rFonts w:hint="eastAsia" w:ascii="宋体" w:hAnsi="宋体" w:eastAsia="宋体" w:cs="宋体"/>
          <w:color w:val="000000" w:themeColor="text1"/>
          <w:kern w:val="0"/>
          <w:szCs w:val="21"/>
          <w:highlight w:val="none"/>
          <w:lang w:val="en-US" w:eastAsia="zh-CN"/>
          <w14:textFill>
            <w14:solidFill>
              <w14:schemeClr w14:val="tx1"/>
            </w14:solidFill>
          </w14:textFill>
        </w:rPr>
        <w:t>合理调整</w:t>
      </w:r>
      <w:r>
        <w:rPr>
          <w:rFonts w:hint="eastAsia" w:ascii="宋体" w:hAnsi="宋体" w:eastAsia="宋体" w:cs="宋体"/>
          <w:color w:val="000000" w:themeColor="text1"/>
          <w:kern w:val="0"/>
          <w:szCs w:val="21"/>
          <w:highlight w:val="none"/>
          <w14:textFill>
            <w14:solidFill>
              <w14:schemeClr w14:val="tx1"/>
            </w14:solidFill>
          </w14:textFill>
        </w:rPr>
        <w:t>，中标人必须服从，且</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设备操作人员必须符合招标人的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w:t>
      </w:r>
    </w:p>
    <w:p w14:paraId="390B729C">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5、招标人有权要求调换不适合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要求的配合服务设备操作人员。在服务期间，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为保持服务的连续性，</w:t>
      </w:r>
      <w:r>
        <w:rPr>
          <w:rFonts w:hint="eastAsia" w:ascii="宋体" w:hAnsi="宋体" w:eastAsia="宋体" w:cs="宋体"/>
          <w:color w:val="000000" w:themeColor="text1"/>
          <w:kern w:val="0"/>
          <w:szCs w:val="21"/>
          <w:highlight w:val="none"/>
          <w14:textFill>
            <w14:solidFill>
              <w14:schemeClr w14:val="tx1"/>
            </w14:solidFill>
          </w14:textFill>
        </w:rPr>
        <w:t>未经招标人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书面</w:t>
      </w:r>
      <w:r>
        <w:rPr>
          <w:rFonts w:hint="eastAsia" w:ascii="宋体" w:hAnsi="宋体" w:eastAsia="宋体" w:cs="宋体"/>
          <w:color w:val="000000" w:themeColor="text1"/>
          <w:kern w:val="0"/>
          <w:szCs w:val="21"/>
          <w:highlight w:val="none"/>
          <w14:textFill>
            <w14:solidFill>
              <w14:schemeClr w14:val="tx1"/>
            </w14:solidFill>
          </w14:textFill>
        </w:rPr>
        <w:t>同意，中标人不得随意更换</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w:t>
      </w:r>
      <w:r>
        <w:rPr>
          <w:rFonts w:hint="eastAsia" w:ascii="宋体" w:hAnsi="宋体" w:eastAsia="宋体" w:cs="宋体"/>
          <w:color w:val="000000" w:themeColor="text1"/>
          <w:kern w:val="0"/>
          <w:szCs w:val="21"/>
          <w:highlight w:val="none"/>
          <w:lang w:val="en-US" w:eastAsia="zh-CN"/>
          <w14:textFill>
            <w14:solidFill>
              <w14:schemeClr w14:val="tx1"/>
            </w14:solidFill>
          </w14:textFill>
        </w:rPr>
        <w:t>如有配合服务设备操作人员离职需更换，中标人应提前10日</w:t>
      </w:r>
      <w:r>
        <w:rPr>
          <w:rFonts w:hint="eastAsia" w:ascii="宋体" w:hAnsi="宋体" w:eastAsia="宋体" w:cs="宋体"/>
          <w:color w:val="000000" w:themeColor="text1"/>
          <w:kern w:val="0"/>
          <w:szCs w:val="21"/>
          <w:highlight w:val="none"/>
          <w14:textFill>
            <w14:solidFill>
              <w14:schemeClr w14:val="tx1"/>
            </w14:solidFill>
          </w14:textFill>
        </w:rPr>
        <w:t>告知招标人。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设备操作人员因为调走、辞职、被中标人辞退或其他原因导致人手不足的，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必须在3个工作日内补充</w:t>
      </w:r>
      <w:r>
        <w:rPr>
          <w:rFonts w:hint="eastAsia" w:ascii="宋体" w:hAnsi="宋体" w:eastAsia="宋体" w:cs="宋体"/>
          <w:color w:val="000000" w:themeColor="text1"/>
          <w:kern w:val="0"/>
          <w:szCs w:val="21"/>
          <w:highlight w:val="none"/>
          <w:lang w:val="en-US" w:eastAsia="zh-CN"/>
          <w14:textFill>
            <w14:solidFill>
              <w14:schemeClr w14:val="tx1"/>
            </w14:solidFill>
          </w14:textFill>
        </w:rPr>
        <w:t>符合招标人要求的配合服务设备操作</w:t>
      </w:r>
      <w:r>
        <w:rPr>
          <w:rFonts w:hint="eastAsia" w:ascii="宋体" w:hAnsi="宋体" w:eastAsia="宋体" w:cs="宋体"/>
          <w:color w:val="000000" w:themeColor="text1"/>
          <w:kern w:val="0"/>
          <w:szCs w:val="21"/>
          <w:highlight w:val="none"/>
          <w14:textFill>
            <w14:solidFill>
              <w14:schemeClr w14:val="tx1"/>
            </w14:solidFill>
          </w14:textFill>
        </w:rPr>
        <w:t>人员以满足项目生产需要。</w:t>
      </w:r>
    </w:p>
    <w:p w14:paraId="4AD21DC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6、由于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非招标人原因造成配合服务设备操作人员的人身或财产损害，所产生的损失及后果由中标人承担。</w:t>
      </w:r>
      <w:r>
        <w:rPr>
          <w:rFonts w:hint="eastAsia" w:ascii="宋体" w:hAnsi="宋体" w:eastAsia="宋体" w:cs="宋体"/>
          <w:color w:val="000000" w:themeColor="text1"/>
          <w:kern w:val="0"/>
          <w:szCs w:val="21"/>
          <w:highlight w:val="none"/>
          <w14:textFill>
            <w14:solidFill>
              <w14:schemeClr w14:val="tx1"/>
            </w14:solidFill>
          </w14:textFill>
        </w:rPr>
        <w:t>因</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设备操作人员蓄意破坏招标人现场设备设施、违反相关管理规定造成招标人损失的，视为中标人严重违约，</w:t>
      </w:r>
      <w:r>
        <w:rPr>
          <w:rFonts w:hint="eastAsia" w:ascii="宋体" w:hAnsi="宋体" w:eastAsia="宋体" w:cs="宋体"/>
          <w:color w:val="000000" w:themeColor="text1"/>
          <w:kern w:val="0"/>
          <w:szCs w:val="21"/>
          <w:highlight w:val="none"/>
          <w:lang w:val="en-US" w:eastAsia="zh-CN"/>
          <w14:textFill>
            <w14:solidFill>
              <w14:schemeClr w14:val="tx1"/>
            </w14:solidFill>
          </w14:textFill>
        </w:rPr>
        <w:t>由中标人承担相应的违约责任，并赔偿招标人损失</w:t>
      </w:r>
      <w:r>
        <w:rPr>
          <w:rFonts w:hint="eastAsia" w:ascii="宋体" w:hAnsi="宋体" w:eastAsia="宋体" w:cs="宋体"/>
          <w:color w:val="000000" w:themeColor="text1"/>
          <w:kern w:val="0"/>
          <w:szCs w:val="21"/>
          <w:highlight w:val="none"/>
          <w14:textFill>
            <w14:solidFill>
              <w14:schemeClr w14:val="tx1"/>
            </w14:solidFill>
          </w14:textFill>
        </w:rPr>
        <w:t>。</w:t>
      </w:r>
    </w:p>
    <w:p w14:paraId="06E008B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7、中标人项目管理人员应配合招标人对各生产项目的药剂使用量、物资使用量及电耗进行监管，杜绝不必要的浪费。</w:t>
      </w:r>
    </w:p>
    <w:p w14:paraId="0389C570">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8、中标人对安排到招标人现场的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设备操作人员，需建立花名册（包含姓名、性别、身份证号、联系电话、人员健康情况是否满足生产需求）。</w:t>
      </w:r>
      <w:r>
        <w:rPr>
          <w:rFonts w:hint="eastAsia" w:ascii="宋体" w:hAnsi="宋体" w:eastAsia="宋体" w:cs="宋体"/>
          <w:color w:val="000000" w:themeColor="text1"/>
          <w:szCs w:val="21"/>
          <w:highlight w:val="none"/>
          <w:lang w:val="en-US" w:eastAsia="zh-CN"/>
          <w14:textFill>
            <w14:solidFill>
              <w14:schemeClr w14:val="tx1"/>
            </w14:solidFill>
          </w14:textFill>
        </w:rPr>
        <w:t>中标人</w:t>
      </w:r>
      <w:r>
        <w:rPr>
          <w:rFonts w:hint="eastAsia" w:ascii="宋体" w:hAnsi="宋体" w:eastAsia="宋体" w:cs="宋体"/>
          <w:color w:val="000000" w:themeColor="text1"/>
          <w:szCs w:val="21"/>
          <w:highlight w:val="none"/>
          <w14:textFill>
            <w14:solidFill>
              <w14:schemeClr w14:val="tx1"/>
            </w14:solidFill>
          </w14:textFill>
        </w:rPr>
        <w:t>需在派驻设备操作人员到项目点的</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日内，将</w:t>
      </w:r>
      <w:r>
        <w:rPr>
          <w:rFonts w:hint="eastAsia" w:ascii="宋体" w:hAnsi="宋体" w:eastAsia="宋体" w:cs="宋体"/>
          <w:color w:val="000000" w:themeColor="text1"/>
          <w:szCs w:val="21"/>
          <w:highlight w:val="none"/>
          <w:lang w:val="en-US" w:eastAsia="zh-CN"/>
          <w14:textFill>
            <w14:solidFill>
              <w14:schemeClr w14:val="tx1"/>
            </w14:solidFill>
          </w14:textFill>
        </w:rPr>
        <w:t>进场人员花名册</w:t>
      </w:r>
      <w:r>
        <w:rPr>
          <w:rFonts w:hint="eastAsia" w:ascii="宋体" w:hAnsi="宋体" w:eastAsia="宋体" w:cs="宋体"/>
          <w:color w:val="000000" w:themeColor="text1"/>
          <w:szCs w:val="21"/>
          <w:highlight w:val="none"/>
          <w14:textFill>
            <w14:solidFill>
              <w14:schemeClr w14:val="tx1"/>
            </w14:solidFill>
          </w14:textFill>
        </w:rPr>
        <w:t>交给</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报备。</w:t>
      </w:r>
    </w:p>
    <w:p w14:paraId="04237DF5">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9、中标人应</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按招标人要求，</w:t>
      </w:r>
      <w:r>
        <w:rPr>
          <w:rFonts w:hint="eastAsia" w:ascii="宋体" w:hAnsi="宋体" w:eastAsia="宋体" w:cs="宋体"/>
          <w:color w:val="000000" w:themeColor="text1"/>
          <w:kern w:val="0"/>
          <w:szCs w:val="21"/>
          <w:highlight w:val="none"/>
          <w14:textFill>
            <w14:solidFill>
              <w14:schemeClr w14:val="tx1"/>
            </w14:solidFill>
          </w14:textFill>
        </w:rPr>
        <w:t>要求</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设备操作人员严格遵守招标人的规章制度和管理规范规程、忠于职守、文明礼貌、严格遵守劳动纪律、服从和执行招标人做出的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安排，</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中标人应</w:t>
      </w:r>
      <w:r>
        <w:rPr>
          <w:rFonts w:hint="eastAsia" w:ascii="宋体" w:hAnsi="宋体" w:eastAsia="宋体" w:cs="宋体"/>
          <w:color w:val="000000" w:themeColor="text1"/>
          <w:kern w:val="0"/>
          <w:szCs w:val="21"/>
          <w:highlight w:val="none"/>
          <w14:textFill>
            <w14:solidFill>
              <w14:schemeClr w14:val="tx1"/>
            </w14:solidFill>
          </w14:textFill>
        </w:rPr>
        <w:t>接受招标人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管理人员</w:t>
      </w:r>
      <w:r>
        <w:rPr>
          <w:rFonts w:hint="eastAsia" w:ascii="宋体" w:hAnsi="宋体" w:eastAsia="宋体" w:cs="宋体"/>
          <w:color w:val="000000" w:themeColor="text1"/>
          <w:kern w:val="0"/>
          <w:szCs w:val="21"/>
          <w:highlight w:val="none"/>
          <w14:textFill>
            <w14:solidFill>
              <w14:schemeClr w14:val="tx1"/>
            </w14:solidFill>
          </w14:textFill>
        </w:rPr>
        <w:t>的检查监督。</w:t>
      </w:r>
    </w:p>
    <w:p w14:paraId="6FE7BF13">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10、中标人应教育、督促</w:t>
      </w:r>
      <w:r>
        <w:rPr>
          <w:rFonts w:hint="eastAsia" w:ascii="宋体" w:hAnsi="宋体" w:eastAsia="宋体" w:cs="宋体"/>
          <w:color w:val="000000" w:themeColor="text1"/>
          <w:kern w:val="0"/>
          <w:szCs w:val="21"/>
          <w:highlight w:val="none"/>
          <w:lang w:val="en-US" w:eastAsia="zh-CN"/>
          <w14:textFill>
            <w14:solidFill>
              <w14:schemeClr w14:val="tx1"/>
            </w14:solidFill>
          </w14:textFill>
        </w:rPr>
        <w:t>配合服务</w:t>
      </w:r>
      <w:r>
        <w:rPr>
          <w:rFonts w:hint="eastAsia" w:ascii="宋体" w:hAnsi="宋体" w:eastAsia="宋体" w:cs="宋体"/>
          <w:color w:val="000000" w:themeColor="text1"/>
          <w:kern w:val="0"/>
          <w:szCs w:val="21"/>
          <w:highlight w:val="none"/>
          <w14:textFill>
            <w14:solidFill>
              <w14:schemeClr w14:val="tx1"/>
            </w14:solidFill>
          </w14:textFill>
        </w:rPr>
        <w:t>设备操作人员不得以任何形式向他人提供或泄露招标人的商业秘密，保证招标人利益不受损失，对招标人各类资料、业务数据等应按照招标人相关文件及工作要求执行保密工作。中标人在提供服务期间获悉的招标人信息，负有保密义务。本保密义务不因服务合同的解除或终止而失效，直至保密信息被依法公开为止。</w:t>
      </w:r>
    </w:p>
    <w:p w14:paraId="68999C5D">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11、中标人须接受招标人对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w:t>
      </w:r>
      <w:r>
        <w:rPr>
          <w:rFonts w:hint="eastAsia" w:ascii="宋体" w:hAnsi="宋体" w:eastAsia="宋体" w:cs="宋体"/>
          <w:color w:val="000000" w:themeColor="text1"/>
          <w:kern w:val="0"/>
          <w:szCs w:val="21"/>
          <w:highlight w:val="none"/>
          <w14:textFill>
            <w14:solidFill>
              <w14:schemeClr w14:val="tx1"/>
            </w14:solidFill>
          </w14:textFill>
        </w:rPr>
        <w:t>提供的服务质量检查，且须保证能随时接受行业主管部门的质量考核，并对招标人提出的服务质量改进建议予以及时响应和整改。</w:t>
      </w:r>
    </w:p>
    <w:p w14:paraId="78F5F970">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中标人应定期向招标人汇报服务项目的相关事项，</w:t>
      </w:r>
      <w:r>
        <w:rPr>
          <w:rFonts w:hint="eastAsia" w:ascii="宋体" w:hAnsi="宋体" w:eastAsia="宋体" w:cs="宋体"/>
          <w:color w:val="000000" w:themeColor="text1"/>
          <w:kern w:val="0"/>
          <w:szCs w:val="21"/>
          <w:highlight w:val="none"/>
          <w14:textFill>
            <w14:solidFill>
              <w14:schemeClr w14:val="tx1"/>
            </w14:solidFill>
          </w14:textFill>
        </w:rPr>
        <w:t>如发生突发性事件，中标人应及时向招标人通报。</w:t>
      </w:r>
    </w:p>
    <w:p w14:paraId="3B78FFB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、中标人应严格执行《中华人民共和国安全生产法》、《企业安全生产标准化基本规范》（</w:t>
      </w:r>
      <w:r>
        <w:rPr>
          <w:rFonts w:hint="eastAsia" w:ascii="宋体" w:hAnsi="宋体" w:eastAsia="宋体" w:cs="宋体"/>
          <w:color w:val="000000" w:themeColor="text1"/>
          <w:kern w:val="0"/>
          <w:szCs w:val="21"/>
          <w:highlight w:val="none"/>
          <w14:textFill>
            <w14:solidFill>
              <w14:schemeClr w14:val="tx1"/>
            </w14:solidFill>
          </w14:textFill>
        </w:rPr>
        <w:fldChar w:fldCharType="begin"/>
      </w:r>
      <w:r>
        <w:rPr>
          <w:rFonts w:hint="eastAsia" w:ascii="宋体" w:hAnsi="宋体" w:eastAsia="宋体" w:cs="宋体"/>
          <w:color w:val="000000" w:themeColor="text1"/>
          <w:kern w:val="0"/>
          <w:szCs w:val="21"/>
          <w:highlight w:val="none"/>
          <w14:textFill>
            <w14:solidFill>
              <w14:schemeClr w14:val="tx1"/>
            </w14:solidFill>
          </w14:textFill>
        </w:rPr>
        <w:instrText xml:space="preserve"> HYPERLINK "http://www.csres.com/detail/292641.html" \t "http://www.csres.com/detail/_blank" </w:instrText>
      </w:r>
      <w:r>
        <w:rPr>
          <w:rFonts w:hint="eastAsia" w:ascii="宋体" w:hAnsi="宋体" w:eastAsia="宋体" w:cs="宋体"/>
          <w:color w:val="000000" w:themeColor="text1"/>
          <w:kern w:val="0"/>
          <w:szCs w:val="21"/>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14:textFill>
            <w14:solidFill>
              <w14:schemeClr w14:val="tx1"/>
            </w14:solidFill>
          </w14:textFill>
        </w:rPr>
        <w:t>GB/T 33000-2016</w:t>
      </w:r>
      <w:r>
        <w:rPr>
          <w:rFonts w:hint="eastAsia" w:ascii="宋体" w:hAnsi="宋体" w:eastAsia="宋体" w:cs="宋体"/>
          <w:color w:val="000000" w:themeColor="text1"/>
          <w:kern w:val="0"/>
          <w:szCs w:val="21"/>
          <w:highlight w:val="none"/>
          <w14:textFill>
            <w14:solidFill>
              <w14:schemeClr w14:val="tx1"/>
            </w14:solidFill>
          </w14:textFill>
        </w:rPr>
        <w:fldChar w:fldCharType="end"/>
      </w:r>
      <w:r>
        <w:rPr>
          <w:rFonts w:hint="eastAsia" w:ascii="宋体" w:hAnsi="宋体" w:eastAsia="宋体" w:cs="宋体"/>
          <w:color w:val="000000" w:themeColor="text1"/>
          <w:kern w:val="0"/>
          <w:szCs w:val="21"/>
          <w:highlight w:val="none"/>
          <w14:textFill>
            <w14:solidFill>
              <w14:schemeClr w14:val="tx1"/>
            </w14:solidFill>
          </w14:textFill>
        </w:rPr>
        <w:t>）等国家有关安全生产和劳动保护的规范和标准，贯彻执行招标人各项安全生产管理规章制度，熟知作业场所和工作岗位存在的危险因素、防范措施以及事故应急措施，并制定相应的操作规程。</w:t>
      </w:r>
    </w:p>
    <w:p w14:paraId="59E62326">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、中标人应当以自身的技术和劳动力完成项目的主要工作，未经招标人书面同意，不得将承包项目分包或转包，否则视为中标人违约，招标人有权解除服务合同。</w:t>
      </w:r>
    </w:p>
    <w:p w14:paraId="5C18C18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与</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安排的设备操作人员不存在任何劳动或劳务关系，</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应对其安排的设备操作人员人身、财产安全及相关行为负完全责任，并提供必要的劳动保护条件等，对其人员的意外工伤、死亡承担责任，负责处理与其人员产生的劳动争议，并承担有关追讨、诉讼及赔偿等费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无须对这些意外工伤、死亡或劳动争议承担任何责任。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应按时足额向设备操作人员发放工资报酬，若因</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未足额发放工资报酬而导致设备操作人员数量不能满足项目要求的，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应立即补充安排充足的服务人员。</w:t>
      </w:r>
    </w:p>
    <w:p w14:paraId="134F9EE6">
      <w:pPr>
        <w:spacing w:after="120"/>
        <w:ind w:firstLine="210" w:firstLineChars="100"/>
        <w:outlineLvl w:val="9"/>
        <w:rPr>
          <w:rFonts w:hint="eastAsia" w:ascii="宋体" w:hAnsi="宋体" w:eastAsia="宋体" w:cs="宋体"/>
          <w:color w:val="000000" w:themeColor="text1"/>
          <w:szCs w:val="21"/>
          <w:highlight w:val="none"/>
          <w14:textFill>
            <w14:solidFill>
              <w14:schemeClr w14:val="tx1"/>
            </w14:solidFill>
          </w14:textFill>
        </w:rPr>
      </w:pPr>
    </w:p>
    <w:p w14:paraId="2548B4D9">
      <w:pPr>
        <w:widowControl w:val="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59F42DB0">
      <w:pPr>
        <w:widowControl w:val="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46CACEFA">
      <w:pPr>
        <w:widowControl w:val="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541CDA99">
      <w:pPr>
        <w:spacing w:after="120"/>
        <w:ind w:firstLine="210" w:firstLineChars="100"/>
        <w:outlineLvl w:val="9"/>
        <w:rPr>
          <w:rFonts w:hint="eastAsia" w:ascii="宋体" w:hAnsi="宋体" w:eastAsia="宋体" w:cs="宋体"/>
          <w:color w:val="000000" w:themeColor="text1"/>
          <w:szCs w:val="21"/>
          <w:highlight w:val="none"/>
          <w14:textFill>
            <w14:solidFill>
              <w14:schemeClr w14:val="tx1"/>
            </w14:solidFill>
          </w14:textFill>
        </w:rPr>
      </w:pPr>
    </w:p>
    <w:p w14:paraId="1B4F9E13">
      <w:pPr>
        <w:pageBreakBefore/>
        <w:spacing w:after="120"/>
        <w:ind w:firstLine="210" w:firstLineChars="10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附件1：污泥脱水减量配合服务项目信</w:t>
      </w:r>
      <w:bookmarkStart w:id="458" w:name="OLE_LINK4"/>
      <w:r>
        <w:rPr>
          <w:rFonts w:hint="eastAsia" w:ascii="宋体" w:hAnsi="宋体" w:eastAsia="宋体" w:cs="宋体"/>
          <w:color w:val="000000" w:themeColor="text1"/>
          <w:szCs w:val="24"/>
          <w:highlight w:val="none"/>
          <w14:textFill>
            <w14:solidFill>
              <w14:schemeClr w14:val="tx1"/>
            </w14:solidFill>
          </w14:textFill>
        </w:rPr>
        <w:t>息</w:t>
      </w:r>
      <w:bookmarkEnd w:id="458"/>
      <w:r>
        <w:rPr>
          <w:rFonts w:hint="eastAsia" w:ascii="宋体" w:hAnsi="宋体" w:eastAsia="宋体" w:cs="宋体"/>
          <w:color w:val="000000" w:themeColor="text1"/>
          <w:szCs w:val="24"/>
          <w:highlight w:val="none"/>
          <w14:textFill>
            <w14:solidFill>
              <w14:schemeClr w14:val="tx1"/>
            </w14:solidFill>
          </w14:textFill>
        </w:rPr>
        <w:t>表</w:t>
      </w:r>
    </w:p>
    <w:p w14:paraId="0E8A5036">
      <w:pPr>
        <w:spacing w:after="120"/>
        <w:ind w:firstLine="210" w:firstLineChars="100"/>
        <w:outlineLvl w:val="9"/>
        <w:rPr>
          <w:rFonts w:hint="eastAsia" w:hAnsi="宋体"/>
          <w:b/>
          <w:color w:val="000000" w:themeColor="text1"/>
          <w:szCs w:val="18"/>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440170" cy="5523230"/>
            <wp:effectExtent l="0" t="0" r="1778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6440170" cy="5523230"/>
                    </a:xfrm>
                    <a:prstGeom prst="rect">
                      <a:avLst/>
                    </a:prstGeom>
                    <a:noFill/>
                    <a:ln>
                      <a:noFill/>
                    </a:ln>
                  </pic:spPr>
                </pic:pic>
              </a:graphicData>
            </a:graphic>
          </wp:inline>
        </w:drawing>
      </w:r>
    </w:p>
    <w:p w14:paraId="49B5BCE2">
      <w:pPr>
        <w:pageBreakBefore/>
        <w:spacing w:after="120"/>
        <w:ind w:firstLine="210" w:firstLineChars="100"/>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附件2</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设备类型及操作主体</w:t>
      </w:r>
    </w:p>
    <w:p w14:paraId="37B53432">
      <w:pPr>
        <w:autoSpaceDE w:val="0"/>
        <w:autoSpaceDN w:val="0"/>
        <w:adjustRightInd w:val="0"/>
        <w:spacing w:line="360" w:lineRule="auto"/>
        <w:jc w:val="center"/>
        <w:outlineLvl w:val="9"/>
        <w:rPr>
          <w:rFonts w:hint="default" w:ascii="宋体" w:hAnsi="宋体" w:eastAsia="宋体" w:cs="宋体"/>
          <w:b/>
          <w:color w:val="000000" w:themeColor="text1"/>
          <w:kern w:val="0"/>
          <w:sz w:val="32"/>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21"/>
          <w:highlight w:val="none"/>
          <w:lang w:val="en-US" w:eastAsia="zh-CN"/>
          <w14:textFill>
            <w14:solidFill>
              <w14:schemeClr w14:val="tx1"/>
            </w14:solidFill>
          </w14:textFill>
        </w:rPr>
        <w:t>设备类型及操作主体</w:t>
      </w:r>
    </w:p>
    <w:tbl>
      <w:tblPr>
        <w:tblStyle w:val="3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103"/>
        <w:gridCol w:w="1985"/>
      </w:tblGrid>
      <w:tr w14:paraId="5CF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552" w:type="dxa"/>
            <w:vAlign w:val="center"/>
          </w:tcPr>
          <w:p w14:paraId="0ABB4A5C">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工艺段</w:t>
            </w:r>
          </w:p>
        </w:tc>
        <w:tc>
          <w:tcPr>
            <w:tcW w:w="5103" w:type="dxa"/>
            <w:vAlign w:val="center"/>
          </w:tcPr>
          <w:p w14:paraId="5284570D">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设备类型</w:t>
            </w:r>
          </w:p>
        </w:tc>
        <w:tc>
          <w:tcPr>
            <w:tcW w:w="1985" w:type="dxa"/>
            <w:vAlign w:val="center"/>
          </w:tcPr>
          <w:p w14:paraId="558F244F">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操作主体</w:t>
            </w:r>
          </w:p>
        </w:tc>
      </w:tr>
      <w:tr w14:paraId="40E5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5B753C64">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浓缩调理阶段（存在重力浓缩和机械浓缩两种形式，因厂而异）</w:t>
            </w:r>
          </w:p>
        </w:tc>
        <w:tc>
          <w:tcPr>
            <w:tcW w:w="5103" w:type="dxa"/>
            <w:vAlign w:val="center"/>
          </w:tcPr>
          <w:p w14:paraId="2E7F804C">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机械浓缩设备（含叠螺浓缩机、带式浓缩机、转鼓浓缩机、离心浓缩机）、调理搅拌器、</w:t>
            </w:r>
            <w:r>
              <w:rPr>
                <w:rFonts w:hint="eastAsia" w:ascii="宋体" w:hAnsi="宋体" w:eastAsia="宋体" w:cs="宋体"/>
                <w:color w:val="000000" w:themeColor="text1"/>
                <w:sz w:val="21"/>
                <w:szCs w:val="21"/>
                <w:highlight w:val="none"/>
                <w14:textFill>
                  <w14:solidFill>
                    <w14:schemeClr w14:val="tx1"/>
                  </w14:solidFill>
                </w14:textFill>
              </w:rPr>
              <w:t>潜水泵、离心泵、耐腐蚀加药泵及PAM药剂配制机等</w:t>
            </w:r>
          </w:p>
        </w:tc>
        <w:tc>
          <w:tcPr>
            <w:tcW w:w="1985" w:type="dxa"/>
            <w:vAlign w:val="center"/>
          </w:tcPr>
          <w:p w14:paraId="16CEFCDA">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w:t>
            </w:r>
          </w:p>
        </w:tc>
      </w:tr>
      <w:tr w14:paraId="6A7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52" w:type="dxa"/>
            <w:vAlign w:val="center"/>
          </w:tcPr>
          <w:p w14:paraId="0A2B4529">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进料压榨阶段</w:t>
            </w:r>
          </w:p>
        </w:tc>
        <w:tc>
          <w:tcPr>
            <w:tcW w:w="5103" w:type="dxa"/>
            <w:vAlign w:val="center"/>
          </w:tcPr>
          <w:p w14:paraId="0BBC90AE">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板框压滤机、热泵（热水压榨的项目点使用）、螺杆泵、柱塞泵、压榨泵</w:t>
            </w:r>
          </w:p>
        </w:tc>
        <w:tc>
          <w:tcPr>
            <w:tcW w:w="1985" w:type="dxa"/>
            <w:vAlign w:val="center"/>
          </w:tcPr>
          <w:p w14:paraId="6ADF7A55">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w:t>
            </w:r>
          </w:p>
        </w:tc>
      </w:tr>
      <w:tr w14:paraId="77E6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499A7284">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卸泥仓储及装车外运阶段（泥斗存储和泥仓存储两种形式，因厂而异）</w:t>
            </w:r>
          </w:p>
        </w:tc>
        <w:tc>
          <w:tcPr>
            <w:tcW w:w="5103" w:type="dxa"/>
            <w:vAlign w:val="center"/>
          </w:tcPr>
          <w:p w14:paraId="3C240B73">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如使用泥斗:振动器、泥仓口启闭机构、抽湿机等；</w:t>
            </w:r>
          </w:p>
          <w:p w14:paraId="40CFC4A3">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如使用泥仓：叉车、抽湿机等。</w:t>
            </w:r>
          </w:p>
        </w:tc>
        <w:tc>
          <w:tcPr>
            <w:tcW w:w="1985" w:type="dxa"/>
            <w:vAlign w:val="center"/>
          </w:tcPr>
          <w:p w14:paraId="4459DE32">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w:t>
            </w:r>
          </w:p>
        </w:tc>
      </w:tr>
      <w:tr w14:paraId="2D02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552" w:type="dxa"/>
            <w:vAlign w:val="center"/>
          </w:tcPr>
          <w:p w14:paraId="0645A5D4">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含水率自查</w:t>
            </w:r>
          </w:p>
        </w:tc>
        <w:tc>
          <w:tcPr>
            <w:tcW w:w="5103" w:type="dxa"/>
            <w:vAlign w:val="center"/>
          </w:tcPr>
          <w:p w14:paraId="243F5209">
            <w:pPr>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含水率检测仪</w:t>
            </w:r>
          </w:p>
        </w:tc>
        <w:tc>
          <w:tcPr>
            <w:tcW w:w="1985" w:type="dxa"/>
            <w:vAlign w:val="center"/>
          </w:tcPr>
          <w:p w14:paraId="01D23475">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w:t>
            </w:r>
            <w:r>
              <w:rPr>
                <w:rFonts w:hint="eastAsia" w:ascii="宋体" w:hAnsi="宋体" w:eastAsia="宋体" w:cs="宋体"/>
                <w:color w:val="000000" w:themeColor="text1"/>
                <w:sz w:val="21"/>
                <w:szCs w:val="21"/>
                <w:highlight w:val="none"/>
                <w14:textFill>
                  <w14:solidFill>
                    <w14:schemeClr w14:val="tx1"/>
                  </w14:solidFill>
                </w14:textFill>
              </w:rPr>
              <w:t>标人和中标人共同完成</w:t>
            </w:r>
          </w:p>
        </w:tc>
      </w:tr>
    </w:tbl>
    <w:p w14:paraId="4103ABD5">
      <w:pPr>
        <w:pageBreakBefore/>
        <w:spacing w:after="120"/>
        <w:ind w:firstLine="210" w:firstLineChars="100"/>
        <w:outlineLvl w:val="9"/>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附件</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：履约评价表</w:t>
      </w:r>
    </w:p>
    <w:p w14:paraId="485054E8">
      <w:pPr>
        <w:autoSpaceDE w:val="0"/>
        <w:autoSpaceDN w:val="0"/>
        <w:adjustRightInd w:val="0"/>
        <w:spacing w:line="360" w:lineRule="auto"/>
        <w:jc w:val="center"/>
        <w:outlineLvl w:val="9"/>
        <w:rPr>
          <w:rFonts w:ascii="宋体" w:hAnsi="宋体" w:eastAsia="宋体" w:cs="宋体"/>
          <w:b/>
          <w:color w:val="000000" w:themeColor="text1"/>
          <w:kern w:val="0"/>
          <w:sz w:val="32"/>
          <w:szCs w:val="21"/>
          <w:highlight w:val="none"/>
          <w14:textFill>
            <w14:solidFill>
              <w14:schemeClr w14:val="tx1"/>
            </w14:solidFill>
          </w14:textFill>
        </w:rPr>
      </w:pPr>
      <w:r>
        <w:rPr>
          <w:rFonts w:hint="eastAsia" w:ascii="宋体" w:hAnsi="宋体" w:eastAsia="宋体" w:cs="宋体"/>
          <w:b/>
          <w:color w:val="000000" w:themeColor="text1"/>
          <w:kern w:val="0"/>
          <w:sz w:val="32"/>
          <w:szCs w:val="21"/>
          <w:highlight w:val="none"/>
          <w14:textFill>
            <w14:solidFill>
              <w14:schemeClr w14:val="tx1"/>
            </w14:solidFill>
          </w14:textFill>
        </w:rPr>
        <w:t>履约评价表</w:t>
      </w:r>
    </w:p>
    <w:tbl>
      <w:tblPr>
        <w:tblStyle w:val="38"/>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85"/>
        <w:gridCol w:w="2514"/>
        <w:gridCol w:w="2272"/>
        <w:gridCol w:w="653"/>
        <w:gridCol w:w="809"/>
        <w:gridCol w:w="797"/>
        <w:gridCol w:w="949"/>
        <w:gridCol w:w="949"/>
      </w:tblGrid>
      <w:tr w14:paraId="0BDF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40EA3CB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甲方名称</w:t>
            </w:r>
          </w:p>
        </w:tc>
        <w:tc>
          <w:tcPr>
            <w:tcW w:w="4176" w:type="pct"/>
            <w:gridSpan w:val="7"/>
            <w:vAlign w:val="center"/>
          </w:tcPr>
          <w:p w14:paraId="759C7886">
            <w:pPr>
              <w:widowControl/>
              <w:snapToGrid w:val="0"/>
              <w:jc w:val="left"/>
              <w:outlineLvl w:val="9"/>
              <w:rPr>
                <w:rFonts w:ascii="宋体" w:hAnsi="宋体" w:eastAsia="宋体" w:cs="宋体"/>
                <w:color w:val="000000" w:themeColor="text1"/>
                <w:kern w:val="0"/>
                <w:szCs w:val="21"/>
                <w:highlight w:val="none"/>
                <w14:textFill>
                  <w14:solidFill>
                    <w14:schemeClr w14:val="tx1"/>
                  </w14:solidFill>
                </w14:textFill>
              </w:rPr>
            </w:pPr>
          </w:p>
        </w:tc>
      </w:tr>
      <w:tr w14:paraId="2A4F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169EE606">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服务商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4176" w:type="pct"/>
            <w:gridSpan w:val="7"/>
            <w:vAlign w:val="center"/>
          </w:tcPr>
          <w:p w14:paraId="2C9E95CD">
            <w:pPr>
              <w:widowControl/>
              <w:snapToGrid w:val="0"/>
              <w:jc w:val="left"/>
              <w:outlineLvl w:val="9"/>
              <w:rPr>
                <w:rFonts w:ascii="宋体" w:hAnsi="宋体" w:eastAsia="宋体" w:cs="宋体"/>
                <w:color w:val="000000" w:themeColor="text1"/>
                <w:kern w:val="0"/>
                <w:szCs w:val="21"/>
                <w:highlight w:val="none"/>
                <w14:textFill>
                  <w14:solidFill>
                    <w14:schemeClr w14:val="tx1"/>
                  </w14:solidFill>
                </w14:textFill>
              </w:rPr>
            </w:pPr>
          </w:p>
        </w:tc>
      </w:tr>
      <w:tr w14:paraId="3B93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5304831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项目点</w:t>
            </w:r>
          </w:p>
        </w:tc>
        <w:tc>
          <w:tcPr>
            <w:tcW w:w="4176" w:type="pct"/>
            <w:gridSpan w:val="7"/>
            <w:vAlign w:val="center"/>
          </w:tcPr>
          <w:p w14:paraId="71650CE3">
            <w:pPr>
              <w:widowControl/>
              <w:snapToGrid w:val="0"/>
              <w:jc w:val="left"/>
              <w:outlineLvl w:val="9"/>
              <w:rPr>
                <w:rFonts w:ascii="宋体" w:hAnsi="宋体" w:eastAsia="宋体" w:cs="宋体"/>
                <w:color w:val="000000" w:themeColor="text1"/>
                <w:kern w:val="0"/>
                <w:szCs w:val="21"/>
                <w:highlight w:val="none"/>
                <w14:textFill>
                  <w14:solidFill>
                    <w14:schemeClr w14:val="tx1"/>
                  </w14:solidFill>
                </w14:textFill>
              </w:rPr>
            </w:pPr>
          </w:p>
        </w:tc>
      </w:tr>
      <w:tr w14:paraId="5826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3" w:type="pct"/>
            <w:vAlign w:val="center"/>
          </w:tcPr>
          <w:p w14:paraId="73FEEDDA">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序号</w:t>
            </w:r>
          </w:p>
        </w:tc>
        <w:tc>
          <w:tcPr>
            <w:tcW w:w="600" w:type="pct"/>
            <w:vAlign w:val="center"/>
          </w:tcPr>
          <w:p w14:paraId="26371020">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履约评价项目</w:t>
            </w:r>
          </w:p>
        </w:tc>
        <w:tc>
          <w:tcPr>
            <w:tcW w:w="2235" w:type="pct"/>
            <w:gridSpan w:val="2"/>
            <w:vAlign w:val="center"/>
          </w:tcPr>
          <w:p w14:paraId="1B8CE18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评价标准</w:t>
            </w:r>
          </w:p>
        </w:tc>
        <w:tc>
          <w:tcPr>
            <w:tcW w:w="682" w:type="pct"/>
            <w:gridSpan w:val="2"/>
            <w:vAlign w:val="center"/>
          </w:tcPr>
          <w:p w14:paraId="1222B51C">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评分说明</w:t>
            </w:r>
          </w:p>
        </w:tc>
        <w:tc>
          <w:tcPr>
            <w:tcW w:w="372" w:type="pct"/>
            <w:vAlign w:val="center"/>
          </w:tcPr>
          <w:p w14:paraId="79B98EC2">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分值</w:t>
            </w:r>
          </w:p>
        </w:tc>
        <w:tc>
          <w:tcPr>
            <w:tcW w:w="443" w:type="pct"/>
            <w:vAlign w:val="center"/>
          </w:tcPr>
          <w:p w14:paraId="5BBFED51">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实得分</w:t>
            </w:r>
          </w:p>
        </w:tc>
        <w:tc>
          <w:tcPr>
            <w:tcW w:w="442" w:type="pct"/>
            <w:vAlign w:val="center"/>
          </w:tcPr>
          <w:p w14:paraId="326A231F">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备注</w:t>
            </w:r>
          </w:p>
        </w:tc>
      </w:tr>
      <w:tr w14:paraId="6A93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74094BC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w:t>
            </w:r>
          </w:p>
        </w:tc>
        <w:tc>
          <w:tcPr>
            <w:tcW w:w="600" w:type="pct"/>
            <w:vAlign w:val="center"/>
          </w:tcPr>
          <w:p w14:paraId="7162C561">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生产产能</w:t>
            </w:r>
          </w:p>
        </w:tc>
        <w:tc>
          <w:tcPr>
            <w:tcW w:w="2235" w:type="pct"/>
            <w:gridSpan w:val="2"/>
            <w:vAlign w:val="center"/>
          </w:tcPr>
          <w:p w14:paraId="4BDE73CC">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污泥产量满足项目所在污水厂的减量需求（污水处理厂书面投诉为扣罚依据，非因服务商原因导致的投诉除外）。</w:t>
            </w:r>
          </w:p>
        </w:tc>
        <w:tc>
          <w:tcPr>
            <w:tcW w:w="682" w:type="pct"/>
            <w:gridSpan w:val="2"/>
            <w:vAlign w:val="center"/>
          </w:tcPr>
          <w:p w14:paraId="4CAAD648">
            <w:pPr>
              <w:widowControl/>
              <w:snapToGrid w:val="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达到标准的得满分，每月每次有一项未达到标准的扣</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372" w:type="pct"/>
            <w:vAlign w:val="center"/>
          </w:tcPr>
          <w:p w14:paraId="2F627148">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0</w:t>
            </w:r>
          </w:p>
        </w:tc>
        <w:tc>
          <w:tcPr>
            <w:tcW w:w="443" w:type="pct"/>
            <w:vAlign w:val="center"/>
          </w:tcPr>
          <w:p w14:paraId="14B01FEB">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63757D56">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42FA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0D7AB21D">
            <w:pPr>
              <w:widowControl/>
              <w:snapToGrid w:val="0"/>
              <w:jc w:val="center"/>
              <w:outlineLvl w:val="9"/>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2</w:t>
            </w:r>
          </w:p>
        </w:tc>
        <w:tc>
          <w:tcPr>
            <w:tcW w:w="600" w:type="pct"/>
            <w:vAlign w:val="center"/>
          </w:tcPr>
          <w:p w14:paraId="534D83FC">
            <w:pPr>
              <w:widowControl/>
              <w:snapToGrid w:val="0"/>
              <w:jc w:val="center"/>
              <w:outlineLvl w:val="9"/>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生产含水率</w:t>
            </w:r>
          </w:p>
        </w:tc>
        <w:tc>
          <w:tcPr>
            <w:tcW w:w="2235" w:type="pct"/>
            <w:gridSpan w:val="2"/>
            <w:vAlign w:val="center"/>
          </w:tcPr>
          <w:p w14:paraId="3A5FA12F">
            <w:pPr>
              <w:widowControl/>
              <w:snapToGrid w:val="0"/>
              <w:outlineLvl w:val="9"/>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当车外运含水率不得高于含水率标准（非因服务商原因导致的除外）。</w:t>
            </w:r>
          </w:p>
        </w:tc>
        <w:tc>
          <w:tcPr>
            <w:tcW w:w="682" w:type="pct"/>
            <w:gridSpan w:val="2"/>
            <w:vAlign w:val="center"/>
          </w:tcPr>
          <w:p w14:paraId="7AB31FC6">
            <w:pPr>
              <w:widowControl/>
              <w:snapToGrid w:val="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达到标准的得满分，每月每次有一项超出标准但未超过1.1倍以内（含1.1倍）的扣1分；超出标准1.1倍但未超过1.2倍（含1.2倍）的扣3分；超出标准1.2倍的扣5分，扣完为止。</w:t>
            </w:r>
          </w:p>
        </w:tc>
        <w:tc>
          <w:tcPr>
            <w:tcW w:w="372" w:type="pct"/>
            <w:vAlign w:val="center"/>
          </w:tcPr>
          <w:p w14:paraId="081B3E2C">
            <w:pPr>
              <w:widowControl/>
              <w:snapToGrid w:val="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30</w:t>
            </w:r>
          </w:p>
        </w:tc>
        <w:tc>
          <w:tcPr>
            <w:tcW w:w="443" w:type="pct"/>
            <w:vAlign w:val="center"/>
          </w:tcPr>
          <w:p w14:paraId="3A1AEADB">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71E25D50">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3447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00D90109">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p>
        </w:tc>
        <w:tc>
          <w:tcPr>
            <w:tcW w:w="600" w:type="pct"/>
            <w:vAlign w:val="center"/>
          </w:tcPr>
          <w:p w14:paraId="234AFF17">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生产设备</w:t>
            </w:r>
          </w:p>
        </w:tc>
        <w:tc>
          <w:tcPr>
            <w:tcW w:w="2235" w:type="pct"/>
            <w:gridSpan w:val="2"/>
            <w:vAlign w:val="center"/>
          </w:tcPr>
          <w:p w14:paraId="4BEEB44B">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服务商</w:t>
            </w:r>
            <w:r>
              <w:rPr>
                <w:rFonts w:hint="eastAsia" w:ascii="宋体" w:hAnsi="宋体" w:eastAsia="宋体" w:cs="宋体"/>
                <w:bCs/>
                <w:color w:val="000000" w:themeColor="text1"/>
                <w:kern w:val="0"/>
                <w:szCs w:val="21"/>
                <w:highlight w:val="none"/>
                <w14:textFill>
                  <w14:solidFill>
                    <w14:schemeClr w14:val="tx1"/>
                  </w14:solidFill>
                </w14:textFill>
              </w:rPr>
              <w:t>按照甲方制定的生产操作指引使用设备；</w:t>
            </w:r>
          </w:p>
          <w:p w14:paraId="32EA28D9">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服务商</w:t>
            </w:r>
            <w:r>
              <w:rPr>
                <w:rFonts w:hint="eastAsia" w:ascii="宋体" w:hAnsi="宋体" w:eastAsia="宋体" w:cs="宋体"/>
                <w:bCs/>
                <w:color w:val="000000" w:themeColor="text1"/>
                <w:kern w:val="0"/>
                <w:szCs w:val="21"/>
                <w:highlight w:val="none"/>
                <w14:textFill>
                  <w14:solidFill>
                    <w14:schemeClr w14:val="tx1"/>
                  </w14:solidFill>
                </w14:textFill>
              </w:rPr>
              <w:t>按照甲方制定的设备、设施点检计划，如期完成点检工作；</w:t>
            </w:r>
          </w:p>
          <w:p w14:paraId="244057E1">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服务商</w:t>
            </w:r>
            <w:r>
              <w:rPr>
                <w:rFonts w:hint="eastAsia" w:ascii="宋体" w:hAnsi="宋体" w:eastAsia="宋体" w:cs="宋体"/>
                <w:bCs/>
                <w:color w:val="000000" w:themeColor="text1"/>
                <w:kern w:val="0"/>
                <w:szCs w:val="21"/>
                <w:highlight w:val="none"/>
                <w14:textFill>
                  <w14:solidFill>
                    <w14:schemeClr w14:val="tx1"/>
                  </w14:solidFill>
                </w14:textFill>
              </w:rPr>
              <w:t>按照甲方制定的设备、设施基础保养计划，如期完成基础保养工作（如机械硬件更换、滤布清洗或更换、管道补漏及防锈防腐等）；</w:t>
            </w:r>
          </w:p>
        </w:tc>
        <w:tc>
          <w:tcPr>
            <w:tcW w:w="682" w:type="pct"/>
            <w:gridSpan w:val="2"/>
            <w:vAlign w:val="center"/>
          </w:tcPr>
          <w:p w14:paraId="680024C4">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Cs w:val="21"/>
                <w:highlight w:val="none"/>
                <w14:textFill>
                  <w14:solidFill>
                    <w14:schemeClr w14:val="tx1"/>
                  </w14:solidFill>
                </w14:textFill>
              </w:rPr>
              <w:t>分。</w:t>
            </w:r>
          </w:p>
        </w:tc>
        <w:tc>
          <w:tcPr>
            <w:tcW w:w="372" w:type="pct"/>
            <w:vAlign w:val="center"/>
          </w:tcPr>
          <w:p w14:paraId="7683772D">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0</w:t>
            </w:r>
          </w:p>
        </w:tc>
        <w:tc>
          <w:tcPr>
            <w:tcW w:w="443" w:type="pct"/>
            <w:vAlign w:val="center"/>
          </w:tcPr>
          <w:p w14:paraId="6B00A0D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2ADF0CD3">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66F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3ADF1869">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4</w:t>
            </w:r>
          </w:p>
        </w:tc>
        <w:tc>
          <w:tcPr>
            <w:tcW w:w="600" w:type="pct"/>
            <w:vAlign w:val="center"/>
          </w:tcPr>
          <w:p w14:paraId="152A3DBF">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生产数据</w:t>
            </w:r>
          </w:p>
        </w:tc>
        <w:tc>
          <w:tcPr>
            <w:tcW w:w="2235" w:type="pct"/>
            <w:gridSpan w:val="2"/>
            <w:vAlign w:val="center"/>
          </w:tcPr>
          <w:p w14:paraId="79DC1873">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真实完整的数据记录：</w:t>
            </w:r>
          </w:p>
          <w:p w14:paraId="23F01FCA">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（1）生产日报表</w:t>
            </w:r>
          </w:p>
          <w:p w14:paraId="0BC0273D">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（2）设备点检表</w:t>
            </w:r>
          </w:p>
          <w:p w14:paraId="6DF2D1D0">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（3）排班表</w:t>
            </w:r>
          </w:p>
          <w:p w14:paraId="5E1B8497">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（4）考勤表</w:t>
            </w:r>
          </w:p>
          <w:p w14:paraId="364C48E1">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（5）根据运营情况需记录的其他数据</w:t>
            </w:r>
          </w:p>
        </w:tc>
        <w:tc>
          <w:tcPr>
            <w:tcW w:w="682" w:type="pct"/>
            <w:gridSpan w:val="2"/>
            <w:vAlign w:val="center"/>
          </w:tcPr>
          <w:p w14:paraId="6FCB9489">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达到标准的得满分，每月每次有一项未达到标准的扣1分。</w:t>
            </w:r>
          </w:p>
        </w:tc>
        <w:tc>
          <w:tcPr>
            <w:tcW w:w="372" w:type="pct"/>
            <w:vAlign w:val="center"/>
          </w:tcPr>
          <w:p w14:paraId="5A7613F0">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443" w:type="pct"/>
            <w:vAlign w:val="center"/>
          </w:tcPr>
          <w:p w14:paraId="22A6760C">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7F03FBB4">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1CBD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1D6E0847">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5</w:t>
            </w:r>
          </w:p>
        </w:tc>
        <w:tc>
          <w:tcPr>
            <w:tcW w:w="600" w:type="pct"/>
            <w:vAlign w:val="center"/>
          </w:tcPr>
          <w:p w14:paraId="1CA6BC52">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生产物资及能耗</w:t>
            </w:r>
          </w:p>
        </w:tc>
        <w:tc>
          <w:tcPr>
            <w:tcW w:w="2235" w:type="pct"/>
            <w:gridSpan w:val="2"/>
            <w:vAlign w:val="center"/>
          </w:tcPr>
          <w:p w14:paraId="569340D5">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服务商</w:t>
            </w:r>
            <w:r>
              <w:rPr>
                <w:rFonts w:hint="eastAsia" w:ascii="宋体" w:hAnsi="宋体" w:eastAsia="宋体" w:cs="宋体"/>
                <w:bCs/>
                <w:color w:val="000000" w:themeColor="text1"/>
                <w:kern w:val="0"/>
                <w:szCs w:val="21"/>
                <w:highlight w:val="none"/>
                <w14:textFill>
                  <w14:solidFill>
                    <w14:schemeClr w14:val="tx1"/>
                  </w14:solidFill>
                </w14:textFill>
              </w:rPr>
              <w:t>不存在浪费药剂、水、电、五金及劳保用品的</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异常</w:t>
            </w:r>
            <w:r>
              <w:rPr>
                <w:rFonts w:hint="eastAsia" w:ascii="宋体" w:hAnsi="宋体" w:eastAsia="宋体" w:cs="宋体"/>
                <w:bCs/>
                <w:color w:val="000000" w:themeColor="text1"/>
                <w:kern w:val="0"/>
                <w:szCs w:val="21"/>
                <w:highlight w:val="none"/>
                <w14:textFill>
                  <w14:solidFill>
                    <w14:schemeClr w14:val="tx1"/>
                  </w14:solidFill>
                </w14:textFill>
              </w:rPr>
              <w:t>情况</w:t>
            </w:r>
          </w:p>
        </w:tc>
        <w:tc>
          <w:tcPr>
            <w:tcW w:w="682" w:type="pct"/>
            <w:gridSpan w:val="2"/>
            <w:vAlign w:val="center"/>
          </w:tcPr>
          <w:p w14:paraId="4851E839">
            <w:pPr>
              <w:widowControl/>
              <w:snapToGrid w:val="0"/>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达到标准的得满分，每月每次有一项未达到标准的扣1分。</w:t>
            </w:r>
          </w:p>
        </w:tc>
        <w:tc>
          <w:tcPr>
            <w:tcW w:w="372" w:type="pct"/>
            <w:vAlign w:val="center"/>
          </w:tcPr>
          <w:p w14:paraId="3E35F404">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443" w:type="pct"/>
            <w:vAlign w:val="center"/>
          </w:tcPr>
          <w:p w14:paraId="6AE8F823">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6116EF71">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431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3" w:type="pct"/>
            <w:vAlign w:val="center"/>
          </w:tcPr>
          <w:p w14:paraId="393CBBF5">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6</w:t>
            </w:r>
          </w:p>
        </w:tc>
        <w:tc>
          <w:tcPr>
            <w:tcW w:w="600" w:type="pct"/>
            <w:vAlign w:val="center"/>
          </w:tcPr>
          <w:p w14:paraId="28881FA7">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生产安全</w:t>
            </w:r>
          </w:p>
        </w:tc>
        <w:tc>
          <w:tcPr>
            <w:tcW w:w="2235" w:type="pct"/>
            <w:gridSpan w:val="2"/>
            <w:vAlign w:val="center"/>
          </w:tcPr>
          <w:p w14:paraId="7B6E34FE">
            <w:pPr>
              <w:widowControl/>
              <w:snapToGrid w:val="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（1）配合甲方如期完成</w:t>
            </w:r>
            <w:r>
              <w:rPr>
                <w:rFonts w:hint="eastAsia" w:ascii="宋体" w:hAnsi="宋体" w:eastAsia="宋体" w:cs="宋体"/>
                <w:color w:val="000000" w:themeColor="text1"/>
                <w:szCs w:val="21"/>
                <w:highlight w:val="none"/>
                <w14:textFill>
                  <w14:solidFill>
                    <w14:schemeClr w14:val="tx1"/>
                  </w14:solidFill>
                </w14:textFill>
              </w:rPr>
              <w:t>设备操作人员安全培训</w:t>
            </w:r>
            <w:r>
              <w:rPr>
                <w:rFonts w:hint="eastAsia" w:ascii="宋体" w:hAnsi="宋体" w:eastAsia="宋体" w:cs="宋体"/>
                <w:color w:val="000000" w:themeColor="text1"/>
                <w:szCs w:val="21"/>
                <w:highlight w:val="none"/>
                <w:lang w:eastAsia="zh-CN"/>
                <w14:textFill>
                  <w14:solidFill>
                    <w14:schemeClr w14:val="tx1"/>
                  </w14:solidFill>
                </w14:textFill>
              </w:rPr>
              <w:t>；</w:t>
            </w:r>
          </w:p>
          <w:p w14:paraId="11C3EE1A">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（2）配合甲方如期完成</w:t>
            </w:r>
            <w:r>
              <w:rPr>
                <w:rFonts w:hint="eastAsia" w:ascii="宋体" w:hAnsi="宋体" w:eastAsia="宋体" w:cs="宋体"/>
                <w:color w:val="000000" w:themeColor="text1"/>
                <w:szCs w:val="21"/>
                <w:highlight w:val="none"/>
                <w14:textFill>
                  <w14:solidFill>
                    <w14:schemeClr w14:val="tx1"/>
                  </w14:solidFill>
                </w14:textFill>
              </w:rPr>
              <w:t>设备操作人员</w:t>
            </w:r>
            <w:r>
              <w:rPr>
                <w:rFonts w:hint="eastAsia" w:ascii="宋体" w:hAnsi="宋体" w:eastAsia="宋体" w:cs="宋体"/>
                <w:bCs/>
                <w:color w:val="000000" w:themeColor="text1"/>
                <w:kern w:val="0"/>
                <w:szCs w:val="21"/>
                <w:highlight w:val="none"/>
                <w14:textFill>
                  <w14:solidFill>
                    <w14:schemeClr w14:val="tx1"/>
                  </w14:solidFill>
                </w14:textFill>
              </w:rPr>
              <w:t>安全演练；</w:t>
            </w:r>
          </w:p>
          <w:p w14:paraId="4898188C">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（3）积极配合污水厂、甲方及上级主管部门的安全检查，并配合</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按期</w:t>
            </w:r>
            <w:r>
              <w:rPr>
                <w:rFonts w:hint="eastAsia" w:ascii="宋体" w:hAnsi="宋体" w:eastAsia="宋体" w:cs="宋体"/>
                <w:bCs/>
                <w:color w:val="000000" w:themeColor="text1"/>
                <w:kern w:val="0"/>
                <w:szCs w:val="21"/>
                <w:highlight w:val="none"/>
                <w14:textFill>
                  <w14:solidFill>
                    <w14:schemeClr w14:val="tx1"/>
                  </w14:solidFill>
                </w14:textFill>
              </w:rPr>
              <w:t>完成问题点整改；</w:t>
            </w:r>
          </w:p>
          <w:p w14:paraId="4B1B70C4">
            <w:pPr>
              <w:widowControl/>
              <w:snapToGrid w:val="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（4）人员</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按要求</w:t>
            </w:r>
            <w:r>
              <w:rPr>
                <w:rFonts w:hint="eastAsia" w:ascii="宋体" w:hAnsi="宋体" w:eastAsia="宋体" w:cs="宋体"/>
                <w:color w:val="000000" w:themeColor="text1"/>
                <w:kern w:val="0"/>
                <w:szCs w:val="21"/>
                <w:highlight w:val="none"/>
                <w14:textFill>
                  <w14:solidFill>
                    <w14:schemeClr w14:val="tx1"/>
                  </w14:solidFill>
                </w14:textFill>
              </w:rPr>
              <w:t>持证上岗；</w:t>
            </w:r>
          </w:p>
          <w:p w14:paraId="7A1C1427">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无因人员操作不当造成的安全事故。</w:t>
            </w:r>
          </w:p>
        </w:tc>
        <w:tc>
          <w:tcPr>
            <w:tcW w:w="682" w:type="pct"/>
            <w:gridSpan w:val="2"/>
            <w:vAlign w:val="center"/>
          </w:tcPr>
          <w:p w14:paraId="3A19887E">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Cs w:val="21"/>
                <w:highlight w:val="none"/>
                <w14:textFill>
                  <w14:solidFill>
                    <w14:schemeClr w14:val="tx1"/>
                  </w14:solidFill>
                </w14:textFill>
              </w:rPr>
              <w:t>分。</w:t>
            </w:r>
          </w:p>
        </w:tc>
        <w:tc>
          <w:tcPr>
            <w:tcW w:w="372" w:type="pct"/>
            <w:vAlign w:val="center"/>
          </w:tcPr>
          <w:p w14:paraId="1278972B">
            <w:pPr>
              <w:widowControl/>
              <w:snapToGrid w:val="0"/>
              <w:jc w:val="center"/>
              <w:outlineLvl w:val="9"/>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10</w:t>
            </w:r>
          </w:p>
        </w:tc>
        <w:tc>
          <w:tcPr>
            <w:tcW w:w="443" w:type="pct"/>
            <w:vAlign w:val="center"/>
          </w:tcPr>
          <w:p w14:paraId="3B6599E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2BEF113E">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67B2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5A293FA5">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7</w:t>
            </w:r>
          </w:p>
        </w:tc>
        <w:tc>
          <w:tcPr>
            <w:tcW w:w="600" w:type="pct"/>
            <w:vAlign w:val="center"/>
          </w:tcPr>
          <w:p w14:paraId="6AF9597D">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生产环境</w:t>
            </w:r>
          </w:p>
        </w:tc>
        <w:tc>
          <w:tcPr>
            <w:tcW w:w="2235" w:type="pct"/>
            <w:gridSpan w:val="2"/>
            <w:vAlign w:val="center"/>
          </w:tcPr>
          <w:p w14:paraId="5BB3CAF4">
            <w:pPr>
              <w:widowControl/>
              <w:snapToGrid w:val="0"/>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（1）现场室内、外环境干净整洁，物品摆放整齐，无烟头污渍等</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p>
          <w:p w14:paraId="280D0152">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（2）设施完好，道路完好、通畅，生产设备设施的外立面简洁美观；</w:t>
            </w:r>
          </w:p>
          <w:p w14:paraId="7AA70BB1">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（3）无明显的破损及渗漏，无泥水、污水、泥饼等跑、冒、滴、漏的现象。</w:t>
            </w:r>
          </w:p>
        </w:tc>
        <w:tc>
          <w:tcPr>
            <w:tcW w:w="682" w:type="pct"/>
            <w:gridSpan w:val="2"/>
            <w:vAlign w:val="center"/>
          </w:tcPr>
          <w:p w14:paraId="35E18BE7">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达到标准的得满分，每月每次有一项未达到标准的扣1分。</w:t>
            </w:r>
          </w:p>
        </w:tc>
        <w:tc>
          <w:tcPr>
            <w:tcW w:w="372" w:type="pct"/>
            <w:vAlign w:val="center"/>
          </w:tcPr>
          <w:p w14:paraId="4FE871E4">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10</w:t>
            </w:r>
          </w:p>
        </w:tc>
        <w:tc>
          <w:tcPr>
            <w:tcW w:w="443" w:type="pct"/>
            <w:vAlign w:val="center"/>
          </w:tcPr>
          <w:p w14:paraId="388E3646">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3BC53097">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63D2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 w:type="pct"/>
            <w:vAlign w:val="center"/>
          </w:tcPr>
          <w:p w14:paraId="0190C85F">
            <w:pPr>
              <w:widowControl/>
              <w:snapToGrid w:val="0"/>
              <w:jc w:val="center"/>
              <w:outlineLvl w:val="9"/>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8</w:t>
            </w:r>
          </w:p>
        </w:tc>
        <w:tc>
          <w:tcPr>
            <w:tcW w:w="600" w:type="pct"/>
            <w:vAlign w:val="center"/>
          </w:tcPr>
          <w:p w14:paraId="751E1673">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人员配合</w:t>
            </w:r>
          </w:p>
        </w:tc>
        <w:tc>
          <w:tcPr>
            <w:tcW w:w="2235" w:type="pct"/>
            <w:gridSpan w:val="2"/>
            <w:vAlign w:val="center"/>
          </w:tcPr>
          <w:p w14:paraId="1EA15667">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（1）管理和技术均符合投标文件的承诺，服务队伍稳定，人员充足、专业性强，充分配合甲方生产需求。遵守甲方管理制度，服从甲方工作安排；</w:t>
            </w:r>
          </w:p>
          <w:p w14:paraId="354D947F">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（2）对接人员与甲方沟通良好、理解到位、执行力强，能及时发现、解决问题，并应根据各厂区实际情况提供合理化的人员调配方案和生产技术建议；</w:t>
            </w:r>
          </w:p>
          <w:p w14:paraId="001F21A2">
            <w:pPr>
              <w:widowControl/>
              <w:snapToGrid w:val="0"/>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（3）建立</w:t>
            </w:r>
            <w:r>
              <w:rPr>
                <w:rFonts w:hint="eastAsia" w:ascii="宋体" w:hAnsi="宋体" w:eastAsia="宋体" w:cs="宋体"/>
                <w:color w:val="000000" w:themeColor="text1"/>
                <w:szCs w:val="21"/>
                <w:highlight w:val="none"/>
                <w14:textFill>
                  <w14:solidFill>
                    <w14:schemeClr w14:val="tx1"/>
                  </w14:solidFill>
                </w14:textFill>
              </w:rPr>
              <w:t>设备操作人员</w:t>
            </w:r>
            <w:r>
              <w:rPr>
                <w:rFonts w:hint="eastAsia" w:ascii="宋体" w:hAnsi="宋体" w:eastAsia="宋体" w:cs="宋体"/>
                <w:bCs/>
                <w:color w:val="000000" w:themeColor="text1"/>
                <w:kern w:val="0"/>
                <w:szCs w:val="21"/>
                <w:highlight w:val="none"/>
                <w14:textFill>
                  <w14:solidFill>
                    <w14:schemeClr w14:val="tx1"/>
                  </w14:solidFill>
                </w14:textFill>
              </w:rPr>
              <w:t>花名册，且人员的替换需经</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甲方</w:t>
            </w:r>
            <w:r>
              <w:rPr>
                <w:rFonts w:hint="eastAsia" w:ascii="宋体" w:hAnsi="宋体" w:eastAsia="宋体" w:cs="宋体"/>
                <w:bCs/>
                <w:color w:val="000000" w:themeColor="text1"/>
                <w:kern w:val="0"/>
                <w:szCs w:val="21"/>
                <w:highlight w:val="none"/>
                <w14:textFill>
                  <w14:solidFill>
                    <w14:schemeClr w14:val="tx1"/>
                  </w14:solidFill>
                </w14:textFill>
              </w:rPr>
              <w:t>同意后实行；</w:t>
            </w:r>
          </w:p>
          <w:p w14:paraId="338D773C">
            <w:pPr>
              <w:widowControl/>
              <w:snapToGrid w:val="0"/>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（4）积极协助甲方</w:t>
            </w:r>
            <w:r>
              <w:rPr>
                <w:rFonts w:hint="eastAsia" w:ascii="宋体" w:hAnsi="宋体" w:eastAsia="宋体" w:cs="宋体"/>
                <w:color w:val="000000" w:themeColor="text1"/>
                <w:kern w:val="0"/>
                <w:szCs w:val="21"/>
                <w:highlight w:val="none"/>
                <w14:textFill>
                  <w14:solidFill>
                    <w14:schemeClr w14:val="tx1"/>
                  </w14:solidFill>
                </w14:textFill>
              </w:rPr>
              <w:t>接受政府管理部门和上级公司的检查工作及提供各类证明材料；</w:t>
            </w:r>
          </w:p>
          <w:p w14:paraId="38CA0F2E">
            <w:pPr>
              <w:widowControl/>
              <w:snapToGrid w:val="0"/>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（5）能根据甲方要求对设备操作</w:t>
            </w:r>
            <w:r>
              <w:rPr>
                <w:rFonts w:hint="eastAsia" w:ascii="宋体" w:hAnsi="宋体" w:eastAsia="宋体" w:cs="宋体"/>
                <w:color w:val="000000" w:themeColor="text1"/>
                <w:szCs w:val="21"/>
                <w:highlight w:val="none"/>
                <w14:textFill>
                  <w14:solidFill>
                    <w14:schemeClr w14:val="tx1"/>
                  </w14:solidFill>
                </w14:textFill>
              </w:rPr>
              <w:t>人员</w:t>
            </w:r>
            <w:r>
              <w:rPr>
                <w:rFonts w:hint="eastAsia" w:ascii="宋体" w:hAnsi="宋体" w:eastAsia="宋体" w:cs="宋体"/>
                <w:color w:val="000000" w:themeColor="text1"/>
                <w:kern w:val="0"/>
                <w:szCs w:val="21"/>
                <w:highlight w:val="none"/>
                <w14:textFill>
                  <w14:solidFill>
                    <w14:schemeClr w14:val="tx1"/>
                  </w14:solidFill>
                </w14:textFill>
              </w:rPr>
              <w:t>组织培训。</w:t>
            </w:r>
          </w:p>
        </w:tc>
        <w:tc>
          <w:tcPr>
            <w:tcW w:w="682" w:type="pct"/>
            <w:gridSpan w:val="2"/>
            <w:vAlign w:val="center"/>
          </w:tcPr>
          <w:p w14:paraId="70563F00">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达到标准的得满分，每月每次有一项未达到标准的扣1分。</w:t>
            </w:r>
          </w:p>
        </w:tc>
        <w:tc>
          <w:tcPr>
            <w:tcW w:w="372" w:type="pct"/>
            <w:vAlign w:val="center"/>
          </w:tcPr>
          <w:p w14:paraId="3FD8583B">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10</w:t>
            </w:r>
          </w:p>
        </w:tc>
        <w:tc>
          <w:tcPr>
            <w:tcW w:w="443" w:type="pct"/>
            <w:vAlign w:val="center"/>
          </w:tcPr>
          <w:p w14:paraId="37D1D89B">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25545099">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4CC7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41" w:type="pct"/>
            <w:gridSpan w:val="6"/>
            <w:vAlign w:val="center"/>
          </w:tcPr>
          <w:p w14:paraId="69D24F04">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合计</w:t>
            </w:r>
          </w:p>
        </w:tc>
        <w:tc>
          <w:tcPr>
            <w:tcW w:w="372" w:type="pct"/>
            <w:vAlign w:val="center"/>
          </w:tcPr>
          <w:p w14:paraId="5CBDA874">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100</w:t>
            </w:r>
          </w:p>
        </w:tc>
        <w:tc>
          <w:tcPr>
            <w:tcW w:w="443" w:type="pct"/>
            <w:vAlign w:val="center"/>
          </w:tcPr>
          <w:p w14:paraId="4DFF932C">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c>
          <w:tcPr>
            <w:tcW w:w="442" w:type="pct"/>
            <w:vAlign w:val="center"/>
          </w:tcPr>
          <w:p w14:paraId="164E42F0">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p>
        </w:tc>
      </w:tr>
      <w:tr w14:paraId="71BF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7" w:type="pct"/>
            <w:gridSpan w:val="3"/>
            <w:vAlign w:val="center"/>
          </w:tcPr>
          <w:p w14:paraId="02652FF0">
            <w:pPr>
              <w:widowControl/>
              <w:snapToGrid w:val="0"/>
              <w:jc w:val="center"/>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评审结论</w:t>
            </w:r>
          </w:p>
        </w:tc>
        <w:tc>
          <w:tcPr>
            <w:tcW w:w="3002" w:type="pct"/>
            <w:gridSpan w:val="6"/>
          </w:tcPr>
          <w:p w14:paraId="497451C1">
            <w:pPr>
              <w:widowControl/>
              <w:snapToGrid w:val="0"/>
              <w:spacing w:before="120" w:beforeLines="5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合计分</w:t>
            </w:r>
            <w:r>
              <w:rPr>
                <w:rFonts w:hint="eastAsia" w:ascii="宋体" w:hAnsi="宋体" w:eastAsia="宋体" w:cs="宋体"/>
                <w:bCs/>
                <w:color w:val="000000" w:themeColor="text1"/>
                <w:kern w:val="0"/>
                <w:szCs w:val="21"/>
                <w:highlight w:val="none"/>
                <w14:textFill>
                  <w14:solidFill>
                    <w14:schemeClr w14:val="tx1"/>
                  </w14:solidFill>
                </w14:textFill>
              </w:rPr>
              <w:t>不低于</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80分（含80分）</w:t>
            </w:r>
            <w:r>
              <w:rPr>
                <w:rFonts w:hint="eastAsia" w:ascii="宋体" w:hAnsi="宋体" w:eastAsia="宋体" w:cs="宋体"/>
                <w:bCs/>
                <w:color w:val="000000" w:themeColor="text1"/>
                <w:kern w:val="0"/>
                <w:szCs w:val="21"/>
                <w:highlight w:val="none"/>
                <w14:textFill>
                  <w14:solidFill>
                    <w14:schemeClr w14:val="tx1"/>
                  </w14:solidFill>
                </w14:textFill>
              </w:rPr>
              <w:t>的，评审结论合格</w:t>
            </w:r>
          </w:p>
          <w:p w14:paraId="6C17A6A9">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□评审结论不合格，说明：</w:t>
            </w:r>
            <w:r>
              <w:rPr>
                <w:rFonts w:hint="eastAsia" w:ascii="宋体" w:hAnsi="宋体" w:eastAsia="宋体" w:cs="宋体"/>
                <w:bCs/>
                <w:color w:val="000000" w:themeColor="text1"/>
                <w:kern w:val="0"/>
                <w:szCs w:val="21"/>
                <w:highlight w:val="none"/>
                <w:u w:val="single"/>
                <w14:textFill>
                  <w14:solidFill>
                    <w14:schemeClr w14:val="tx1"/>
                  </w14:solidFill>
                </w14:textFill>
              </w:rPr>
              <w:t xml:space="preserve">              </w:t>
            </w:r>
          </w:p>
        </w:tc>
      </w:tr>
      <w:tr w14:paraId="61F9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97" w:type="pct"/>
            <w:gridSpan w:val="3"/>
            <w:vMerge w:val="restart"/>
            <w:vAlign w:val="center"/>
          </w:tcPr>
          <w:p w14:paraId="1004B2F9">
            <w:pPr>
              <w:widowControl/>
              <w:snapToGrid w:val="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履约评审运营项目</w:t>
            </w:r>
            <w:r>
              <w:rPr>
                <w:rFonts w:hint="eastAsia" w:ascii="宋体" w:hAnsi="宋体" w:eastAsia="宋体" w:cs="宋体"/>
                <w:color w:val="000000" w:themeColor="text1"/>
                <w:kern w:val="0"/>
                <w:szCs w:val="21"/>
                <w:highlight w:val="none"/>
                <w14:textFill>
                  <w14:solidFill>
                    <w14:schemeClr w14:val="tx1"/>
                  </w14:solidFill>
                </w14:textFill>
              </w:rPr>
              <w:t>其他</w:t>
            </w:r>
            <w:r>
              <w:rPr>
                <w:rFonts w:hint="eastAsia" w:ascii="宋体" w:hAnsi="宋体" w:eastAsia="宋体" w:cs="宋体"/>
                <w:bCs/>
                <w:color w:val="000000" w:themeColor="text1"/>
                <w:kern w:val="0"/>
                <w:szCs w:val="21"/>
                <w:highlight w:val="none"/>
                <w14:textFill>
                  <w14:solidFill>
                    <w14:schemeClr w14:val="tx1"/>
                  </w14:solidFill>
                </w14:textFill>
              </w:rPr>
              <w:t>意见及签署</w:t>
            </w:r>
          </w:p>
        </w:tc>
        <w:tc>
          <w:tcPr>
            <w:tcW w:w="1366" w:type="pct"/>
            <w:gridSpan w:val="2"/>
            <w:vAlign w:val="center"/>
          </w:tcPr>
          <w:p w14:paraId="12749342">
            <w:pPr>
              <w:widowControl/>
              <w:snapToGrid w:val="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经办人</w:t>
            </w:r>
          </w:p>
        </w:tc>
        <w:tc>
          <w:tcPr>
            <w:tcW w:w="1635" w:type="pct"/>
            <w:gridSpan w:val="4"/>
            <w:vAlign w:val="center"/>
          </w:tcPr>
          <w:p w14:paraId="10D0EA56">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p>
        </w:tc>
      </w:tr>
      <w:tr w14:paraId="51E3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vMerge w:val="continue"/>
          </w:tcPr>
          <w:p w14:paraId="7F85FA88">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p>
        </w:tc>
        <w:tc>
          <w:tcPr>
            <w:tcW w:w="1366" w:type="pct"/>
            <w:gridSpan w:val="2"/>
            <w:vAlign w:val="center"/>
          </w:tcPr>
          <w:p w14:paraId="73C400AE">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运营项目负责人</w:t>
            </w:r>
          </w:p>
        </w:tc>
        <w:tc>
          <w:tcPr>
            <w:tcW w:w="1635" w:type="pct"/>
            <w:gridSpan w:val="4"/>
            <w:vAlign w:val="center"/>
          </w:tcPr>
          <w:p w14:paraId="71371912">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p>
        </w:tc>
      </w:tr>
      <w:tr w14:paraId="4A7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tcPr>
          <w:p w14:paraId="7BABECF7">
            <w:pPr>
              <w:widowControl/>
              <w:snapToGrid w:val="0"/>
              <w:jc w:val="center"/>
              <w:outlineLvl w:val="9"/>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服务商</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意见及签署</w:t>
            </w:r>
          </w:p>
        </w:tc>
        <w:tc>
          <w:tcPr>
            <w:tcW w:w="1366" w:type="pct"/>
            <w:gridSpan w:val="2"/>
            <w:vAlign w:val="center"/>
          </w:tcPr>
          <w:p w14:paraId="71FA4C9B">
            <w:pPr>
              <w:widowControl/>
              <w:snapToGrid w:val="0"/>
              <w:jc w:val="left"/>
              <w:outlineLvl w:val="9"/>
              <w:rPr>
                <w:rFonts w:hint="eastAsia" w:ascii="宋体" w:hAnsi="宋体" w:eastAsia="宋体" w:cs="宋体"/>
                <w:bCs/>
                <w:color w:val="000000" w:themeColor="text1"/>
                <w:kern w:val="0"/>
                <w:szCs w:val="21"/>
                <w:highlight w:val="none"/>
                <w14:textFill>
                  <w14:solidFill>
                    <w14:schemeClr w14:val="tx1"/>
                  </w14:solidFill>
                </w14:textFill>
              </w:rPr>
            </w:pPr>
          </w:p>
        </w:tc>
        <w:tc>
          <w:tcPr>
            <w:tcW w:w="1635" w:type="pct"/>
            <w:gridSpan w:val="4"/>
            <w:vAlign w:val="center"/>
          </w:tcPr>
          <w:p w14:paraId="0FB87E81">
            <w:pPr>
              <w:widowControl/>
              <w:snapToGrid w:val="0"/>
              <w:jc w:val="left"/>
              <w:outlineLvl w:val="9"/>
              <w:rPr>
                <w:rFonts w:ascii="宋体" w:hAnsi="宋体" w:eastAsia="宋体" w:cs="宋体"/>
                <w:bCs/>
                <w:color w:val="000000" w:themeColor="text1"/>
                <w:kern w:val="0"/>
                <w:szCs w:val="21"/>
                <w:highlight w:val="none"/>
                <w14:textFill>
                  <w14:solidFill>
                    <w14:schemeClr w14:val="tx1"/>
                  </w14:solidFill>
                </w14:textFill>
              </w:rPr>
            </w:pPr>
          </w:p>
        </w:tc>
      </w:tr>
    </w:tbl>
    <w:p w14:paraId="5A486B42">
      <w:pPr>
        <w:autoSpaceDE w:val="0"/>
        <w:autoSpaceDN w:val="0"/>
        <w:adjustRightInd w:val="0"/>
        <w:jc w:val="left"/>
        <w:outlineLvl w:val="9"/>
        <w:rPr>
          <w:rFonts w:ascii="宋体" w:hAnsi="宋体" w:eastAsia="宋体" w:cs="宋体"/>
          <w:color w:val="000000" w:themeColor="text1"/>
          <w:kern w:val="0"/>
          <w:sz w:val="24"/>
          <w:szCs w:val="24"/>
          <w:highlight w:val="none"/>
          <w14:textFill>
            <w14:solidFill>
              <w14:schemeClr w14:val="tx1"/>
            </w14:solidFill>
          </w14:textFill>
        </w:rPr>
      </w:pPr>
    </w:p>
    <w:p w14:paraId="6430DC56">
      <w:pPr>
        <w:autoSpaceDE w:val="0"/>
        <w:autoSpaceDN w:val="0"/>
        <w:adjustRightInd w:val="0"/>
        <w:jc w:val="left"/>
        <w:outlineLvl w:val="9"/>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备注：每季度第三个月对每个项目点评价一次</w:t>
      </w:r>
    </w:p>
    <w:p w14:paraId="6AEAB7EC">
      <w:pPr>
        <w:spacing w:after="120"/>
        <w:ind w:firstLine="210" w:firstLineChars="100"/>
        <w:outlineLvl w:val="9"/>
        <w:rPr>
          <w:rFonts w:ascii="宋体" w:hAnsi="宋体" w:eastAsia="宋体" w:cs="宋体"/>
          <w:color w:val="000000" w:themeColor="text1"/>
          <w:szCs w:val="24"/>
          <w:highlight w:val="none"/>
          <w14:textFill>
            <w14:solidFill>
              <w14:schemeClr w14:val="tx1"/>
            </w14:solidFill>
          </w14:textFill>
        </w:rPr>
      </w:pPr>
    </w:p>
    <w:p w14:paraId="002189DE">
      <w:pPr>
        <w:pStyle w:val="18"/>
        <w:jc w:val="both"/>
        <w:rPr>
          <w:rFonts w:hAnsi="宋体" w:cs="宋体"/>
          <w:color w:val="000000" w:themeColor="text1"/>
          <w:highlight w:val="none"/>
          <w14:textFill>
            <w14:solidFill>
              <w14:schemeClr w14:val="tx1"/>
            </w14:solidFill>
          </w14:textFill>
        </w:rPr>
      </w:pPr>
    </w:p>
    <w:p w14:paraId="070BCA9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59" w:name="_Toc11281_WPSOffice_Level1"/>
      <w:bookmarkStart w:id="460" w:name="_Toc16287"/>
      <w:bookmarkStart w:id="461" w:name="_Toc20401"/>
      <w:bookmarkStart w:id="462" w:name="_Toc450662892"/>
      <w:bookmarkStart w:id="463" w:name="_Toc486167707"/>
      <w:bookmarkStart w:id="464" w:name="_Toc25251"/>
      <w:bookmarkStart w:id="465" w:name="_Toc12005"/>
      <w:bookmarkStart w:id="466" w:name="_Toc14739"/>
      <w:bookmarkStart w:id="467" w:name="_Toc14250835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w:t>
      </w:r>
      <w:bookmarkEnd w:id="459"/>
      <w:bookmarkEnd w:id="460"/>
      <w:bookmarkEnd w:id="461"/>
      <w:bookmarkEnd w:id="462"/>
      <w:bookmarkEnd w:id="463"/>
      <w:bookmarkEnd w:id="464"/>
      <w:bookmarkEnd w:id="465"/>
      <w:bookmarkEnd w:id="466"/>
      <w:bookmarkEnd w:id="467"/>
      <w:r>
        <w:rPr>
          <w:rFonts w:hint="eastAsia" w:ascii="宋体" w:hAnsi="宋体" w:eastAsia="宋体" w:cs="宋体"/>
          <w:b/>
          <w:bCs/>
          <w:color w:val="000000" w:themeColor="text1"/>
          <w:kern w:val="44"/>
          <w:sz w:val="32"/>
          <w:szCs w:val="32"/>
          <w:highlight w:val="none"/>
          <w:lang w:val="zh-CN"/>
          <w14:textFill>
            <w14:solidFill>
              <w14:schemeClr w14:val="tx1"/>
            </w14:solidFill>
          </w14:textFill>
        </w:rPr>
        <w:t>格式</w:t>
      </w:r>
    </w:p>
    <w:p w14:paraId="7D7A0D45">
      <w:pPr>
        <w:autoSpaceDE w:val="0"/>
        <w:autoSpaceDN w:val="0"/>
        <w:adjustRightInd w:val="0"/>
        <w:spacing w:line="360" w:lineRule="auto"/>
        <w:jc w:val="center"/>
        <w:outlineLvl w:val="9"/>
        <w:rPr>
          <w:rFonts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合同编号：       </w:t>
      </w:r>
    </w:p>
    <w:p w14:paraId="295A3D0F">
      <w:pPr>
        <w:autoSpaceDE w:val="0"/>
        <w:autoSpaceDN w:val="0"/>
        <w:adjustRightInd w:val="0"/>
        <w:snapToGri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0E5FC1F4">
      <w:pPr>
        <w:autoSpaceDE w:val="0"/>
        <w:autoSpaceDN w:val="0"/>
        <w:adjustRightInd w:val="0"/>
        <w:snapToGri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1350C7A1">
      <w:pPr>
        <w:autoSpaceDE w:val="0"/>
        <w:autoSpaceDN w:val="0"/>
        <w:adjustRightInd w:val="0"/>
        <w:snapToGri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53C45744">
      <w:pPr>
        <w:autoSpaceDE w:val="0"/>
        <w:autoSpaceDN w:val="0"/>
        <w:adjustRightInd w:val="0"/>
        <w:spacing w:line="360" w:lineRule="auto"/>
        <w:jc w:val="center"/>
        <w:outlineLvl w:val="9"/>
        <w:rPr>
          <w:rFonts w:ascii="宋体" w:hAnsi="宋体" w:eastAsia="宋体" w:cs="宋体"/>
          <w:b/>
          <w:color w:val="000000" w:themeColor="text1"/>
          <w:kern w:val="0"/>
          <w:sz w:val="52"/>
          <w:szCs w:val="96"/>
          <w:highlight w:val="none"/>
          <w14:textFill>
            <w14:solidFill>
              <w14:schemeClr w14:val="tx1"/>
            </w14:solidFill>
          </w14:textFill>
        </w:rPr>
      </w:pPr>
      <w:r>
        <w:rPr>
          <w:rFonts w:hint="eastAsia" w:ascii="宋体" w:hAnsi="宋体" w:eastAsia="宋体" w:cs="宋体"/>
          <w:b/>
          <w:color w:val="000000" w:themeColor="text1"/>
          <w:kern w:val="0"/>
          <w:sz w:val="52"/>
          <w:szCs w:val="96"/>
          <w:highlight w:val="none"/>
          <w14:textFill>
            <w14:solidFill>
              <w14:schemeClr w14:val="tx1"/>
            </w14:solidFill>
          </w14:textFill>
        </w:rPr>
        <w:t>东莞市众源环境投资有限公司2026年污泥脱水减量配合服务采购项目</w:t>
      </w:r>
    </w:p>
    <w:p w14:paraId="0DA7DFE8">
      <w:pPr>
        <w:autoSpaceDE w:val="0"/>
        <w:autoSpaceDN w:val="0"/>
        <w:adjustRightInd w:val="0"/>
        <w:spacing w:line="360" w:lineRule="auto"/>
        <w:jc w:val="center"/>
        <w:outlineLvl w:val="9"/>
        <w:rPr>
          <w:rFonts w:ascii="宋体" w:hAnsi="宋体" w:eastAsia="宋体" w:cs="宋体"/>
          <w:bCs/>
          <w:color w:val="000000" w:themeColor="text1"/>
          <w:kern w:val="0"/>
          <w:sz w:val="52"/>
          <w:szCs w:val="52"/>
          <w:highlight w:val="none"/>
          <w14:textFill>
            <w14:solidFill>
              <w14:schemeClr w14:val="tx1"/>
            </w14:solidFill>
          </w14:textFill>
        </w:rPr>
      </w:pPr>
    </w:p>
    <w:p w14:paraId="3A98E237">
      <w:pPr>
        <w:autoSpaceDE w:val="0"/>
        <w:autoSpaceDN w:val="0"/>
        <w:adjustRightInd w:val="0"/>
        <w:spacing w:before="840" w:beforeLines="350" w:after="360" w:afterLines="150" w:line="360" w:lineRule="auto"/>
        <w:jc w:val="center"/>
        <w:outlineLvl w:val="9"/>
        <w:rPr>
          <w:rFonts w:ascii="宋体" w:hAnsi="宋体" w:eastAsia="宋体" w:cs="宋体"/>
          <w:b/>
          <w:bCs/>
          <w:color w:val="000000" w:themeColor="text1"/>
          <w:spacing w:val="60"/>
          <w:kern w:val="0"/>
          <w:sz w:val="52"/>
          <w:szCs w:val="52"/>
          <w:highlight w:val="none"/>
          <w14:textFill>
            <w14:solidFill>
              <w14:schemeClr w14:val="tx1"/>
            </w14:solidFill>
          </w14:textFill>
        </w:rPr>
      </w:pPr>
      <w:r>
        <w:rPr>
          <w:rFonts w:hint="eastAsia" w:ascii="宋体" w:hAnsi="宋体" w:eastAsia="宋体" w:cs="宋体"/>
          <w:b/>
          <w:bCs/>
          <w:color w:val="000000" w:themeColor="text1"/>
          <w:spacing w:val="60"/>
          <w:kern w:val="0"/>
          <w:sz w:val="52"/>
          <w:szCs w:val="52"/>
          <w:highlight w:val="none"/>
          <w14:textFill>
            <w14:solidFill>
              <w14:schemeClr w14:val="tx1"/>
            </w14:solidFill>
          </w14:textFill>
        </w:rPr>
        <w:t>采购合同</w:t>
      </w:r>
    </w:p>
    <w:p w14:paraId="27AC7682">
      <w:pPr>
        <w:autoSpaceDE w:val="0"/>
        <w:autoSpaceDN w:val="0"/>
        <w:adjustRightInd w:val="0"/>
        <w:spacing w:line="360" w:lineRule="auto"/>
        <w:jc w:val="left"/>
        <w:outlineLvl w:val="9"/>
        <w:rPr>
          <w:rFonts w:ascii="宋体" w:hAnsi="宋体" w:eastAsia="宋体" w:cs="宋体"/>
          <w:b/>
          <w:bCs/>
          <w:color w:val="000000" w:themeColor="text1"/>
          <w:kern w:val="0"/>
          <w:sz w:val="24"/>
          <w:szCs w:val="21"/>
          <w:highlight w:val="none"/>
          <w14:textFill>
            <w14:solidFill>
              <w14:schemeClr w14:val="tx1"/>
            </w14:solidFill>
          </w14:textFill>
        </w:rPr>
      </w:pPr>
    </w:p>
    <w:p w14:paraId="287E4762">
      <w:pPr>
        <w:autoSpaceDE w:val="0"/>
        <w:autoSpaceDN w:val="0"/>
        <w:adjustRightInd w:val="0"/>
        <w:spacing w:line="360" w:lineRule="auto"/>
        <w:jc w:val="left"/>
        <w:outlineLvl w:val="9"/>
        <w:rPr>
          <w:rFonts w:ascii="宋体" w:hAnsi="宋体" w:eastAsia="宋体" w:cs="宋体"/>
          <w:b/>
          <w:bCs/>
          <w:color w:val="000000" w:themeColor="text1"/>
          <w:kern w:val="0"/>
          <w:sz w:val="24"/>
          <w:szCs w:val="21"/>
          <w:highlight w:val="none"/>
          <w14:textFill>
            <w14:solidFill>
              <w14:schemeClr w14:val="tx1"/>
            </w14:solidFill>
          </w14:textFill>
        </w:rPr>
      </w:pPr>
    </w:p>
    <w:p w14:paraId="6588835A">
      <w:pPr>
        <w:autoSpaceDE w:val="0"/>
        <w:autoSpaceDN w:val="0"/>
        <w:adjustRightInd w:val="0"/>
        <w:spacing w:line="360" w:lineRule="auto"/>
        <w:jc w:val="left"/>
        <w:outlineLvl w:val="9"/>
        <w:rPr>
          <w:rFonts w:ascii="宋体" w:hAnsi="宋体" w:eastAsia="宋体" w:cs="宋体"/>
          <w:b/>
          <w:bCs/>
          <w:color w:val="000000" w:themeColor="text1"/>
          <w:kern w:val="0"/>
          <w:sz w:val="24"/>
          <w:szCs w:val="21"/>
          <w:highlight w:val="none"/>
          <w14:textFill>
            <w14:solidFill>
              <w14:schemeClr w14:val="tx1"/>
            </w14:solidFill>
          </w14:textFill>
        </w:rPr>
      </w:pPr>
    </w:p>
    <w:p w14:paraId="5F525EC1">
      <w:pPr>
        <w:autoSpaceDE w:val="0"/>
        <w:autoSpaceDN w:val="0"/>
        <w:adjustRightInd w:val="0"/>
        <w:spacing w:line="360" w:lineRule="auto"/>
        <w:jc w:val="left"/>
        <w:outlineLvl w:val="9"/>
        <w:rPr>
          <w:rFonts w:ascii="宋体" w:hAnsi="宋体" w:eastAsia="宋体" w:cs="宋体"/>
          <w:b/>
          <w:bCs/>
          <w:color w:val="000000" w:themeColor="text1"/>
          <w:kern w:val="0"/>
          <w:sz w:val="24"/>
          <w:szCs w:val="21"/>
          <w:highlight w:val="none"/>
          <w14:textFill>
            <w14:solidFill>
              <w14:schemeClr w14:val="tx1"/>
            </w14:solidFill>
          </w14:textFill>
        </w:rPr>
      </w:pPr>
    </w:p>
    <w:p w14:paraId="10A8536B">
      <w:pPr>
        <w:autoSpaceDE w:val="0"/>
        <w:autoSpaceDN w:val="0"/>
        <w:adjustRightInd w:val="0"/>
        <w:spacing w:line="480" w:lineRule="auto"/>
        <w:ind w:firstLine="1102" w:firstLineChars="392"/>
        <w:jc w:val="center"/>
        <w:outlineLvl w:val="9"/>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东莞市众源环境投资有限公司</w:t>
      </w:r>
    </w:p>
    <w:p w14:paraId="40ECB7D7">
      <w:pPr>
        <w:tabs>
          <w:tab w:val="left" w:pos="3828"/>
        </w:tabs>
        <w:autoSpaceDE w:val="0"/>
        <w:autoSpaceDN w:val="0"/>
        <w:adjustRightInd w:val="0"/>
        <w:spacing w:line="480" w:lineRule="auto"/>
        <w:ind w:left="2268" w:leftChars="1080" w:firstLine="1102" w:firstLineChars="392"/>
        <w:outlineLvl w:val="9"/>
        <w:rPr>
          <w:rFonts w:ascii="宋体" w:hAnsi="宋体" w:eastAsia="宋体" w:cs="宋体"/>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r>
        <w:rPr>
          <w:rFonts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1B78C0A4">
      <w:pPr>
        <w:autoSpaceDE w:val="0"/>
        <w:autoSpaceDN w:val="0"/>
        <w:adjustRightInd w:val="0"/>
        <w:spacing w:line="360" w:lineRule="auto"/>
        <w:ind w:firstLine="1102" w:firstLineChars="392"/>
        <w:jc w:val="center"/>
        <w:outlineLvl w:val="9"/>
        <w:rPr>
          <w:rFonts w:ascii="宋体" w:hAnsi="宋体" w:eastAsia="宋体" w:cs="宋体"/>
          <w:b/>
          <w:bCs/>
          <w:color w:val="000000" w:themeColor="text1"/>
          <w:kern w:val="0"/>
          <w:sz w:val="28"/>
          <w:szCs w:val="28"/>
          <w:highlight w:val="none"/>
          <w14:textFill>
            <w14:solidFill>
              <w14:schemeClr w14:val="tx1"/>
            </w14:solidFill>
          </w14:textFill>
        </w:rPr>
      </w:pPr>
    </w:p>
    <w:p w14:paraId="3539CE74">
      <w:pPr>
        <w:autoSpaceDE w:val="0"/>
        <w:autoSpaceDN w:val="0"/>
        <w:adjustRightInd w:val="0"/>
        <w:jc w:val="left"/>
        <w:outlineLvl w:val="9"/>
        <w:rPr>
          <w:rFonts w:ascii="宋体" w:hAnsi="宋体" w:eastAsia="宋体" w:cs="宋体"/>
          <w:b/>
          <w:bCs/>
          <w:color w:val="000000" w:themeColor="text1"/>
          <w:kern w:val="0"/>
          <w:sz w:val="28"/>
          <w:szCs w:val="28"/>
          <w:highlight w:val="none"/>
          <w14:textFill>
            <w14:solidFill>
              <w14:schemeClr w14:val="tx1"/>
            </w14:solidFill>
          </w14:textFill>
        </w:rPr>
      </w:pPr>
    </w:p>
    <w:p w14:paraId="5CBB90B2">
      <w:pPr>
        <w:autoSpaceDE w:val="0"/>
        <w:autoSpaceDN w:val="0"/>
        <w:adjustRightInd w:val="0"/>
        <w:jc w:val="left"/>
        <w:outlineLvl w:val="9"/>
        <w:rPr>
          <w:rFonts w:ascii="宋体" w:hAnsi="宋体" w:eastAsia="宋体" w:cs="宋体"/>
          <w:b/>
          <w:bCs/>
          <w:color w:val="000000" w:themeColor="text1"/>
          <w:kern w:val="0"/>
          <w:sz w:val="28"/>
          <w:szCs w:val="28"/>
          <w:highlight w:val="none"/>
          <w14:textFill>
            <w14:solidFill>
              <w14:schemeClr w14:val="tx1"/>
            </w14:solidFill>
          </w14:textFill>
        </w:rPr>
      </w:pPr>
    </w:p>
    <w:p w14:paraId="32C8FF00">
      <w:pPr>
        <w:pageBreakBefore/>
        <w:spacing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甲方：东莞市众源环境投资有限公司 </w:t>
      </w:r>
    </w:p>
    <w:p w14:paraId="091B278C">
      <w:pPr>
        <w:widowControl/>
        <w:spacing w:line="360" w:lineRule="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 xml:space="preserve">                         </w:t>
      </w:r>
    </w:p>
    <w:p w14:paraId="12065625">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p>
    <w:p w14:paraId="1D0BF6DA">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基于甲方通过公开招标方式确定乙方为东莞市众源环境投资有限公司2026年污泥脱水减量配合服务采购项目的中标单位，就委托乙方根据污水处理厂内污泥脱水减量项目需求，配备充足的配合服务设备操作人员配合项目生产运营，甲乙双方本着诚实守信、平等互利的原则，经平等协商，订立本合同。 </w:t>
      </w:r>
    </w:p>
    <w:p w14:paraId="5EA04963">
      <w:pPr>
        <w:widowControl/>
        <w:spacing w:line="360" w:lineRule="auto"/>
        <w:outlineLvl w:val="9"/>
        <w:rPr>
          <w:rFonts w:ascii="宋体" w:hAnsi="宋体" w:eastAsia="宋体" w:cs="宋体"/>
          <w:b/>
          <w:bCs/>
          <w:color w:val="000000" w:themeColor="text1"/>
          <w:szCs w:val="21"/>
          <w:highlight w:val="none"/>
          <w14:textFill>
            <w14:solidFill>
              <w14:schemeClr w14:val="tx1"/>
            </w14:solidFill>
          </w14:textFill>
        </w:rPr>
      </w:pPr>
    </w:p>
    <w:p w14:paraId="2F81E46A">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服务内容</w:t>
      </w:r>
    </w:p>
    <w:p w14:paraId="58FE51D9">
      <w:pPr>
        <w:tabs>
          <w:tab w:val="left" w:pos="0"/>
        </w:tabs>
        <w:spacing w:line="360" w:lineRule="auto"/>
        <w:ind w:right="-34"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1、乙方负责在甲方指定的污水处理厂或其他地方，使用甲方的设备及配套设施、药剂，配备充足的配合服务设备操作人员配合甲方进行</w:t>
      </w:r>
      <w:r>
        <w:rPr>
          <w:rFonts w:hint="eastAsia" w:ascii="宋体" w:hAnsi="宋体" w:eastAsia="宋体" w:cs="宋体"/>
          <w:color w:val="000000" w:themeColor="text1"/>
          <w:szCs w:val="21"/>
          <w:highlight w:val="none"/>
          <w:lang w:val="zh-CN"/>
          <w14:textFill>
            <w14:solidFill>
              <w14:schemeClr w14:val="tx1"/>
            </w14:solidFill>
          </w14:textFill>
        </w:rPr>
        <w:t>污水处理厂的剩余污泥脱水减量</w:t>
      </w:r>
      <w:r>
        <w:rPr>
          <w:rFonts w:hint="eastAsia" w:ascii="宋体" w:hAnsi="宋体" w:eastAsia="宋体" w:cs="宋体"/>
          <w:color w:val="000000" w:themeColor="text1"/>
          <w:szCs w:val="21"/>
          <w:highlight w:val="none"/>
          <w14:textFill>
            <w14:solidFill>
              <w14:schemeClr w14:val="tx1"/>
            </w14:solidFill>
          </w14:textFill>
        </w:rPr>
        <w:t>工作，具体负责生产现场的设备操作，同时包含协助设备维护、数据记录及其他现场工作。</w:t>
      </w:r>
    </w:p>
    <w:p w14:paraId="5E1EBAA8">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服务期限、服务费用</w:t>
      </w:r>
    </w:p>
    <w:p w14:paraId="207A877E">
      <w:pPr>
        <w:tabs>
          <w:tab w:val="left" w:pos="0"/>
        </w:tabs>
        <w:spacing w:line="360" w:lineRule="auto"/>
        <w:ind w:right="-34"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1、服务期限：</w:t>
      </w:r>
    </w:p>
    <w:p w14:paraId="62B9F178">
      <w:pPr>
        <w:tabs>
          <w:tab w:val="left" w:pos="0"/>
        </w:tabs>
        <w:spacing w:line="360" w:lineRule="auto"/>
        <w:ind w:right="-34"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各污水处理厂污泥脱水减量项目配合服务服务限期</w:t>
      </w:r>
      <w:r>
        <w:rPr>
          <w:rFonts w:hint="eastAsia" w:ascii="宋体" w:hAnsi="宋体" w:eastAsia="宋体" w:cs="宋体"/>
          <w:color w:val="000000" w:themeColor="text1"/>
          <w:szCs w:val="21"/>
          <w:highlight w:val="none"/>
          <w:lang w:val="en-US" w:eastAsia="zh-CN"/>
          <w14:textFill>
            <w14:solidFill>
              <w14:schemeClr w14:val="tx1"/>
            </w14:solidFill>
          </w14:textFill>
        </w:rPr>
        <w:t>自</w:t>
      </w: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val="en-US" w:eastAsia="zh-CN"/>
          <w14:textFill>
            <w14:solidFill>
              <w14:schemeClr w14:val="tx1"/>
            </w14:solidFill>
          </w14:textFill>
        </w:rPr>
        <w:t>发出的《进场通知书》中载明</w:t>
      </w:r>
      <w:r>
        <w:rPr>
          <w:rFonts w:hint="eastAsia" w:ascii="宋体" w:hAnsi="宋体" w:eastAsia="宋体" w:cs="宋体"/>
          <w:color w:val="000000" w:themeColor="text1"/>
          <w:szCs w:val="21"/>
          <w:highlight w:val="none"/>
          <w14:textFill>
            <w14:solidFill>
              <w14:schemeClr w14:val="tx1"/>
            </w14:solidFill>
          </w14:textFill>
        </w:rPr>
        <w:t>之日起至</w:t>
      </w:r>
      <w:r>
        <w:rPr>
          <w:rFonts w:hint="eastAsia" w:ascii="宋体" w:hAnsi="宋体" w:eastAsia="宋体" w:cs="宋体"/>
          <w:color w:val="000000" w:themeColor="text1"/>
          <w:szCs w:val="21"/>
          <w:highlight w:val="none"/>
          <w:lang w:val="en-US" w:eastAsia="zh-CN"/>
          <w14:textFill>
            <w14:solidFill>
              <w14:schemeClr w14:val="tx1"/>
            </w14:solidFill>
          </w14:textFill>
        </w:rPr>
        <w:t>2026</w:t>
      </w:r>
      <w:r>
        <w:rPr>
          <w:rFonts w:hint="eastAsia" w:ascii="宋体" w:hAnsi="宋体" w:eastAsia="宋体" w:cs="宋体"/>
          <w:color w:val="000000" w:themeColor="text1"/>
          <w:szCs w:val="21"/>
          <w:highlight w:val="none"/>
          <w14:textFill>
            <w14:solidFill>
              <w14:schemeClr w14:val="tx1"/>
            </w14:solidFill>
          </w14:textFill>
        </w:rPr>
        <w:t>年12月31日止。</w:t>
      </w:r>
    </w:p>
    <w:p w14:paraId="150E0F16">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2、服务费用：</w:t>
      </w:r>
    </w:p>
    <w:p w14:paraId="1A02E15E">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乙方提供本合同项下污泥脱水减量配合服务的</w:t>
      </w:r>
      <w:r>
        <w:rPr>
          <w:rFonts w:hint="eastAsia" w:ascii="宋体" w:hAnsi="宋体" w:eastAsia="宋体" w:cs="宋体"/>
          <w:color w:val="000000" w:themeColor="text1"/>
          <w:szCs w:val="21"/>
          <w:highlight w:val="none"/>
          <w14:textFill>
            <w14:solidFill>
              <w14:schemeClr w14:val="tx1"/>
            </w14:solidFill>
          </w14:textFill>
        </w:rPr>
        <w:t>合同</w:t>
      </w:r>
      <w:r>
        <w:rPr>
          <w:rFonts w:hint="eastAsia" w:ascii="宋体" w:hAnsi="宋体" w:eastAsia="宋体" w:cs="宋体"/>
          <w:color w:val="000000" w:themeColor="text1"/>
          <w:szCs w:val="21"/>
          <w:highlight w:val="none"/>
          <w:lang w:val="en-US"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单价（即销售额，不含乙方销项税额）</w:t>
      </w:r>
      <w:r>
        <w:rPr>
          <w:rFonts w:hint="eastAsia" w:ascii="宋体" w:hAnsi="宋体" w:eastAsia="宋体" w:cs="宋体"/>
          <w:color w:val="000000" w:themeColor="text1"/>
          <w:szCs w:val="21"/>
          <w:highlight w:val="none"/>
          <w:lang w:val="en-US" w:eastAsia="zh-CN"/>
          <w14:textFill>
            <w14:solidFill>
              <w14:schemeClr w14:val="tx1"/>
            </w14:solidFill>
          </w14:textFill>
        </w:rPr>
        <w:t>为</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元/吨（按含水率80%湿泥计）</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（大写人民币</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每吨</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。在本合同履行过程中，合同</w:t>
      </w:r>
      <w:r>
        <w:rPr>
          <w:rFonts w:hint="eastAsia" w:ascii="宋体" w:hAnsi="宋体" w:eastAsia="宋体" w:cs="宋体"/>
          <w:color w:val="000000" w:themeColor="text1"/>
          <w:szCs w:val="21"/>
          <w:highlight w:val="none"/>
          <w:lang w:val="en-US"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单价（即销售额，不含乙方销项税额）不随法律法规政策、物价人工、服务期调整而进行调整，未经甲方书面确认，乙方无权增加任何费用。</w:t>
      </w:r>
    </w:p>
    <w:p w14:paraId="5B2ED3A1">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（2）依法计得并根据本合同约定确定的销项税额由甲方承担。根据</w:t>
      </w:r>
      <w:r>
        <w:rPr>
          <w:rFonts w:hint="eastAsia" w:ascii="宋体" w:hAnsi="宋体" w:eastAsia="宋体" w:cs="宋体"/>
          <w:color w:val="000000" w:themeColor="text1"/>
          <w:szCs w:val="21"/>
          <w:highlight w:val="none"/>
          <w:lang w:val="zh-CN"/>
          <w14:textFill>
            <w14:solidFill>
              <w14:schemeClr w14:val="tx1"/>
            </w14:solidFill>
          </w14:textFill>
        </w:rPr>
        <w:t>《中华人民共和国增值税</w:t>
      </w:r>
      <w:r>
        <w:rPr>
          <w:rFonts w:hint="eastAsia" w:ascii="宋体" w:hAnsi="宋体" w:eastAsia="宋体" w:cs="宋体"/>
          <w:color w:val="000000" w:themeColor="text1"/>
          <w:szCs w:val="21"/>
          <w:highlight w:val="none"/>
          <w14:textFill>
            <w14:solidFill>
              <w14:schemeClr w14:val="tx1"/>
            </w14:solidFill>
          </w14:textFill>
        </w:rPr>
        <w:t>暂行</w:t>
      </w:r>
      <w:r>
        <w:rPr>
          <w:rFonts w:hint="eastAsia" w:ascii="宋体" w:hAnsi="宋体" w:eastAsia="宋体" w:cs="宋体"/>
          <w:color w:val="000000" w:themeColor="text1"/>
          <w:szCs w:val="21"/>
          <w:highlight w:val="none"/>
          <w:lang w:val="zh-CN"/>
          <w14:textFill>
            <w14:solidFill>
              <w14:schemeClr w14:val="tx1"/>
            </w14:solidFill>
          </w14:textFill>
        </w:rPr>
        <w:t>条例》（国务院令第691号修订版）</w:t>
      </w:r>
      <w:r>
        <w:rPr>
          <w:rFonts w:hint="eastAsia" w:ascii="宋体" w:hAnsi="宋体" w:eastAsia="宋体" w:cs="宋体"/>
          <w:color w:val="000000" w:themeColor="text1"/>
          <w:szCs w:val="21"/>
          <w:highlight w:val="none"/>
          <w14:textFill>
            <w14:solidFill>
              <w14:schemeClr w14:val="tx1"/>
            </w14:solidFill>
          </w14:textFill>
        </w:rPr>
        <w:t>及当前税务部门的相关规定，本合同项目污泥脱水减量配合服务费的增值税税率为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，乙方的增值税销项税额根据本合同约定按实结算。</w:t>
      </w:r>
      <w:r>
        <w:rPr>
          <w:rFonts w:hint="eastAsia" w:ascii="宋体" w:hAnsi="宋体" w:eastAsia="宋体" w:cs="宋体"/>
          <w:color w:val="000000" w:themeColor="text1"/>
          <w:szCs w:val="21"/>
          <w:highlight w:val="none"/>
          <w:lang w:val="zh-CN"/>
          <w14:textFill>
            <w14:solidFill>
              <w14:schemeClr w14:val="tx1"/>
            </w14:solidFill>
          </w14:textFill>
        </w:rPr>
        <w:t>在本合同履行过程中，税收政策变动导致</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eastAsia="宋体" w:cs="宋体"/>
          <w:color w:val="000000" w:themeColor="text1"/>
          <w:szCs w:val="21"/>
          <w:highlight w:val="none"/>
          <w:lang w:val="zh-CN"/>
          <w14:textFill>
            <w14:solidFill>
              <w14:schemeClr w14:val="tx1"/>
            </w14:solidFill>
          </w14:textFill>
        </w:rPr>
        <w:t>税率调整，依法应调整</w:t>
      </w:r>
      <w:r>
        <w:rPr>
          <w:rFonts w:hint="eastAsia" w:ascii="宋体" w:hAnsi="宋体" w:eastAsia="宋体" w:cs="宋体"/>
          <w:color w:val="000000" w:themeColor="text1"/>
          <w:szCs w:val="21"/>
          <w:highlight w:val="none"/>
          <w14:textFill>
            <w14:solidFill>
              <w14:schemeClr w14:val="tx1"/>
            </w14:solidFill>
          </w14:textFill>
        </w:rPr>
        <w:t>销项税额的，依法调整；但因乙方未按合同约定提供服务、未根据合同约定提供合法、完整的请款资料等原因导致销项税额增加的，相应损失由乙方承担。</w:t>
      </w:r>
    </w:p>
    <w:p w14:paraId="51112ED9">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4DF8B225">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w:t>
      </w:r>
      <w:r>
        <w:rPr>
          <w:rFonts w:hint="eastAsia" w:ascii="宋体" w:hAnsi="宋体" w:eastAsia="宋体" w:cs="宋体"/>
          <w:color w:val="000000" w:themeColor="text1"/>
          <w:szCs w:val="21"/>
          <w:highlight w:val="none"/>
          <w:lang w:val="en-US"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单价价税合计为</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元/吨</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（大写人民币</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每吨</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，合同履行期间根据上述第（2）项规定调整销项税额的，结算合同单价价税合计对应调整。</w:t>
      </w:r>
    </w:p>
    <w:p w14:paraId="70E4A748">
      <w:pPr>
        <w:spacing w:line="360" w:lineRule="auto"/>
        <w:ind w:firstLine="424" w:firstLineChars="202"/>
        <w:outlineLvl w:val="9"/>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（4）本合同项下预估污泥量（按含水率80%湿泥计）对应的暂定总合同价税合计为</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119A95B">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（5）本项目合同</w:t>
      </w:r>
      <w:r>
        <w:rPr>
          <w:rFonts w:hint="eastAsia" w:ascii="宋体" w:hAnsi="宋体" w:eastAsia="宋体" w:cs="宋体"/>
          <w:color w:val="000000" w:themeColor="text1"/>
          <w:szCs w:val="21"/>
          <w:highlight w:val="none"/>
          <w:lang w:val="en-US"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单价，包括但不限于配合服务中人工费（工资及加班工资、福利、社保、住房公积金、节日补贴、高温津贴、劳保、服装和膳食、意外伤害保险、住宿补贴、市内交通补贴、培训、经济补偿等）、办公费、交通费、保险、利润、污泥脱水减量配合服务项目所发生的乙方销项税额以外的税费</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法律法规、商业公认、</w:t>
      </w:r>
      <w:r>
        <w:rPr>
          <w:rFonts w:hint="eastAsia" w:ascii="宋体" w:hAnsi="宋体" w:eastAsia="宋体" w:cs="宋体"/>
          <w:color w:val="000000" w:themeColor="text1"/>
          <w:szCs w:val="21"/>
          <w:highlight w:val="none"/>
          <w:lang w:val="zh-CN"/>
          <w14:textFill>
            <w14:solidFill>
              <w14:schemeClr w14:val="tx1"/>
            </w14:solidFill>
          </w14:textFill>
        </w:rPr>
        <w:t>完成合同实施过程中由</w:t>
      </w:r>
      <w:r>
        <w:rPr>
          <w:rFonts w:hint="eastAsia" w:ascii="宋体" w:hAnsi="宋体" w:eastAsia="宋体" w:cs="宋体"/>
          <w:color w:val="000000" w:themeColor="text1"/>
          <w:szCs w:val="21"/>
          <w:highlight w:val="none"/>
          <w14:textFill>
            <w14:solidFill>
              <w14:schemeClr w14:val="tx1"/>
            </w14:solidFill>
          </w14:textFill>
        </w:rPr>
        <w:t>乙方承担的其他直接及间接费用。</w:t>
      </w:r>
    </w:p>
    <w:p w14:paraId="22A330DC">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3、甲方按</w:t>
      </w:r>
      <w:r>
        <w:rPr>
          <w:rFonts w:hint="eastAsia" w:ascii="宋体" w:hAnsi="宋体" w:eastAsia="宋体" w:cs="宋体"/>
          <w:color w:val="000000" w:themeColor="text1"/>
          <w:szCs w:val="21"/>
          <w:highlight w:val="none"/>
          <w:lang w:val="en-US" w:eastAsia="zh-CN"/>
          <w14:textFill>
            <w14:solidFill>
              <w14:schemeClr w14:val="tx1"/>
            </w14:solidFill>
          </w14:textFill>
        </w:rPr>
        <w:t>车</w:t>
      </w:r>
      <w:r>
        <w:rPr>
          <w:rFonts w:hint="eastAsia" w:ascii="宋体" w:hAnsi="宋体" w:eastAsia="宋体" w:cs="宋体"/>
          <w:color w:val="000000" w:themeColor="text1"/>
          <w:szCs w:val="21"/>
          <w:highlight w:val="none"/>
          <w14:textFill>
            <w14:solidFill>
              <w14:schemeClr w14:val="tx1"/>
            </w14:solidFill>
          </w14:textFill>
        </w:rPr>
        <w:t>次检测减量化的污泥含水率，费用由甲方承担，乙方无条件配合检测工作；因建立台账而产生自检的费用由乙方自行负责。</w:t>
      </w:r>
    </w:p>
    <w:p w14:paraId="3D492B62">
      <w:pPr>
        <w:spacing w:line="360" w:lineRule="auto"/>
        <w:ind w:firstLine="413" w:firstLineChars="196"/>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第三条 </w:t>
      </w:r>
      <w:r>
        <w:rPr>
          <w:rFonts w:hint="eastAsia" w:ascii="宋体" w:hAnsi="宋体" w:eastAsia="宋体" w:cs="宋体"/>
          <w:b/>
          <w:color w:val="000000" w:themeColor="text1"/>
          <w:szCs w:val="21"/>
          <w:highlight w:val="none"/>
          <w:lang w:val="en-US" w:eastAsia="zh-CN"/>
          <w14:textFill>
            <w14:solidFill>
              <w14:schemeClr w14:val="tx1"/>
            </w14:solidFill>
          </w14:textFill>
        </w:rPr>
        <w:t>服务费用计费</w:t>
      </w:r>
    </w:p>
    <w:p w14:paraId="36CF7903">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1、污水处理厂污泥脱水减量配合服务费</w:t>
      </w:r>
      <w:r>
        <w:rPr>
          <w:rFonts w:hint="eastAsia" w:ascii="宋体" w:hAnsi="宋体" w:eastAsia="宋体" w:cs="宋体"/>
          <w:color w:val="000000" w:themeColor="text1"/>
          <w:szCs w:val="21"/>
          <w:highlight w:val="none"/>
          <w:lang w:val="en-US"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单价按含水率80%的湿泥计价（元/吨）。</w:t>
      </w:r>
      <w:r>
        <w:rPr>
          <w:rFonts w:hint="eastAsia" w:ascii="宋体" w:hAnsi="宋体" w:eastAsia="宋体" w:cs="宋体"/>
          <w:color w:val="000000" w:themeColor="text1"/>
          <w:szCs w:val="21"/>
          <w:highlight w:val="none"/>
          <w:lang w:val="en-US" w:eastAsia="zh-CN"/>
          <w14:textFill>
            <w14:solidFill>
              <w14:schemeClr w14:val="tx1"/>
            </w14:solidFill>
          </w14:textFill>
        </w:rPr>
        <w:t>当车污泥</w:t>
      </w:r>
      <w:r>
        <w:rPr>
          <w:rFonts w:hint="eastAsia" w:ascii="宋体" w:hAnsi="宋体" w:eastAsia="宋体" w:cs="宋体"/>
          <w:color w:val="000000" w:themeColor="text1"/>
          <w:szCs w:val="21"/>
          <w:highlight w:val="none"/>
          <w14:textFill>
            <w14:solidFill>
              <w14:schemeClr w14:val="tx1"/>
            </w14:solidFill>
          </w14:textFill>
        </w:rPr>
        <w:t>通过</w:t>
      </w:r>
      <w:r>
        <w:rPr>
          <w:rFonts w:hint="eastAsia" w:ascii="宋体" w:hAnsi="宋体" w:eastAsia="宋体" w:cs="宋体"/>
          <w:color w:val="000000" w:themeColor="text1"/>
          <w:szCs w:val="21"/>
          <w:highlight w:val="none"/>
          <w:lang w:val="en-US" w:eastAsia="zh-CN"/>
          <w14:textFill>
            <w14:solidFill>
              <w14:schemeClr w14:val="tx1"/>
            </w14:solidFill>
          </w14:textFill>
        </w:rPr>
        <w:t>双方认可且经法定计量检定机构周期性检定合格</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地磅的称重数据（磅单）为计量计费依据（按吨计，精确到</w:t>
      </w:r>
      <w:r>
        <w:rPr>
          <w:rFonts w:hint="eastAsia" w:ascii="宋体" w:hAnsi="宋体" w:eastAsia="宋体" w:cs="宋体"/>
          <w:color w:val="000000" w:themeColor="text1"/>
          <w:szCs w:val="21"/>
          <w:highlight w:val="none"/>
          <w:lang w:val="en-US" w:eastAsia="zh-CN"/>
          <w14:textFill>
            <w14:solidFill>
              <w14:schemeClr w14:val="tx1"/>
            </w14:solidFill>
          </w14:textFill>
        </w:rPr>
        <w:t>小数点后两位，即</w:t>
      </w:r>
      <w:r>
        <w:rPr>
          <w:rFonts w:hint="eastAsia" w:ascii="宋体" w:hAnsi="宋体" w:eastAsia="宋体" w:cs="宋体"/>
          <w:color w:val="000000" w:themeColor="text1"/>
          <w:szCs w:val="21"/>
          <w:highlight w:val="none"/>
          <w14:textFill>
            <w14:solidFill>
              <w14:schemeClr w14:val="tx1"/>
            </w14:solidFill>
          </w14:textFill>
        </w:rPr>
        <w:t>0.01吨），计量相关费用均由甲方承担。</w:t>
      </w:r>
    </w:p>
    <w:p w14:paraId="728BADBF">
      <w:pPr>
        <w:spacing w:line="360" w:lineRule="auto"/>
        <w:ind w:firstLine="424" w:firstLineChars="202"/>
        <w:outlineLvl w:val="9"/>
        <w:rPr>
          <w:rFonts w:hint="default" w:ascii="宋体" w:hAnsi="宋体" w:eastAsia="宋体" w:cs="宋体"/>
          <w:color w:val="000000" w:themeColor="text1"/>
          <w:szCs w:val="21"/>
          <w:highlight w:val="none"/>
          <w:lang w:val="en-US" w:eastAsia="zh-CN"/>
          <w14:textFill>
            <w14:solidFill>
              <w14:schemeClr w14:val="tx1"/>
            </w14:solidFill>
          </w14:textFill>
        </w:rPr>
      </w:pPr>
      <w:bookmarkStart w:id="468" w:name="OLE_LINK2"/>
      <w:r>
        <w:rPr>
          <w:rFonts w:hint="eastAsia" w:ascii="宋体" w:hAnsi="宋体" w:eastAsia="宋体" w:cs="宋体"/>
          <w:color w:val="000000" w:themeColor="text1"/>
          <w:szCs w:val="21"/>
          <w:highlight w:val="none"/>
          <w14:textFill>
            <w14:solidFill>
              <w14:schemeClr w14:val="tx1"/>
            </w14:solidFill>
          </w14:textFill>
        </w:rPr>
        <w:t>2、</w:t>
      </w:r>
      <w:bookmarkEnd w:id="468"/>
      <w:r>
        <w:rPr>
          <w:rFonts w:hint="eastAsia" w:ascii="宋体" w:hAnsi="宋体" w:eastAsia="宋体" w:cs="宋体"/>
          <w:color w:val="000000" w:themeColor="text1"/>
          <w:szCs w:val="21"/>
          <w:highlight w:val="none"/>
          <w:lang w:val="en-US" w:eastAsia="zh-CN"/>
          <w14:textFill>
            <w14:solidFill>
              <w14:schemeClr w14:val="tx1"/>
            </w14:solidFill>
          </w14:textFill>
        </w:rPr>
        <w:t>服务费综合单价计费</w:t>
      </w:r>
    </w:p>
    <w:p w14:paraId="3A4BFED0">
      <w:pPr>
        <w:spacing w:line="360" w:lineRule="auto"/>
        <w:ind w:firstLine="424" w:firstLineChars="202"/>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（1）当项目约定的含水率标准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上限值</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000000" w:themeColor="text1"/>
          <w:szCs w:val="21"/>
          <w:highlight w:val="none"/>
          <w:lang w:val="en-US" w:eastAsia="zh-CN"/>
          <w14:textFill>
            <w14:solidFill>
              <w14:schemeClr w14:val="tx1"/>
            </w14:solidFill>
          </w14:textFill>
        </w:rPr>
        <w:t>例如</w:t>
      </w:r>
      <w:r>
        <w:rPr>
          <w:rFonts w:hint="eastAsia" w:ascii="宋体" w:hAnsi="宋体" w:eastAsia="宋体" w:cs="宋体"/>
          <w:color w:val="000000" w:themeColor="text1"/>
          <w:szCs w:val="21"/>
          <w:highlight w:val="none"/>
          <w14:textFill>
            <w14:solidFill>
              <w14:schemeClr w14:val="tx1"/>
            </w14:solidFill>
          </w14:textFill>
        </w:rPr>
        <w:t>当含水率标准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上限值</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为60%时，对应折算系数为2。当有新含水率标准时，</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书面通知</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乙方应遵照执行，</w:t>
      </w:r>
      <w:r>
        <w:rPr>
          <w:rFonts w:hint="eastAsia" w:ascii="宋体" w:hAnsi="宋体" w:eastAsia="宋体" w:cs="宋体"/>
          <w:color w:val="000000" w:themeColor="text1"/>
          <w:szCs w:val="21"/>
          <w:highlight w:val="none"/>
          <w14:textFill>
            <w14:solidFill>
              <w14:schemeClr w14:val="tx1"/>
            </w14:solidFill>
          </w14:textFill>
        </w:rPr>
        <w:t>相应折算系数按照</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折算公式计算</w:t>
      </w:r>
      <w:r>
        <w:rPr>
          <w:rFonts w:hint="eastAsia" w:ascii="宋体" w:hAnsi="宋体" w:eastAsia="宋体" w:cs="宋体"/>
          <w:color w:val="000000" w:themeColor="text1"/>
          <w:szCs w:val="21"/>
          <w:highlight w:val="none"/>
          <w:lang w:eastAsia="zh-CN"/>
          <w14:textFill>
            <w14:solidFill>
              <w14:schemeClr w14:val="tx1"/>
            </w14:solidFill>
          </w14:textFill>
        </w:rPr>
        <w:t>。</w:t>
      </w:r>
    </w:p>
    <w:p w14:paraId="1C527667">
      <w:pPr>
        <w:spacing w:line="360" w:lineRule="auto"/>
        <w:ind w:firstLine="424" w:firstLineChars="202"/>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含水率标准参考下表，各项目点的实际含水率标准以合同约定或甲方书面通知为准：</w:t>
      </w:r>
    </w:p>
    <w:tbl>
      <w:tblPr>
        <w:tblStyle w:val="3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265F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52FC6669">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项目点</w:t>
            </w:r>
          </w:p>
        </w:tc>
        <w:tc>
          <w:tcPr>
            <w:tcW w:w="2268" w:type="dxa"/>
            <w:vAlign w:val="center"/>
          </w:tcPr>
          <w:p w14:paraId="64702135">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含水率标准 （上限值）</w:t>
            </w:r>
          </w:p>
        </w:tc>
      </w:tr>
      <w:tr w14:paraId="137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7075CB9D">
            <w:pPr>
              <w:autoSpaceDE w:val="0"/>
              <w:autoSpaceDN w:val="0"/>
              <w:adjustRightInd w:val="0"/>
              <w:spacing w:line="36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市区厂众源移动式（含一二期和三期）</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长安新区众源移动式</w:t>
            </w:r>
          </w:p>
        </w:tc>
        <w:tc>
          <w:tcPr>
            <w:tcW w:w="2268" w:type="dxa"/>
            <w:vAlign w:val="center"/>
          </w:tcPr>
          <w:p w14:paraId="73ED95E6">
            <w:pPr>
              <w:autoSpaceDE w:val="0"/>
              <w:autoSpaceDN w:val="0"/>
              <w:adjustRightInd w:val="0"/>
              <w:spacing w:line="24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Cs w:val="21"/>
                <w:highlight w:val="none"/>
                <w14:textFill>
                  <w14:solidFill>
                    <w14:schemeClr w14:val="tx1"/>
                  </w14:solidFill>
                </w14:textFill>
              </w:rPr>
              <w:t xml:space="preserve">% </w:t>
            </w:r>
          </w:p>
        </w:tc>
      </w:tr>
      <w:tr w14:paraId="48E4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39FE996C">
            <w:pPr>
              <w:autoSpaceDE w:val="0"/>
              <w:autoSpaceDN w:val="0"/>
              <w:adjustRightInd w:val="0"/>
              <w:spacing w:line="360" w:lineRule="auto"/>
              <w:jc w:val="left"/>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黄江二期、寮步三期、温塘二期、横沥东坑二期、常平东二期、常平西二期、黄江梅塘南部厂、松山湖科学城厂、茶山改扩建项目、麻涌二期、中堂二期、石碣二期、万江二期、高埗二期、长安新区厂、牛山二期、大岭山二期、沙田二期、虎门宁洲三期、塘厦白泥湖项目、凤岗竹塘三期、清溪厦坭二期</w:t>
            </w:r>
          </w:p>
        </w:tc>
        <w:tc>
          <w:tcPr>
            <w:tcW w:w="2268" w:type="dxa"/>
            <w:shd w:val="clear" w:color="auto" w:fill="auto"/>
            <w:vAlign w:val="center"/>
          </w:tcPr>
          <w:p w14:paraId="1B9CA6F1">
            <w:pPr>
              <w:autoSpaceDE w:val="0"/>
              <w:autoSpaceDN w:val="0"/>
              <w:adjustRightInd w:val="0"/>
              <w:spacing w:line="240" w:lineRule="auto"/>
              <w:jc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60% </w:t>
            </w:r>
          </w:p>
        </w:tc>
      </w:tr>
      <w:tr w14:paraId="1BE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56CF1693">
            <w:pPr>
              <w:autoSpaceDE w:val="0"/>
              <w:autoSpaceDN w:val="0"/>
              <w:adjustRightInd w:val="0"/>
              <w:spacing w:line="240" w:lineRule="auto"/>
              <w:jc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凤岗竹塘二期</w:t>
            </w:r>
          </w:p>
        </w:tc>
        <w:tc>
          <w:tcPr>
            <w:tcW w:w="2268" w:type="dxa"/>
            <w:shd w:val="clear" w:color="auto" w:fill="auto"/>
            <w:vAlign w:val="center"/>
          </w:tcPr>
          <w:p w14:paraId="529FAAA9">
            <w:pPr>
              <w:autoSpaceDE w:val="0"/>
              <w:autoSpaceDN w:val="0"/>
              <w:adjustRightInd w:val="0"/>
              <w:spacing w:line="240" w:lineRule="auto"/>
              <w:jc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80%</w:t>
            </w:r>
          </w:p>
        </w:tc>
      </w:tr>
    </w:tbl>
    <w:p w14:paraId="276EAE40">
      <w:pPr>
        <w:spacing w:line="360" w:lineRule="auto"/>
        <w:ind w:firstLine="424" w:firstLineChars="202"/>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备注： 含水率标准以设备设计能力及</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lang w:eastAsia="zh-CN"/>
          <w14:textFill>
            <w14:solidFill>
              <w14:schemeClr w14:val="tx1"/>
            </w14:solidFill>
          </w14:textFill>
        </w:rPr>
        <w:t>与污水处理厂的约定为设定依据，为污泥脱水减量工作的验收、结算的合格线，具体结算方式详见</w:t>
      </w: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lang w:eastAsia="zh-CN"/>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三条</w:t>
      </w:r>
      <w:r>
        <w:rPr>
          <w:rFonts w:hint="eastAsia" w:ascii="宋体" w:hAnsi="宋体" w:eastAsia="宋体" w:cs="宋体"/>
          <w:color w:val="000000" w:themeColor="text1"/>
          <w:szCs w:val="21"/>
          <w:highlight w:val="none"/>
          <w:lang w:eastAsia="zh-CN"/>
          <w14:textFill>
            <w14:solidFill>
              <w14:schemeClr w14:val="tx1"/>
            </w14:solidFill>
          </w14:textFill>
        </w:rPr>
        <w:t>第2</w:t>
      </w:r>
      <w:r>
        <w:rPr>
          <w:rFonts w:hint="eastAsia" w:ascii="宋体" w:hAnsi="宋体" w:eastAsia="宋体" w:cs="宋体"/>
          <w:color w:val="000000" w:themeColor="text1"/>
          <w:szCs w:val="21"/>
          <w:highlight w:val="none"/>
          <w:lang w:val="en-US" w:eastAsia="zh-CN"/>
          <w14:textFill>
            <w14:solidFill>
              <w14:schemeClr w14:val="tx1"/>
            </w14:solidFill>
          </w14:textFill>
        </w:rPr>
        <w:t>款</w:t>
      </w:r>
      <w:r>
        <w:rPr>
          <w:rFonts w:hint="eastAsia" w:ascii="宋体" w:hAnsi="宋体" w:eastAsia="宋体" w:cs="宋体"/>
          <w:color w:val="000000" w:themeColor="text1"/>
          <w:szCs w:val="21"/>
          <w:highlight w:val="none"/>
          <w:lang w:eastAsia="zh-CN"/>
          <w14:textFill>
            <w14:solidFill>
              <w14:schemeClr w14:val="tx1"/>
            </w14:solidFill>
          </w14:textFill>
        </w:rPr>
        <w:t>。不同项目点的含水率标准存在不一致的情况。服务期内，若</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lang w:eastAsia="zh-CN"/>
          <w14:textFill>
            <w14:solidFill>
              <w14:schemeClr w14:val="tx1"/>
            </w14:solidFill>
          </w14:textFill>
        </w:rPr>
        <w:t>需增加项目点时，</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lang w:eastAsia="zh-CN"/>
          <w14:textFill>
            <w14:solidFill>
              <w14:schemeClr w14:val="tx1"/>
            </w14:solidFill>
          </w14:textFill>
        </w:rPr>
        <w:t>将根据合同价格承接，增加项目点以</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lang w:eastAsia="zh-CN"/>
          <w14:textFill>
            <w14:solidFill>
              <w14:schemeClr w14:val="tx1"/>
            </w14:solidFill>
          </w14:textFill>
        </w:rPr>
        <w:t>书面通知为准。</w:t>
      </w:r>
    </w:p>
    <w:p w14:paraId="58732D2E">
      <w:pPr>
        <w:numPr>
          <w:ilvl w:val="0"/>
          <w:numId w:val="0"/>
        </w:numPr>
        <w:spacing w:line="360" w:lineRule="auto"/>
        <w:ind w:firstLine="424" w:firstLineChars="202"/>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3、每车次外运污泥含水率以污水处理厂化验室检测的结果为计费依据。含水率取样方式为用不锈钢采样器，</w:t>
      </w:r>
      <w:r>
        <w:rPr>
          <w:rFonts w:hint="eastAsia" w:ascii="宋体" w:hAnsi="宋体" w:eastAsia="宋体" w:cs="宋体"/>
          <w:color w:val="000000" w:themeColor="text1"/>
          <w:szCs w:val="21"/>
          <w:highlight w:val="none"/>
          <w:lang w:val="en-US" w:eastAsia="zh-CN"/>
          <w14:textFill>
            <w14:solidFill>
              <w14:schemeClr w14:val="tx1"/>
            </w14:solidFill>
          </w14:textFill>
        </w:rPr>
        <w:t>由运输车司机</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污泥装车后</w:t>
      </w:r>
      <w:r>
        <w:rPr>
          <w:rFonts w:hint="eastAsia" w:ascii="宋体" w:hAnsi="宋体" w:eastAsia="宋体" w:cs="宋体"/>
          <w:color w:val="000000" w:themeColor="text1"/>
          <w:szCs w:val="21"/>
          <w:highlight w:val="none"/>
          <w14:textFill>
            <w14:solidFill>
              <w14:schemeClr w14:val="tx1"/>
            </w14:solidFill>
          </w14:textFill>
        </w:rPr>
        <w:t>污泥运输车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车辆未驶离污水处理厂大门前</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上3个不同位置采集，并充分混合，分为三</w:t>
      </w:r>
      <w:r>
        <w:rPr>
          <w:rFonts w:hint="eastAsia" w:ascii="宋体" w:hAnsi="宋体" w:eastAsia="宋体" w:cs="宋体"/>
          <w:color w:val="000000" w:themeColor="text1"/>
          <w:szCs w:val="21"/>
          <w:highlight w:val="none"/>
          <w:lang w:val="en-US"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份，分别交</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及化验室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由各方代表在交样清单上签名确认</w:t>
      </w:r>
      <w:r>
        <w:rPr>
          <w:rFonts w:hint="eastAsia" w:ascii="宋体" w:hAnsi="宋体" w:eastAsia="宋体" w:cs="宋体"/>
          <w:color w:val="000000" w:themeColor="text1"/>
          <w:szCs w:val="21"/>
          <w:highlight w:val="none"/>
          <w14:textFill>
            <w14:solidFill>
              <w14:schemeClr w14:val="tx1"/>
            </w14:solidFill>
          </w14:textFill>
        </w:rPr>
        <w:t>。采样方式亦可能会因主管部门颁布的政策法规或行业标准、规范而调整，或经与项目所在厂区</w:t>
      </w:r>
      <w:r>
        <w:rPr>
          <w:rFonts w:hint="eastAsia" w:ascii="宋体" w:hAnsi="宋体" w:eastAsia="宋体" w:cs="宋体"/>
          <w:color w:val="000000" w:themeColor="text1"/>
          <w:szCs w:val="21"/>
          <w:highlight w:val="none"/>
          <w:lang w:val="en-US" w:eastAsia="zh-CN"/>
          <w14:textFill>
            <w14:solidFill>
              <w14:schemeClr w14:val="tx1"/>
            </w14:solidFill>
          </w14:textFill>
        </w:rPr>
        <w:t>权属单位或运营单位或行政主管部门</w:t>
      </w:r>
      <w:r>
        <w:rPr>
          <w:rFonts w:hint="eastAsia" w:ascii="宋体" w:hAnsi="宋体" w:eastAsia="宋体" w:cs="宋体"/>
          <w:color w:val="000000" w:themeColor="text1"/>
          <w:szCs w:val="21"/>
          <w:highlight w:val="none"/>
          <w14:textFill>
            <w14:solidFill>
              <w14:schemeClr w14:val="tx1"/>
            </w14:solidFill>
          </w14:textFill>
        </w:rPr>
        <w:t>沟通后双方认可的方式进行调整。</w:t>
      </w:r>
      <w:r>
        <w:rPr>
          <w:rFonts w:hint="eastAsia" w:ascii="宋体" w:hAnsi="宋体" w:eastAsia="宋体" w:cs="宋体"/>
          <w:color w:val="000000" w:themeColor="text1"/>
          <w:szCs w:val="21"/>
          <w:highlight w:val="none"/>
          <w:lang w:val="en-US" w:eastAsia="zh-CN"/>
          <w14:textFill>
            <w14:solidFill>
              <w14:schemeClr w14:val="tx1"/>
            </w14:solidFill>
          </w14:textFill>
        </w:rPr>
        <w:t>如乙方对</w:t>
      </w:r>
      <w:r>
        <w:rPr>
          <w:rFonts w:hint="eastAsia" w:ascii="宋体" w:hAnsi="宋体" w:eastAsia="宋体" w:cs="宋体"/>
          <w:color w:val="000000" w:themeColor="text1"/>
          <w:szCs w:val="21"/>
          <w:highlight w:val="none"/>
          <w14:textFill>
            <w14:solidFill>
              <w14:schemeClr w14:val="tx1"/>
            </w14:solidFill>
          </w14:textFill>
        </w:rPr>
        <w:t>污水处理厂化验室检测的结果</w:t>
      </w:r>
      <w:r>
        <w:rPr>
          <w:rFonts w:hint="eastAsia" w:ascii="宋体" w:hAnsi="宋体" w:eastAsia="宋体" w:cs="宋体"/>
          <w:color w:val="000000" w:themeColor="text1"/>
          <w:szCs w:val="21"/>
          <w:highlight w:val="none"/>
          <w:lang w:val="en-US" w:eastAsia="zh-CN"/>
          <w14:textFill>
            <w14:solidFill>
              <w14:schemeClr w14:val="tx1"/>
            </w14:solidFill>
          </w14:textFill>
        </w:rPr>
        <w:t>提出质疑，则</w:t>
      </w:r>
      <w:r>
        <w:rPr>
          <w:rFonts w:hint="eastAsia" w:ascii="宋体" w:hAnsi="宋体" w:eastAsia="宋体" w:cs="宋体"/>
          <w:color w:val="000000" w:themeColor="text1"/>
          <w:highlight w:val="none"/>
          <w:lang w:val="en-US" w:eastAsia="zh-CN"/>
          <w14:textFill>
            <w14:solidFill>
              <w14:schemeClr w14:val="tx1"/>
            </w14:solidFill>
          </w14:textFill>
        </w:rPr>
        <w:t>由甲方委托具有检测资质的第三方检测机构针对当车样品重新检测并出具复检检测报告，双方同意以该复检报告作为含水率认定和计费依据，检测费用由最终责任方支付。</w:t>
      </w:r>
    </w:p>
    <w:p w14:paraId="6FFD5053">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费用支付</w:t>
      </w:r>
    </w:p>
    <w:p w14:paraId="519B654A">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的履约过程中，乙方根据本合同约定需向甲方支付违约金、赔偿金、或其他应付费用等款项的，乙方必须向甲方支付完相关款项后，甲方才根据本合同向乙方支付配合服务费。若因乙方未能支付前述费用，影响项目实施的，甲方有权直接从未付配合服务费款项中直接扣除，且乙方必须按照扣除前述费用前的</w:t>
      </w:r>
      <w:r>
        <w:rPr>
          <w:rFonts w:hint="eastAsia" w:ascii="宋体" w:hAnsi="宋体" w:eastAsia="宋体" w:cs="宋体"/>
          <w:color w:val="000000" w:themeColor="text1"/>
          <w:szCs w:val="21"/>
          <w:highlight w:val="none"/>
          <w:lang w:val="en-US" w:eastAsia="zh-CN"/>
          <w14:textFill>
            <w14:solidFill>
              <w14:schemeClr w14:val="tx1"/>
            </w14:solidFill>
          </w14:textFill>
        </w:rPr>
        <w:t>配合服务费</w:t>
      </w:r>
      <w:r>
        <w:rPr>
          <w:rFonts w:hint="eastAsia" w:ascii="宋体" w:hAnsi="宋体" w:eastAsia="宋体" w:cs="宋体"/>
          <w:color w:val="000000" w:themeColor="text1"/>
          <w:szCs w:val="21"/>
          <w:highlight w:val="none"/>
          <w14:textFill>
            <w14:solidFill>
              <w14:schemeClr w14:val="tx1"/>
            </w14:solidFill>
          </w14:textFill>
        </w:rPr>
        <w:t>（销售额）开具等额、合法、有效的增值税专用发票。</w:t>
      </w:r>
    </w:p>
    <w:p w14:paraId="7B61C73D">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2、支付方式：</w:t>
      </w:r>
    </w:p>
    <w:p w14:paraId="1F9F5A2C">
      <w:pPr>
        <w:spacing w:line="360" w:lineRule="auto"/>
        <w:ind w:firstLine="424" w:firstLineChars="202"/>
        <w:outlineLvl w:val="9"/>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（1）服务费按月支付，甲、乙双方在每月15日前完成上月应付款项核算工作，</w:t>
      </w:r>
      <w:r>
        <w:rPr>
          <w:rFonts w:hint="eastAsia" w:ascii="宋体" w:hAnsi="宋体" w:eastAsia="宋体" w:cs="宋体"/>
          <w:color w:val="000000" w:themeColor="text1"/>
          <w:szCs w:val="21"/>
          <w:highlight w:val="none"/>
          <w:lang w:val="en-US" w:eastAsia="zh-CN"/>
          <w14:textFill>
            <w14:solidFill>
              <w14:schemeClr w14:val="tx1"/>
            </w14:solidFill>
          </w14:textFill>
        </w:rPr>
        <w:t>双方对该应付款项确认无误后，乙方向甲方提交完整的</w:t>
      </w:r>
      <w:r>
        <w:rPr>
          <w:rFonts w:hint="eastAsia" w:ascii="宋体" w:hAnsi="宋体" w:eastAsia="宋体" w:cs="宋体"/>
          <w:color w:val="000000" w:themeColor="text1"/>
          <w:szCs w:val="21"/>
          <w:highlight w:val="none"/>
          <w14:textFill>
            <w14:solidFill>
              <w14:schemeClr w14:val="tx1"/>
            </w14:solidFill>
          </w14:textFill>
        </w:rPr>
        <w:t>请款材料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详见支付方式第（2）点）</w:t>
      </w:r>
      <w:r>
        <w:rPr>
          <w:rFonts w:hint="eastAsia" w:ascii="宋体" w:hAnsi="宋体" w:eastAsia="宋体" w:cs="宋体"/>
          <w:color w:val="000000" w:themeColor="text1"/>
          <w:szCs w:val="21"/>
          <w:highlight w:val="none"/>
          <w14:textFill>
            <w14:solidFill>
              <w14:schemeClr w14:val="tx1"/>
            </w14:solidFill>
          </w14:textFill>
        </w:rPr>
        <w:t>并</w:t>
      </w:r>
      <w:r>
        <w:rPr>
          <w:rFonts w:hint="eastAsia" w:ascii="宋体" w:hAnsi="宋体" w:eastAsia="宋体" w:cs="宋体"/>
          <w:color w:val="000000" w:themeColor="text1"/>
          <w:szCs w:val="21"/>
          <w:highlight w:val="none"/>
          <w:lang w:val="en-US" w:eastAsia="zh-CN"/>
          <w14:textFill>
            <w14:solidFill>
              <w14:schemeClr w14:val="tx1"/>
            </w14:solidFill>
          </w14:textFill>
        </w:rPr>
        <w:t>经甲方</w:t>
      </w:r>
      <w:r>
        <w:rPr>
          <w:rFonts w:hint="eastAsia" w:ascii="宋体" w:hAnsi="宋体" w:eastAsia="宋体" w:cs="宋体"/>
          <w:color w:val="000000" w:themeColor="text1"/>
          <w:szCs w:val="21"/>
          <w:highlight w:val="none"/>
          <w14:textFill>
            <w14:solidFill>
              <w14:schemeClr w14:val="tx1"/>
            </w14:solidFill>
          </w14:textFill>
        </w:rPr>
        <w:t>确认无误后30个工作日内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甲方采用银行转账或银行承兑汇票向乙方支付请款金额的50%，</w:t>
      </w:r>
      <w:r>
        <w:rPr>
          <w:rFonts w:hint="eastAsia" w:ascii="宋体" w:hAnsi="宋体" w:eastAsia="宋体" w:cs="宋体"/>
          <w:color w:val="000000" w:themeColor="text1"/>
          <w:szCs w:val="21"/>
          <w:highlight w:val="none"/>
          <w14:textFill>
            <w14:solidFill>
              <w14:schemeClr w14:val="tx1"/>
            </w14:solidFill>
          </w14:textFill>
        </w:rPr>
        <w:t>若采用银行承兑汇票支付，该笔费用按元位取整，且汇票期限不超3个月，每期款项支付方式由甲方决定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乙方在收到前述50%款项之日起【 3 】个月后可向甲方发出该请款月份剩余50%款项的申请函，甲方收到申请函并确认无误后【 30 】个工作日内采用银行转账方式或汇款方式向乙方支付对应款项。</w:t>
      </w:r>
    </w:p>
    <w:p w14:paraId="1A669D9A">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）具体请款材料</w:t>
      </w:r>
    </w:p>
    <w:p w14:paraId="645891A6">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A.经双方确认污泥处理数量的过磅单</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含水率检测统计台账</w:t>
      </w:r>
      <w:r>
        <w:rPr>
          <w:rFonts w:hint="eastAsia" w:ascii="宋体" w:hAnsi="宋体" w:eastAsia="宋体" w:cs="宋体"/>
          <w:color w:val="000000" w:themeColor="text1"/>
          <w:szCs w:val="21"/>
          <w:highlight w:val="none"/>
          <w:lang w:eastAsia="zh-CN"/>
          <w14:textFill>
            <w14:solidFill>
              <w14:schemeClr w14:val="tx1"/>
            </w14:solidFill>
          </w14:textFill>
        </w:rPr>
        <w:t>、《生产日报表》</w:t>
      </w:r>
      <w:r>
        <w:rPr>
          <w:rFonts w:hint="eastAsia" w:ascii="宋体" w:hAnsi="宋体" w:eastAsia="宋体" w:cs="宋体"/>
          <w:color w:val="000000" w:themeColor="text1"/>
          <w:szCs w:val="21"/>
          <w:highlight w:val="none"/>
          <w14:textFill>
            <w14:solidFill>
              <w14:schemeClr w14:val="tx1"/>
            </w14:solidFill>
          </w14:textFill>
        </w:rPr>
        <w:t>等</w:t>
      </w:r>
      <w:r>
        <w:rPr>
          <w:rFonts w:hint="eastAsia" w:ascii="宋体" w:hAnsi="宋体" w:eastAsia="宋体" w:cs="宋体"/>
          <w:color w:val="000000" w:themeColor="text1"/>
          <w:szCs w:val="21"/>
          <w:highlight w:val="none"/>
          <w:lang w:val="en-US" w:eastAsia="zh-CN"/>
          <w14:textFill>
            <w14:solidFill>
              <w14:schemeClr w14:val="tx1"/>
            </w14:solidFill>
          </w14:textFill>
        </w:rPr>
        <w:t>履约数据</w:t>
      </w:r>
      <w:r>
        <w:rPr>
          <w:rFonts w:hint="eastAsia" w:ascii="宋体" w:hAnsi="宋体" w:eastAsia="宋体" w:cs="宋体"/>
          <w:color w:val="000000" w:themeColor="text1"/>
          <w:szCs w:val="21"/>
          <w:highlight w:val="none"/>
          <w14:textFill>
            <w14:solidFill>
              <w14:schemeClr w14:val="tx1"/>
            </w14:solidFill>
          </w14:textFill>
        </w:rPr>
        <w:t>资料；</w:t>
      </w:r>
    </w:p>
    <w:p w14:paraId="619149D6">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w:t>
      </w:r>
      <w:r>
        <w:rPr>
          <w:rFonts w:hint="eastAsia" w:ascii="宋体" w:hAnsi="宋体" w:eastAsia="宋体" w:cs="宋体"/>
          <w:color w:val="000000" w:themeColor="text1"/>
          <w:szCs w:val="21"/>
          <w:highlight w:val="none"/>
          <w:lang w:val="en-US" w:eastAsia="zh-CN"/>
          <w14:textFill>
            <w14:solidFill>
              <w14:schemeClr w14:val="tx1"/>
            </w14:solidFill>
          </w14:textFill>
        </w:rPr>
        <w:t>请款月份应付款项（即请款金额）等额</w:t>
      </w:r>
      <w:r>
        <w:rPr>
          <w:rFonts w:hint="eastAsia" w:ascii="宋体" w:hAnsi="宋体" w:eastAsia="宋体" w:cs="宋体"/>
          <w:color w:val="000000" w:themeColor="text1"/>
          <w:szCs w:val="21"/>
          <w:highlight w:val="none"/>
          <w14:textFill>
            <w14:solidFill>
              <w14:schemeClr w14:val="tx1"/>
            </w14:solidFill>
          </w14:textFill>
        </w:rPr>
        <w:t xml:space="preserve">、合法、有效的增值税专用发票（收款方、出具票据方、合同受托方均需与乙方名称一致，付款方为东莞市众源环境投资有限公司）； </w:t>
      </w:r>
    </w:p>
    <w:p w14:paraId="703F7D57">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C.请款报告（必须加盖乙方的公章）。</w:t>
      </w:r>
    </w:p>
    <w:p w14:paraId="398D74B3">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（3）乙方指定收款账户为：</w:t>
      </w:r>
    </w:p>
    <w:p w14:paraId="78CD5A46">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账号户名：</w:t>
      </w:r>
    </w:p>
    <w:p w14:paraId="24130779">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开户银行名称：</w:t>
      </w:r>
    </w:p>
    <w:p w14:paraId="78A308EE">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银行账号：</w:t>
      </w:r>
    </w:p>
    <w:p w14:paraId="3F0DDA01">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服务要求</w:t>
      </w:r>
    </w:p>
    <w:p w14:paraId="5234BFB3">
      <w:pPr>
        <w:spacing w:line="360" w:lineRule="auto"/>
        <w:ind w:firstLine="424" w:firstLineChars="202"/>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乙方配合服务设备操作人员</w:t>
      </w:r>
      <w:r>
        <w:rPr>
          <w:rFonts w:hint="eastAsia" w:ascii="宋体" w:hAnsi="宋体" w:eastAsia="宋体" w:cs="宋体"/>
          <w:color w:val="000000" w:themeColor="text1"/>
          <w:szCs w:val="21"/>
          <w:highlight w:val="none"/>
          <w14:textFill>
            <w14:solidFill>
              <w14:schemeClr w14:val="tx1"/>
            </w14:solidFill>
          </w14:textFill>
        </w:rPr>
        <w:t>应按照</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制定的设备生产工艺参数执行落实，保证满足污泥处理量</w:t>
      </w:r>
      <w:r>
        <w:rPr>
          <w:rFonts w:hint="eastAsia" w:ascii="宋体" w:hAnsi="宋体" w:eastAsia="宋体" w:cs="宋体"/>
          <w:color w:val="000000" w:themeColor="text1"/>
          <w:szCs w:val="21"/>
          <w:highlight w:val="none"/>
          <w:lang w:val="en-US" w:eastAsia="zh-CN"/>
          <w14:textFill>
            <w14:solidFill>
              <w14:schemeClr w14:val="tx1"/>
            </w14:solidFill>
          </w14:textFill>
        </w:rPr>
        <w:t>要求</w:t>
      </w:r>
      <w:r>
        <w:rPr>
          <w:rFonts w:hint="eastAsia" w:ascii="宋体" w:hAnsi="宋体" w:eastAsia="宋体" w:cs="宋体"/>
          <w:color w:val="000000" w:themeColor="text1"/>
          <w:szCs w:val="21"/>
          <w:highlight w:val="none"/>
          <w14:textFill>
            <w14:solidFill>
              <w14:schemeClr w14:val="tx1"/>
            </w14:solidFill>
          </w14:textFill>
        </w:rPr>
        <w:t>及含水率标准</w:t>
      </w:r>
      <w:r>
        <w:rPr>
          <w:rFonts w:hint="eastAsia" w:ascii="宋体" w:hAnsi="宋体" w:eastAsia="宋体" w:cs="宋体"/>
          <w:color w:val="000000" w:themeColor="text1"/>
          <w:szCs w:val="21"/>
          <w:highlight w:val="none"/>
          <w:lang w:eastAsia="zh-CN"/>
          <w14:textFill>
            <w14:solidFill>
              <w14:schemeClr w14:val="tx1"/>
            </w14:solidFill>
          </w14:textFill>
        </w:rPr>
        <w:t>。</w:t>
      </w:r>
    </w:p>
    <w:p w14:paraId="3CD0799D">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乙方配合服务设备操作人员</w:t>
      </w:r>
      <w:r>
        <w:rPr>
          <w:rFonts w:hint="eastAsia" w:ascii="宋体" w:hAnsi="宋体" w:eastAsia="宋体" w:cs="宋体"/>
          <w:color w:val="000000" w:themeColor="text1"/>
          <w:szCs w:val="21"/>
          <w:highlight w:val="none"/>
          <w14:textFill>
            <w14:solidFill>
              <w14:schemeClr w14:val="tx1"/>
            </w14:solidFill>
          </w14:textFill>
        </w:rPr>
        <w:t>应根据运输计划，保证现场运作顺畅，指引车辆到达指定装卸地点进行装车，装车完毕后配合项目所在厂区和</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进行取样。完成取样后，监督车辆盖上帆布，满足要求后放行。其中，外运装车取样的含水率由所在厂区的化验室进行检测，由</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填写《含水率检测统计台账》，该《含水率检测统计台账》作为服务费结算依据。</w:t>
      </w:r>
    </w:p>
    <w:p w14:paraId="7F9474B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乙方配合服务设备操作人员</w:t>
      </w:r>
      <w:r>
        <w:rPr>
          <w:rFonts w:hint="eastAsia" w:ascii="宋体" w:hAnsi="宋体" w:eastAsia="宋体" w:cs="宋体"/>
          <w:color w:val="000000" w:themeColor="text1"/>
          <w:szCs w:val="21"/>
          <w:highlight w:val="none"/>
          <w14:textFill>
            <w14:solidFill>
              <w14:schemeClr w14:val="tx1"/>
            </w14:solidFill>
          </w14:textFill>
        </w:rPr>
        <w:t>应根据</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 xml:space="preserve">的要求，在生产过程中定期使用含水率检测仪测量泥饼含水率，并记录于《生产日报表》，便于对生产工艺调整。 </w:t>
      </w:r>
    </w:p>
    <w:p w14:paraId="078A0E12">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en-US" w:eastAsia="zh-CN"/>
          <w14:textFill>
            <w14:solidFill>
              <w14:schemeClr w14:val="tx1"/>
            </w14:solidFill>
          </w14:textFill>
        </w:rPr>
        <w:t>配合服务设备操作人员</w:t>
      </w:r>
      <w:r>
        <w:rPr>
          <w:rFonts w:hint="eastAsia" w:ascii="宋体" w:hAnsi="宋体" w:eastAsia="宋体" w:cs="宋体"/>
          <w:color w:val="000000" w:themeColor="text1"/>
          <w:szCs w:val="21"/>
          <w:highlight w:val="none"/>
          <w14:textFill>
            <w14:solidFill>
              <w14:schemeClr w14:val="tx1"/>
            </w14:solidFill>
          </w14:textFill>
        </w:rPr>
        <w:t>应根据甲方的要求，如实记录</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生产日报表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生产日报表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包含日常生产中的主要设备及配套设备的运行参数、处理量、药剂使用量、能源使用量、泥饼产生量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含水率</w:t>
      </w:r>
      <w:r>
        <w:rPr>
          <w:rFonts w:hint="eastAsia" w:ascii="宋体" w:hAnsi="宋体" w:eastAsia="宋体" w:cs="宋体"/>
          <w:color w:val="000000" w:themeColor="text1"/>
          <w:szCs w:val="21"/>
          <w:highlight w:val="none"/>
          <w14:textFill>
            <w14:solidFill>
              <w14:schemeClr w14:val="tx1"/>
            </w14:solidFill>
          </w14:textFill>
        </w:rPr>
        <w:t>等。所有与本合同履行相关的原始数据（包括但不限于过磅单、含水率检测记录、现场取样影像、设备运行日志、监控视频、现场照片、维护记录等）及其衍生成果的知识产权、占有权及使用权均归属于甲方。每月10号前各项目点《生产日报表》统一交由</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保存。</w:t>
      </w:r>
    </w:p>
    <w:p w14:paraId="59FEE41E">
      <w:pPr>
        <w:spacing w:line="360" w:lineRule="auto"/>
        <w:ind w:firstLine="424" w:firstLineChars="202"/>
        <w:outlineLvl w:val="9"/>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en-US" w:eastAsia="zh-CN"/>
          <w14:textFill>
            <w14:solidFill>
              <w14:schemeClr w14:val="tx1"/>
            </w14:solidFill>
          </w14:textFill>
        </w:rPr>
        <w:t>配合服务设备操作人员</w:t>
      </w:r>
      <w:r>
        <w:rPr>
          <w:rFonts w:hint="eastAsia" w:ascii="宋体" w:hAnsi="宋体" w:eastAsia="宋体" w:cs="宋体"/>
          <w:color w:val="000000" w:themeColor="text1"/>
          <w:szCs w:val="21"/>
          <w:highlight w:val="none"/>
          <w14:textFill>
            <w14:solidFill>
              <w14:schemeClr w14:val="tx1"/>
            </w14:solidFill>
          </w14:textFill>
        </w:rPr>
        <w:t>应根据甲方的要求配合</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管理好生产设备，并做好项目内各项设备设施的日常养护，</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包括但不限于</w:t>
      </w:r>
      <w:r>
        <w:rPr>
          <w:rFonts w:hint="eastAsia" w:ascii="宋体" w:hAnsi="宋体" w:eastAsia="宋体" w:cs="宋体"/>
          <w:color w:val="000000" w:themeColor="text1"/>
          <w:szCs w:val="21"/>
          <w:highlight w:val="none"/>
          <w14:textFill>
            <w14:solidFill>
              <w14:schemeClr w14:val="tx1"/>
            </w14:solidFill>
          </w14:textFill>
        </w:rPr>
        <w:t>机械硬件的日常检查、润滑保养、易耗件更换、管道补漏及防锈防腐等</w:t>
      </w:r>
      <w:r>
        <w:rPr>
          <w:rFonts w:hint="eastAsia" w:ascii="宋体" w:hAnsi="宋体" w:eastAsia="宋体" w:cs="宋体"/>
          <w:color w:val="000000" w:themeColor="text1"/>
          <w:szCs w:val="21"/>
          <w:highlight w:val="none"/>
          <w:lang w:val="en-US" w:eastAsia="zh-CN"/>
          <w14:textFill>
            <w14:solidFill>
              <w14:schemeClr w14:val="tx1"/>
            </w14:solidFill>
          </w14:textFill>
        </w:rPr>
        <w:t>工作</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en-US" w:eastAsia="zh-CN"/>
          <w14:textFill>
            <w14:solidFill>
              <w14:schemeClr w14:val="tx1"/>
            </w14:solidFill>
          </w14:textFill>
        </w:rPr>
        <w:t>配合服务设备操作人员</w:t>
      </w:r>
      <w:r>
        <w:rPr>
          <w:rFonts w:hint="eastAsia" w:ascii="宋体" w:hAnsi="宋体" w:eastAsia="宋体" w:cs="宋体"/>
          <w:color w:val="000000" w:themeColor="text1"/>
          <w:szCs w:val="21"/>
          <w:highlight w:val="none"/>
          <w14:textFill>
            <w14:solidFill>
              <w14:schemeClr w14:val="tx1"/>
            </w14:solidFill>
          </w14:textFill>
        </w:rPr>
        <w:t>对项目内的设备故障有预判和告知的义务，</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14:textFill>
            <w14:solidFill>
              <w14:schemeClr w14:val="tx1"/>
            </w14:solidFill>
          </w14:textFill>
        </w:rPr>
        <w:t>项目仓库中缺少维修维护所需物资时，应提前10个工作日</w:t>
      </w:r>
      <w:r>
        <w:rPr>
          <w:rFonts w:hint="eastAsia" w:ascii="宋体" w:hAnsi="宋体" w:eastAsia="宋体" w:cs="宋体"/>
          <w:color w:val="000000" w:themeColor="text1"/>
          <w:szCs w:val="21"/>
          <w:highlight w:val="none"/>
          <w:lang w:val="en-US" w:eastAsia="zh-CN"/>
          <w14:textFill>
            <w14:solidFill>
              <w14:schemeClr w14:val="tx1"/>
            </w14:solidFill>
          </w14:textFill>
        </w:rPr>
        <w:t>书面通知甲方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当乙方发现设备故障或潜在隐患后应在2小时内报告甲方。若因乙方未按前述要求及时报备导致维修延误或设备停机的，视为乙方服务中断，按本合同第九条违约责任处理。</w:t>
      </w:r>
    </w:p>
    <w:p w14:paraId="26102243">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、乙方应为配合服务设备操作人员提供统一工作服和劳保鞋等个人专用</w:t>
      </w:r>
      <w:r>
        <w:rPr>
          <w:rFonts w:hint="eastAsia" w:ascii="宋体" w:hAnsi="宋体" w:eastAsia="宋体" w:cs="宋体"/>
          <w:color w:val="000000" w:themeColor="text1"/>
          <w:szCs w:val="21"/>
          <w:highlight w:val="none"/>
          <w:lang w:val="en-US" w:eastAsia="zh-CN"/>
          <w14:textFill>
            <w14:solidFill>
              <w14:schemeClr w14:val="tx1"/>
            </w14:solidFill>
          </w14:textFill>
        </w:rPr>
        <w:t>劳保用</w:t>
      </w:r>
      <w:r>
        <w:rPr>
          <w:rFonts w:hint="eastAsia" w:ascii="宋体" w:hAnsi="宋体" w:eastAsia="宋体" w:cs="宋体"/>
          <w:color w:val="000000" w:themeColor="text1"/>
          <w:szCs w:val="21"/>
          <w:highlight w:val="none"/>
          <w14:textFill>
            <w14:solidFill>
              <w14:schemeClr w14:val="tx1"/>
            </w14:solidFill>
          </w14:textFill>
        </w:rPr>
        <w:t>品。</w:t>
      </w:r>
    </w:p>
    <w:p w14:paraId="2BD78380">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乙方派驻现场的人员根据各项目点设备设施配套情况，持有对应操作证等特种作业资格证书（如：市区厂众源移动式（含一二期和三期）、长安新区众源移动式、温塘二期、横沥东坑二期、常平东二期、常平西二期、黄江梅塘南部厂、沙田二期、虎门宁洲三期、塘厦白泥湖项目、凤岗竹塘三期、清溪厦坭二期</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需要使用叉车辅助生产，每个项目点需要配套不少于2名持有叉车操作证的人员）。合同履约过程中如有新要求，</w:t>
      </w:r>
      <w:r>
        <w:rPr>
          <w:rFonts w:hint="eastAsia" w:ascii="宋体" w:hAnsi="宋体" w:eastAsia="宋体" w:cs="宋体"/>
          <w:color w:val="000000" w:themeColor="text1"/>
          <w:szCs w:val="21"/>
          <w:highlight w:val="none"/>
          <w:lang w:val="en-US" w:eastAsia="zh-CN"/>
          <w14:textFill>
            <w14:solidFill>
              <w14:schemeClr w14:val="tx1"/>
            </w14:solidFill>
          </w14:textFill>
        </w:rPr>
        <w:t>甲方将</w:t>
      </w:r>
      <w:r>
        <w:rPr>
          <w:rFonts w:hint="eastAsia" w:ascii="宋体" w:hAnsi="宋体" w:eastAsia="宋体" w:cs="宋体"/>
          <w:color w:val="000000" w:themeColor="text1"/>
          <w:szCs w:val="21"/>
          <w:highlight w:val="none"/>
          <w14:textFill>
            <w14:solidFill>
              <w14:schemeClr w14:val="tx1"/>
            </w14:solidFill>
          </w14:textFill>
        </w:rPr>
        <w:t>以书面形式通知</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p>
    <w:p w14:paraId="2EB4FF8A">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乙方应做好生产现场卫生工作，保证项目生产现场室内、外环境干净整洁，物品摆放整齐，无烟头污渍等，照明设施完好，道路通畅，生产设备设施的外立面简洁美观，无明显的破损及渗漏，无泥水、泥饼等跑、冒、滴、漏的现象。</w:t>
      </w:r>
    </w:p>
    <w:p w14:paraId="2F8818A7">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乙方应</w:t>
      </w:r>
      <w:r>
        <w:rPr>
          <w:rFonts w:hint="eastAsia" w:ascii="宋体" w:hAnsi="宋体" w:eastAsia="宋体" w:cs="宋体"/>
          <w:color w:val="000000" w:themeColor="text1"/>
          <w:szCs w:val="21"/>
          <w:highlight w:val="none"/>
          <w14:textFill>
            <w14:solidFill>
              <w14:schemeClr w14:val="tx1"/>
            </w14:solidFill>
          </w14:textFill>
        </w:rPr>
        <w:t>接受和配合甲方及其上级主管部门对本项目的监督管理，服从甲方安全生产管理，如发现乙方未按甲方要求或执行内容不符合设计和规范要求行为的（包括但不限于系统操作不当、未按要求对设备进行维护等），甲方有权要求乙方限期改正，由此产生的费用由乙方全部承担。</w:t>
      </w:r>
    </w:p>
    <w:p w14:paraId="21866FA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、乙方应建立并维持一个具备同等资质的应急备援人员库（不少于3人），确保在任一项目点因人员缺岗或其他任何原因导致服务中断或可能中断时，能够在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12 </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小时内调配替补人员到位。如因乙方原因导致服务中断，乙方应在【</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48 </w:t>
      </w:r>
      <w:r>
        <w:rPr>
          <w:rFonts w:hint="eastAsia" w:ascii="宋体" w:hAnsi="宋体" w:eastAsia="宋体" w:cs="宋体"/>
          <w:color w:val="000000" w:themeColor="text1"/>
          <w:szCs w:val="21"/>
          <w:highlight w:val="none"/>
          <w14:textFill>
            <w14:solidFill>
              <w14:schemeClr w14:val="tx1"/>
            </w14:solidFill>
          </w14:textFill>
        </w:rPr>
        <w:t>】小时内恢复生产。若乙方未能在上述时限内恢复服务，甲方有权视为乙方未按合同约定开展服务工作，按本合同第九条第1款追究乙方违约责任，并可临时委托第三方提供服务，因此产生的一切费用由乙方承担，甲方有权从应付乙方的服务费或履约担保中直接抵扣。</w:t>
      </w:r>
    </w:p>
    <w:p w14:paraId="1552980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其它属于本项目</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范围内的甲方临时交办的</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任务。</w:t>
      </w:r>
    </w:p>
    <w:p w14:paraId="594E0DFF">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第六条 管理要求</w:t>
      </w:r>
    </w:p>
    <w:p w14:paraId="4D110401">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应根据设备操作人员数量和项目情况，配备专门的项目管理人员，负责管理</w:t>
      </w:r>
      <w:r>
        <w:rPr>
          <w:rFonts w:hint="eastAsia" w:ascii="宋体" w:hAnsi="宋体" w:eastAsia="宋体" w:cs="宋体"/>
          <w:color w:val="000000" w:themeColor="text1"/>
          <w:szCs w:val="21"/>
          <w:highlight w:val="none"/>
          <w:lang w:val="en-US" w:eastAsia="zh-CN"/>
          <w14:textFill>
            <w14:solidFill>
              <w14:schemeClr w14:val="tx1"/>
            </w14:solidFill>
          </w14:textFill>
        </w:rPr>
        <w:t>配合服务</w:t>
      </w:r>
      <w:r>
        <w:rPr>
          <w:rFonts w:hint="eastAsia" w:ascii="宋体" w:hAnsi="宋体" w:eastAsia="宋体" w:cs="宋体"/>
          <w:color w:val="000000" w:themeColor="text1"/>
          <w:szCs w:val="21"/>
          <w:highlight w:val="none"/>
          <w14:textFill>
            <w14:solidFill>
              <w14:schemeClr w14:val="tx1"/>
            </w14:solidFill>
          </w14:textFill>
        </w:rPr>
        <w:t>设备操作人员的日常事务，协调处理</w:t>
      </w:r>
      <w:r>
        <w:rPr>
          <w:rFonts w:hint="eastAsia" w:ascii="宋体" w:hAnsi="宋体" w:eastAsia="宋体" w:cs="宋体"/>
          <w:color w:val="000000" w:themeColor="text1"/>
          <w:szCs w:val="21"/>
          <w:highlight w:val="none"/>
          <w:lang w:val="en-US" w:eastAsia="zh-CN"/>
          <w14:textFill>
            <w14:solidFill>
              <w14:schemeClr w14:val="tx1"/>
            </w14:solidFill>
          </w14:textFill>
        </w:rPr>
        <w:t>配合服务</w:t>
      </w:r>
      <w:r>
        <w:rPr>
          <w:rFonts w:hint="eastAsia" w:ascii="宋体" w:hAnsi="宋体" w:eastAsia="宋体" w:cs="宋体"/>
          <w:color w:val="000000" w:themeColor="text1"/>
          <w:szCs w:val="21"/>
          <w:highlight w:val="none"/>
          <w14:textFill>
            <w14:solidFill>
              <w14:schemeClr w14:val="tx1"/>
            </w14:solidFill>
          </w14:textFill>
        </w:rPr>
        <w:t>设备操作人员与</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之间的关系。此外，每个已投产的项目，</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安排1名现场生产班长驻点，负责统筹项目点内安全生产、</w:t>
      </w:r>
      <w:r>
        <w:rPr>
          <w:rFonts w:hint="eastAsia" w:ascii="宋体" w:hAnsi="宋体" w:eastAsia="宋体" w:cs="宋体"/>
          <w:color w:val="000000" w:themeColor="text1"/>
          <w:szCs w:val="21"/>
          <w:highlight w:val="none"/>
          <w:lang w:val="en-US" w:eastAsia="zh-CN"/>
          <w14:textFill>
            <w14:solidFill>
              <w14:schemeClr w14:val="tx1"/>
            </w14:solidFill>
          </w14:textFill>
        </w:rPr>
        <w:t>乙方履约情况监督</w:t>
      </w:r>
      <w:r>
        <w:rPr>
          <w:rFonts w:hint="eastAsia" w:ascii="宋体" w:hAnsi="宋体" w:eastAsia="宋体" w:cs="宋体"/>
          <w:color w:val="000000" w:themeColor="text1"/>
          <w:szCs w:val="21"/>
          <w:highlight w:val="none"/>
          <w14:textFill>
            <w14:solidFill>
              <w14:schemeClr w14:val="tx1"/>
            </w14:solidFill>
          </w14:textFill>
        </w:rPr>
        <w:t>、设备常规保养、药耗管控、仓库物资管控等工作，如涉及生产项目的设备操作或工艺调整的问题以</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的现场生产班长指令为主。</w:t>
      </w:r>
    </w:p>
    <w:p w14:paraId="7CD00B8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收到</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进场通知书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后，应根据项目点生产情况，在10个工作日内安排充足的</w:t>
      </w:r>
      <w:r>
        <w:rPr>
          <w:rFonts w:hint="eastAsia" w:ascii="宋体" w:hAnsi="宋体" w:eastAsia="宋体" w:cs="宋体"/>
          <w:color w:val="000000" w:themeColor="text1"/>
          <w:szCs w:val="21"/>
          <w:highlight w:val="none"/>
          <w:lang w:val="en-US" w:eastAsia="zh-CN"/>
          <w14:textFill>
            <w14:solidFill>
              <w14:schemeClr w14:val="tx1"/>
            </w14:solidFill>
          </w14:textFill>
        </w:rPr>
        <w:t>配合服务</w:t>
      </w:r>
      <w:r>
        <w:rPr>
          <w:rFonts w:hint="eastAsia" w:ascii="宋体" w:hAnsi="宋体" w:eastAsia="宋体" w:cs="宋体"/>
          <w:color w:val="000000" w:themeColor="text1"/>
          <w:szCs w:val="21"/>
          <w:highlight w:val="none"/>
          <w14:textFill>
            <w14:solidFill>
              <w14:schemeClr w14:val="tx1"/>
            </w14:solidFill>
          </w14:textFill>
        </w:rPr>
        <w:t>设备操作人员，必须满足污水厂的污泥脱水需求，且不论项目点是否停产，需保持</w:t>
      </w:r>
      <w:r>
        <w:rPr>
          <w:rFonts w:hint="eastAsia" w:ascii="宋体" w:hAnsi="宋体" w:eastAsia="宋体" w:cs="宋体"/>
          <w:color w:val="000000" w:themeColor="text1"/>
          <w:szCs w:val="21"/>
          <w:highlight w:val="none"/>
          <w:lang w:val="en-US" w:eastAsia="zh-CN"/>
          <w14:textFill>
            <w14:solidFill>
              <w14:schemeClr w14:val="tx1"/>
            </w14:solidFill>
          </w14:textFill>
        </w:rPr>
        <w:t>每个项目</w:t>
      </w:r>
      <w:r>
        <w:rPr>
          <w:rFonts w:hint="eastAsia" w:ascii="宋体" w:hAnsi="宋体" w:eastAsia="宋体" w:cs="宋体"/>
          <w:color w:val="000000" w:themeColor="text1"/>
          <w:szCs w:val="21"/>
          <w:highlight w:val="none"/>
          <w14:textFill>
            <w14:solidFill>
              <w14:schemeClr w14:val="tx1"/>
            </w14:solidFill>
          </w14:textFill>
        </w:rPr>
        <w:t>24小时必须有人员值班，每班至少1人。</w:t>
      </w:r>
    </w:p>
    <w:p w14:paraId="2355FEA6">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、甲方有权要求乙方调换不适合</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要求的配合服务设备操作人员</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在服务期间，</w:t>
      </w:r>
      <w:r>
        <w:rPr>
          <w:rFonts w:hint="eastAsia" w:ascii="宋体" w:hAnsi="宋体" w:eastAsia="宋体" w:cs="宋体"/>
          <w:color w:val="000000" w:themeColor="text1"/>
          <w:szCs w:val="21"/>
          <w:highlight w:val="none"/>
          <w:lang w:val="en-US" w:eastAsia="zh-CN"/>
          <w14:textFill>
            <w14:solidFill>
              <w14:schemeClr w14:val="tx1"/>
            </w14:solidFill>
          </w14:textFill>
        </w:rPr>
        <w:t>为保持服务的连续性，</w:t>
      </w:r>
      <w:r>
        <w:rPr>
          <w:rFonts w:hint="eastAsia" w:ascii="宋体" w:hAnsi="宋体" w:eastAsia="宋体" w:cs="宋体"/>
          <w:color w:val="000000" w:themeColor="text1"/>
          <w:szCs w:val="21"/>
          <w:highlight w:val="none"/>
          <w14:textFill>
            <w14:solidFill>
              <w14:schemeClr w14:val="tx1"/>
            </w14:solidFill>
          </w14:textFill>
        </w:rPr>
        <w:t>未经甲方</w:t>
      </w:r>
      <w:r>
        <w:rPr>
          <w:rFonts w:hint="eastAsia" w:ascii="宋体" w:hAnsi="宋体" w:eastAsia="宋体" w:cs="宋体"/>
          <w:color w:val="000000" w:themeColor="text1"/>
          <w:szCs w:val="21"/>
          <w:highlight w:val="none"/>
          <w:lang w:val="en-US" w:eastAsia="zh-CN"/>
          <w14:textFill>
            <w14:solidFill>
              <w14:schemeClr w14:val="tx1"/>
            </w14:solidFill>
          </w14:textFill>
        </w:rPr>
        <w:t>书面</w:t>
      </w:r>
      <w:r>
        <w:rPr>
          <w:rFonts w:hint="eastAsia" w:ascii="宋体" w:hAnsi="宋体" w:eastAsia="宋体" w:cs="宋体"/>
          <w:color w:val="000000" w:themeColor="text1"/>
          <w:szCs w:val="21"/>
          <w:highlight w:val="none"/>
          <w14:textFill>
            <w14:solidFill>
              <w14:schemeClr w14:val="tx1"/>
            </w14:solidFill>
          </w14:textFill>
        </w:rPr>
        <w:t>同意，乙方不得随意更换配合服务设备操作人员，如有配合服务设备操作人员离职</w:t>
      </w:r>
      <w:r>
        <w:rPr>
          <w:rFonts w:hint="eastAsia" w:ascii="宋体" w:hAnsi="宋体" w:eastAsia="宋体" w:cs="宋体"/>
          <w:color w:val="000000" w:themeColor="text1"/>
          <w:szCs w:val="21"/>
          <w:highlight w:val="none"/>
          <w:lang w:val="en-US" w:eastAsia="zh-CN"/>
          <w14:textFill>
            <w14:solidFill>
              <w14:schemeClr w14:val="tx1"/>
            </w14:solidFill>
          </w14:textFill>
        </w:rPr>
        <w:t>需更换</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乙方应</w:t>
      </w:r>
      <w:r>
        <w:rPr>
          <w:rFonts w:hint="eastAsia" w:ascii="宋体" w:hAnsi="宋体" w:eastAsia="宋体" w:cs="宋体"/>
          <w:color w:val="000000" w:themeColor="text1"/>
          <w:szCs w:val="21"/>
          <w:highlight w:val="none"/>
          <w14:textFill>
            <w14:solidFill>
              <w14:schemeClr w14:val="tx1"/>
            </w14:solidFill>
          </w14:textFill>
        </w:rPr>
        <w:t>提前10</w:t>
      </w:r>
      <w:r>
        <w:rPr>
          <w:rFonts w:hint="eastAsia" w:ascii="宋体" w:hAnsi="宋体" w:eastAsia="宋体" w:cs="宋体"/>
          <w:color w:val="000000" w:themeColor="text1"/>
          <w:szCs w:val="21"/>
          <w:highlight w:val="none"/>
          <w:lang w:val="en-US"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告知</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配合服务</w:t>
      </w:r>
      <w:r>
        <w:rPr>
          <w:rFonts w:hint="eastAsia" w:ascii="宋体" w:hAnsi="宋体" w:eastAsia="宋体" w:cs="宋体"/>
          <w:color w:val="000000" w:themeColor="text1"/>
          <w:szCs w:val="21"/>
          <w:highlight w:val="none"/>
          <w14:textFill>
            <w14:solidFill>
              <w14:schemeClr w14:val="tx1"/>
            </w14:solidFill>
          </w14:textFill>
        </w:rPr>
        <w:t>设备操作人员因为调走、辞职、被</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辞退或其他原因导致人手不足的，</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必须在3个工作日内补充符合甲方要求的配合服务设备操作人员以满足项目生产需要。</w:t>
      </w:r>
    </w:p>
    <w:p w14:paraId="1BF78973">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、由于</w:t>
      </w:r>
      <w:r>
        <w:rPr>
          <w:rFonts w:hint="eastAsia" w:ascii="宋体" w:hAnsi="宋体" w:eastAsia="宋体" w:cs="宋体"/>
          <w:color w:val="000000" w:themeColor="text1"/>
          <w:szCs w:val="21"/>
          <w:highlight w:val="none"/>
          <w:lang w:val="en-US" w:eastAsia="zh-CN"/>
          <w14:textFill>
            <w14:solidFill>
              <w14:schemeClr w14:val="tx1"/>
            </w14:solidFill>
          </w14:textFill>
        </w:rPr>
        <w:t>非甲方</w:t>
      </w:r>
      <w:r>
        <w:rPr>
          <w:rFonts w:hint="eastAsia" w:ascii="宋体" w:hAnsi="宋体" w:eastAsia="宋体" w:cs="宋体"/>
          <w:color w:val="000000" w:themeColor="text1"/>
          <w:szCs w:val="21"/>
          <w:highlight w:val="none"/>
          <w14:textFill>
            <w14:solidFill>
              <w14:schemeClr w14:val="tx1"/>
            </w14:solidFill>
          </w14:textFill>
        </w:rPr>
        <w:t>原因造成配合服务设备操作人员的</w:t>
      </w:r>
      <w:r>
        <w:rPr>
          <w:rFonts w:hint="eastAsia" w:ascii="宋体" w:hAnsi="宋体" w:eastAsia="宋体" w:cs="宋体"/>
          <w:color w:val="000000" w:themeColor="text1"/>
          <w:szCs w:val="21"/>
          <w:highlight w:val="none"/>
          <w:lang w:val="en-US" w:eastAsia="zh-CN"/>
          <w14:textFill>
            <w14:solidFill>
              <w14:schemeClr w14:val="tx1"/>
            </w14:solidFill>
          </w14:textFill>
        </w:rPr>
        <w:t>人身或财产损害</w:t>
      </w:r>
      <w:r>
        <w:rPr>
          <w:rFonts w:hint="eastAsia" w:ascii="宋体" w:hAnsi="宋体" w:eastAsia="宋体" w:cs="宋体"/>
          <w:color w:val="000000" w:themeColor="text1"/>
          <w:szCs w:val="21"/>
          <w:highlight w:val="none"/>
          <w14:textFill>
            <w14:solidFill>
              <w14:schemeClr w14:val="tx1"/>
            </w14:solidFill>
          </w14:textFill>
        </w:rPr>
        <w:t>，所产生的损失及后果由乙方承担。因配合服务设备操作人员蓄意破坏甲方现场设备设施、违反相关管理规定造成甲方损失的，视为乙方严重违约，由乙方承担相应的违约责任，并赔偿甲方损失。</w:t>
      </w:r>
    </w:p>
    <w:p w14:paraId="4A3C3374">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、乙方项目管理人员应配合甲方对各生产项目的药剂使用量、物资使用量及电耗进行监管，杜绝不必要的浪费。</w:t>
      </w:r>
    </w:p>
    <w:p w14:paraId="6AA141D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en-US" w:eastAsia="zh-CN"/>
          <w14:textFill>
            <w14:solidFill>
              <w14:schemeClr w14:val="tx1"/>
            </w14:solidFill>
          </w14:textFill>
        </w:rPr>
        <w:t>对安排到甲方现场的</w:t>
      </w:r>
      <w:r>
        <w:rPr>
          <w:rFonts w:hint="eastAsia" w:ascii="宋体" w:hAnsi="宋体" w:eastAsia="宋体" w:cs="宋体"/>
          <w:color w:val="000000" w:themeColor="text1"/>
          <w:szCs w:val="21"/>
          <w:highlight w:val="none"/>
          <w14:textFill>
            <w14:solidFill>
              <w14:schemeClr w14:val="tx1"/>
            </w14:solidFill>
          </w14:textFill>
        </w:rPr>
        <w:t>配合服务设备操作人员</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需建立花名册（包含姓名、性别、身份证号、联系电话、人员健康情况是否满足生产需求）。乙方需在派驻设备操作人员到项目点的2日内，将进场人员花名册交给甲方报备。</w:t>
      </w:r>
    </w:p>
    <w:p w14:paraId="17283069">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、乙方应按甲方要求，要求配合服务设备操作人员严格遵守甲方的规章制度和管理规范规程、忠于职守、文明礼貌、严格遵守劳动纪律、服从和执行甲方作出的</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安排，</w:t>
      </w:r>
      <w:r>
        <w:rPr>
          <w:rFonts w:hint="eastAsia" w:ascii="宋体" w:hAnsi="宋体" w:eastAsia="宋体" w:cs="宋体"/>
          <w:color w:val="000000" w:themeColor="text1"/>
          <w:szCs w:val="21"/>
          <w:highlight w:val="none"/>
          <w:lang w:val="en-US" w:eastAsia="zh-CN"/>
          <w14:textFill>
            <w14:solidFill>
              <w14:schemeClr w14:val="tx1"/>
            </w14:solidFill>
          </w14:textFill>
        </w:rPr>
        <w:t>乙方应</w:t>
      </w:r>
      <w:r>
        <w:rPr>
          <w:rFonts w:hint="eastAsia" w:ascii="宋体" w:hAnsi="宋体" w:eastAsia="宋体" w:cs="宋体"/>
          <w:color w:val="000000" w:themeColor="text1"/>
          <w:szCs w:val="21"/>
          <w:highlight w:val="none"/>
          <w14:textFill>
            <w14:solidFill>
              <w14:schemeClr w14:val="tx1"/>
            </w14:solidFill>
          </w14:textFill>
        </w:rPr>
        <w:t>接受甲方管理人员的检查监督。</w:t>
      </w:r>
    </w:p>
    <w:p w14:paraId="16870E85">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乙方应教育、督促配合服务设备操作人员不得以任何形式向他人提供或泄露甲方的商业秘密，保证甲方利益不受损失，对甲方各类资料、业务数据等应按照甲方相关文件及工作要求执行保密工作。乙方须对在履行本合同过程中获悉的甲方信息承担保密义务。本合同终止后，合同约定的保密义务仍然有效，不因本合同的撤销、解除、终止而失效，直至保密信息被依法公开为止。</w:t>
      </w:r>
    </w:p>
    <w:p w14:paraId="2332C92C">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、乙方须接受甲方对其提供的服务质量检查，且须保证能随时接受行业主管部门的质量考核，并对甲方提出的服务质量改进建议予以及时响应和整改。</w:t>
      </w:r>
    </w:p>
    <w:p w14:paraId="2EBD9E3F">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、乙方应定期向甲方汇报服务项目的相关事项，如发生突发性事件，乙方应及时向甲方通报。</w:t>
      </w:r>
    </w:p>
    <w:p w14:paraId="49B61EA8">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、乙方需遵守国家劳动法，保障配合服务设备操作人员的合法权益，配合服务设备操作人员的</w:t>
      </w:r>
      <w:r>
        <w:rPr>
          <w:rFonts w:hint="eastAsia" w:ascii="宋体" w:hAnsi="宋体" w:eastAsia="宋体" w:cs="宋体"/>
          <w:color w:val="000000" w:themeColor="text1"/>
          <w:szCs w:val="21"/>
          <w:highlight w:val="none"/>
          <w:lang w:val="en-US" w:eastAsia="zh-CN"/>
          <w14:textFill>
            <w14:solidFill>
              <w14:schemeClr w14:val="tx1"/>
            </w14:solidFill>
          </w14:textFill>
        </w:rPr>
        <w:t>服务内容</w:t>
      </w:r>
      <w:r>
        <w:rPr>
          <w:rFonts w:hint="eastAsia" w:ascii="宋体" w:hAnsi="宋体" w:eastAsia="宋体" w:cs="宋体"/>
          <w:color w:val="000000" w:themeColor="text1"/>
          <w:szCs w:val="21"/>
          <w:highlight w:val="none"/>
          <w14:textFill>
            <w14:solidFill>
              <w14:schemeClr w14:val="tx1"/>
            </w14:solidFill>
          </w14:textFill>
        </w:rPr>
        <w:t>和</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时间由乙方按照甲方的项目需求进行分配和管理，乙方对配合服务设备操作人员的撤换或辞退等行为不得影响乙方提供的服务质量。</w:t>
      </w:r>
    </w:p>
    <w:p w14:paraId="7FD41054">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、乙方应严格执行《中华人民共和国安全生产法》、《企业安全生产标准化基本规范》（</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"http://www.csres.com/detail/292641.html" \t "http://www.csres.com/detail/_blank"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GB/T 33000-2016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等国家有关安全生产和劳动保护的规范和标准，贯彻执行甲方各项安全生产管理规章制度，建立完善的安全生产和劳动保护体系，熟知作业场所和工作岗位存在的危险因素、防范措施以及事故应急措施，并制定相应的操作规程。</w:t>
      </w:r>
    </w:p>
    <w:p w14:paraId="0954BF68">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甲方与乙方安排的设备操作人员不存在任何劳动或劳务关系，乙方应对其安排的设备操作人员人身、财产安全及相关行为负完全责任，并提供必要的劳动保护条件等，对其人员的意外工伤、死亡承担责任，负责处理与其人员产生的劳动争议，并承担有关追讨、诉讼及赔偿等费用，甲方无须对这些意外工伤、死亡或劳动争议承担任何责任。乙方应按时足额向设备操作人员发放工资报酬，若因乙方未足额发放工资报酬而导致设备操作人员数量不能满足项目要求的，乙方应立即补充安排充足的服务人员</w:t>
      </w:r>
      <w:r>
        <w:rPr>
          <w:rFonts w:hint="eastAsia" w:ascii="宋体" w:hAnsi="宋体" w:eastAsia="宋体" w:cs="宋体"/>
          <w:color w:val="000000" w:themeColor="text1"/>
          <w:szCs w:val="21"/>
          <w:highlight w:val="none"/>
          <w14:textFill>
            <w14:solidFill>
              <w14:schemeClr w14:val="tx1"/>
            </w14:solidFill>
          </w14:textFill>
        </w:rPr>
        <w:t>。</w:t>
      </w:r>
    </w:p>
    <w:p w14:paraId="1F5F2BA9">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双方的权利与义务</w:t>
      </w:r>
    </w:p>
    <w:p w14:paraId="328CBBFA">
      <w:pPr>
        <w:tabs>
          <w:tab w:val="left" w:pos="142"/>
        </w:tabs>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1、甲方权利和义务</w:t>
      </w:r>
    </w:p>
    <w:p w14:paraId="069A25A0">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（1）甲方有权要求乙方配合服务设备操作人员遵守职业操守，做好与</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内容有关信息的保密工作。</w:t>
      </w:r>
    </w:p>
    <w:p w14:paraId="4E115F65">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（2）甲方有权要求乙方根据项目工作需要对配合服务设备操作人员的</w:t>
      </w:r>
      <w:r>
        <w:rPr>
          <w:rFonts w:hint="eastAsia" w:ascii="宋体" w:hAnsi="宋体" w:eastAsia="宋体" w:cs="宋体"/>
          <w:color w:val="000000" w:themeColor="text1"/>
          <w:szCs w:val="21"/>
          <w:highlight w:val="none"/>
          <w:lang w:val="en-US" w:eastAsia="zh-CN"/>
          <w14:textFill>
            <w14:solidFill>
              <w14:schemeClr w14:val="tx1"/>
            </w14:solidFill>
          </w14:textFill>
        </w:rPr>
        <w:t>服务时间</w:t>
      </w:r>
      <w:r>
        <w:rPr>
          <w:rFonts w:hint="eastAsia" w:ascii="宋体" w:hAnsi="宋体" w:eastAsia="宋体" w:cs="宋体"/>
          <w:color w:val="000000" w:themeColor="text1"/>
          <w:szCs w:val="21"/>
          <w:highlight w:val="none"/>
          <w14:textFill>
            <w14:solidFill>
              <w14:schemeClr w14:val="tx1"/>
            </w14:solidFill>
          </w14:textFill>
        </w:rPr>
        <w:t>进行合理调整，如乙方需安排配合服务设备操作人员加班的，应符合相关法律法规的规定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并承担相关的费用</w:t>
      </w:r>
      <w:r>
        <w:rPr>
          <w:rFonts w:hint="eastAsia" w:ascii="宋体" w:hAnsi="宋体" w:eastAsia="宋体" w:cs="宋体"/>
          <w:color w:val="000000" w:themeColor="text1"/>
          <w:szCs w:val="21"/>
          <w:highlight w:val="none"/>
          <w14:textFill>
            <w14:solidFill>
              <w14:schemeClr w14:val="tx1"/>
            </w14:solidFill>
          </w14:textFill>
        </w:rPr>
        <w:t>。</w:t>
      </w:r>
    </w:p>
    <w:p w14:paraId="7E5C0BF1">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（3）与乙方共同确认污泥减量化实际产量。</w:t>
      </w:r>
    </w:p>
    <w:p w14:paraId="6B742E3B">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有权不定期地对各处理系统进行检查、巡查、巡视等，有权对各种泥样、水样进行取样检测、分析。如发现乙方存在未按合同及附件相关文件规定执行，或执行内容不符合设计和规范要求行为的（包括但不限于系统操作不当，设备使用不当等），甲方有权要求乙方限期改正等，由此产生的费用由乙方全部承担。</w:t>
      </w:r>
    </w:p>
    <w:p w14:paraId="3ABD7379">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（5）监督、指导乙方进行运营管理工作，及时纠正乙方出现问题，甲方有权</w:t>
      </w:r>
      <w:r>
        <w:rPr>
          <w:rFonts w:hint="eastAsia" w:ascii="宋体" w:hAnsi="宋体" w:eastAsia="宋体" w:cs="宋体"/>
          <w:color w:val="000000" w:themeColor="text1"/>
          <w:szCs w:val="21"/>
          <w:highlight w:val="none"/>
          <w:lang w:val="en-US" w:eastAsia="zh-CN"/>
          <w14:textFill>
            <w14:solidFill>
              <w14:schemeClr w14:val="tx1"/>
            </w14:solidFill>
          </w14:textFill>
        </w:rPr>
        <w:t>对</w:t>
      </w:r>
      <w:r>
        <w:rPr>
          <w:rFonts w:hint="eastAsia" w:ascii="宋体" w:hAnsi="宋体" w:eastAsia="宋体" w:cs="宋体"/>
          <w:color w:val="000000" w:themeColor="text1"/>
          <w:szCs w:val="21"/>
          <w:highlight w:val="none"/>
          <w14:textFill>
            <w14:solidFill>
              <w14:schemeClr w14:val="tx1"/>
            </w14:solidFill>
          </w14:textFill>
        </w:rPr>
        <w:t>乙方不符合要求的问题提出书面整改意见，乙方应在甲方规定的时间内完成整改。</w:t>
      </w:r>
    </w:p>
    <w:p w14:paraId="6EA080BF">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（6）甲方认为乙方有任何违反或可能违反本合同行为，甲方有权提出书面意见要求乙方限期整改。乙方应在收到甲方的书面意见后10个工作日内，以书面形式将其整改的措施和结果回复甲方。</w:t>
      </w:r>
    </w:p>
    <w:p w14:paraId="600B579F">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（7）甲方不得将本合同的内容向甲乙双方以外的、与签订和履行本合同无关的任何第三方透露，不得泄露乙方的商业秘密（包括本合同及其附件和合同签订前的各项方案）。</w:t>
      </w:r>
    </w:p>
    <w:p w14:paraId="1AB548E9">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（8）本合同不具排他性，甲方具有将本合同项下的污泥脱水减量配合服务委托其他有资质的第三方服务的权利。</w:t>
      </w:r>
    </w:p>
    <w:p w14:paraId="0610650A">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（9）在本合同履行期间，因乙方违约行为导致的索赔金额、甲方损失以及因索赔所发生的费用等，甲方有权在乙方未付款项中直接扣除，也有权提取履约担保予以支付。</w:t>
      </w:r>
    </w:p>
    <w:p w14:paraId="1FFD1301">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在乙方无违约的情况下，</w:t>
      </w:r>
      <w:r>
        <w:rPr>
          <w:rFonts w:hint="eastAsia" w:ascii="宋体" w:hAnsi="宋体" w:eastAsia="宋体" w:cs="宋体"/>
          <w:color w:val="000000" w:themeColor="text1"/>
          <w:szCs w:val="21"/>
          <w:highlight w:val="none"/>
          <w14:textFill>
            <w14:solidFill>
              <w14:schemeClr w14:val="tx1"/>
            </w14:solidFill>
          </w14:textFill>
        </w:rPr>
        <w:t>甲方按照既定的审批支付程序，及时办理配合服务费的支付手续。</w:t>
      </w:r>
    </w:p>
    <w:p w14:paraId="603B110C">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（11）招标文件、本合同文件及附件内容约定的甲方其他权利义务。</w:t>
      </w:r>
    </w:p>
    <w:p w14:paraId="730D570A">
      <w:pPr>
        <w:tabs>
          <w:tab w:val="left" w:pos="142"/>
        </w:tabs>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2、乙方权利和义务</w:t>
      </w:r>
    </w:p>
    <w:p w14:paraId="0706671C">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（1）乙方应根据项目点生产情况，安排充足的配合服务设备操作人员，必须满足污水处理厂的污泥脱水需求，且不论项目点是否停车，乙方需保持</w:t>
      </w:r>
      <w:r>
        <w:rPr>
          <w:rFonts w:hint="eastAsia" w:ascii="宋体" w:hAnsi="宋体" w:eastAsia="宋体" w:cs="宋体"/>
          <w:color w:val="000000" w:themeColor="text1"/>
          <w:szCs w:val="21"/>
          <w:highlight w:val="none"/>
          <w:lang w:val="en-US" w:eastAsia="zh-CN"/>
          <w14:textFill>
            <w14:solidFill>
              <w14:schemeClr w14:val="tx1"/>
            </w14:solidFill>
          </w14:textFill>
        </w:rPr>
        <w:t>每个项目</w:t>
      </w:r>
      <w:r>
        <w:rPr>
          <w:rFonts w:hint="eastAsia" w:ascii="宋体" w:hAnsi="宋体" w:eastAsia="宋体" w:cs="宋体"/>
          <w:color w:val="000000" w:themeColor="text1"/>
          <w:szCs w:val="21"/>
          <w:highlight w:val="none"/>
          <w14:textFill>
            <w14:solidFill>
              <w14:schemeClr w14:val="tx1"/>
            </w14:solidFill>
          </w14:textFill>
        </w:rPr>
        <w:t>24小时必须有人员值班，每班至少1人。</w:t>
      </w:r>
    </w:p>
    <w:p w14:paraId="12F642B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（2）乙方应按甲方的要求连续不断的使用甲方提供的污泥脱水减量设备进行生产，若乙方出现人力不足时，乙方有义务增加人员，以满足项目需求。</w:t>
      </w:r>
    </w:p>
    <w:p w14:paraId="1B02CD59">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乙方接到甲方《进场通知书》后10个工作日内</w:t>
      </w:r>
      <w:r>
        <w:rPr>
          <w:rFonts w:hint="eastAsia" w:ascii="宋体" w:hAnsi="宋体" w:eastAsia="宋体" w:cs="宋体"/>
          <w:color w:val="000000" w:themeColor="text1"/>
          <w:szCs w:val="21"/>
          <w:highlight w:val="none"/>
          <w14:textFill>
            <w14:solidFill>
              <w14:schemeClr w14:val="tx1"/>
            </w14:solidFill>
          </w14:textFill>
        </w:rPr>
        <w:t>，乙方应根据项目点生产情况</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安排满足污水厂的污泥脱水需求的</w:t>
      </w:r>
      <w:r>
        <w:rPr>
          <w:rFonts w:hint="eastAsia" w:ascii="宋体" w:hAnsi="宋体" w:eastAsia="宋体" w:cs="宋体"/>
          <w:color w:val="000000" w:themeColor="text1"/>
          <w:szCs w:val="21"/>
          <w:highlight w:val="none"/>
          <w14:textFill>
            <w14:solidFill>
              <w14:schemeClr w14:val="tx1"/>
            </w14:solidFill>
          </w14:textFill>
        </w:rPr>
        <w:t>配合服务设备操作人员，向配合服务设备操作人员如实说明甲方的</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要求及</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环境，处理配合服务设备操作人员涉及劳动关系的相关事宜。如乙方配合服务设备操作人员在服务过程中发生工伤事件或意外事故的，由乙方依法妥善处理，承担全部责任并支付全部费用，并应确保不影响本项目的正常运行。如因此导致甲方损失的，乙方应承担全部赔偿责任。</w:t>
      </w:r>
    </w:p>
    <w:p w14:paraId="5F00D6FC">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）未经甲方书面同意，乙方不得更换项目负责人员、技术服务人员，否则视为违约。</w:t>
      </w:r>
    </w:p>
    <w:p w14:paraId="37DBAB41">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）乙方应按照甲方制定的设备生产工艺参数执行落实，保证满足污泥处理量及含水率要求。</w:t>
      </w:r>
    </w:p>
    <w:p w14:paraId="0A03A974">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乙方应严格执行本合同服务范围内甲方、污泥产生单位及污水处理厂的管理规章制度，并根据甲方的生产调度安排，配合甲方进行本合同项目的污泥脱水的生产运营，不能对项目服务范围内的污水处理厂的正常生产运营、出水达标造成影响。</w:t>
      </w:r>
    </w:p>
    <w:p w14:paraId="66BDCB60">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乙方应</w:t>
      </w:r>
      <w:r>
        <w:rPr>
          <w:rFonts w:hint="eastAsia" w:ascii="宋体" w:hAnsi="宋体" w:eastAsia="宋体" w:cs="宋体"/>
          <w:color w:val="000000" w:themeColor="text1"/>
          <w:szCs w:val="21"/>
          <w:highlight w:val="none"/>
          <w14:textFill>
            <w14:solidFill>
              <w14:schemeClr w14:val="tx1"/>
            </w14:solidFill>
          </w14:textFill>
        </w:rPr>
        <w:t>建立及完善符合本项目实施所要求的内部管理制度，如因质量问题、操作不当或乙方自身管理原因而造成一切责任及经济损失由乙方承担。</w:t>
      </w:r>
    </w:p>
    <w:p w14:paraId="01848603">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）在服务范围内按规范操作运行各处理系统，并做好各处理系统及配套设施的保护工作。若因乙方防护不力而造成损失，一切责任及经济损失由乙方承担。</w:t>
      </w:r>
    </w:p>
    <w:p w14:paraId="11454856">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乙方应当严格按照本合同约定和甲方确定的服务要求开展污泥脱水减量配合服务业务，提供污泥脱水减量配合服务。在污泥脱水减量配合服务业务开展过程中，未经甲方许可，乙方不得影响甲方其他业务的开展，不得安排配合服务设备操作人员进行与污泥脱水减量配合服务内容无关的工作。</w:t>
      </w:r>
    </w:p>
    <w:p w14:paraId="7B2265CF">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乙方应对配合服务设备操作人员进行职业道德教育，监督检查配合服务设备操作人员执行甲方规章制度的情况，正确和梳理操作甲方设备设施开展污泥脱水减量配合服务工作，对违规违法员工进行处理，维护甲方正常的工作、业务秩序。</w:t>
      </w:r>
    </w:p>
    <w:p w14:paraId="2AF4CE02">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）在本合同履行期间，乙方应承担项目的安全管理责任。由于乙方怠于履行安全管理义务或存在其它服务不当行为导致甲方或第三人财产损失、安全事故或人身损害事件的，由乙方承担全部责任和赔偿。</w:t>
      </w:r>
    </w:p>
    <w:p w14:paraId="5033818B">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）除非征得甲方书面许可，乙方不得随意调换乙方配合服务设备操作人员的</w:t>
      </w:r>
      <w:r>
        <w:rPr>
          <w:rFonts w:hint="eastAsia" w:ascii="宋体" w:hAnsi="宋体" w:eastAsia="宋体" w:cs="宋体"/>
          <w:color w:val="000000" w:themeColor="text1"/>
          <w:szCs w:val="21"/>
          <w:highlight w:val="none"/>
          <w:lang w:val="en-US" w:eastAsia="zh-CN"/>
          <w14:textFill>
            <w14:solidFill>
              <w14:schemeClr w14:val="tx1"/>
            </w14:solidFill>
          </w14:textFill>
        </w:rPr>
        <w:t>服务内容</w:t>
      </w:r>
      <w:r>
        <w:rPr>
          <w:rFonts w:hint="eastAsia" w:ascii="宋体" w:hAnsi="宋体" w:eastAsia="宋体" w:cs="宋体"/>
          <w:color w:val="000000" w:themeColor="text1"/>
          <w:szCs w:val="21"/>
          <w:highlight w:val="none"/>
          <w14:textFill>
            <w14:solidFill>
              <w14:schemeClr w14:val="tx1"/>
            </w14:solidFill>
          </w14:textFill>
        </w:rPr>
        <w:t>，更不得随意更换乙方配合服务设备操作人员（乙方配合服务设备操作人员提出辞职或因服务不达标被乙方进行岗位调整的情况除外，但乙方应及时通知甲方上述情形）。</w:t>
      </w:r>
    </w:p>
    <w:p w14:paraId="195DD4F3">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严格遵守有关安全管理规定，严格按相关安全标准组织服务和应急抢险工作，采取必要的安全防护措施，消除事故隐患。由于乙方服务不当、安全措施不力造成财产、人身及安全事故的，其责任和因此发生的费用，由乙方承担。</w:t>
      </w:r>
    </w:p>
    <w:p w14:paraId="22A7A5A7">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）乙方应根据甲方的要求，如实记录</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生产</w:t>
      </w:r>
      <w:r>
        <w:rPr>
          <w:rFonts w:hint="eastAsia" w:ascii="宋体" w:hAnsi="宋体" w:eastAsia="宋体" w:cs="宋体"/>
          <w:color w:val="000000" w:themeColor="text1"/>
          <w:szCs w:val="21"/>
          <w:highlight w:val="none"/>
          <w:lang w:val="en-US" w:eastAsia="zh-CN"/>
          <w14:textFill>
            <w14:solidFill>
              <w14:schemeClr w14:val="tx1"/>
            </w14:solidFill>
          </w14:textFill>
        </w:rPr>
        <w:t>日报表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生产</w:t>
      </w:r>
      <w:r>
        <w:rPr>
          <w:rFonts w:hint="eastAsia" w:ascii="宋体" w:hAnsi="宋体" w:eastAsia="宋体" w:cs="宋体"/>
          <w:color w:val="000000" w:themeColor="text1"/>
          <w:szCs w:val="21"/>
          <w:highlight w:val="none"/>
          <w:lang w:val="en-US" w:eastAsia="zh-CN"/>
          <w14:textFill>
            <w14:solidFill>
              <w14:schemeClr w14:val="tx1"/>
            </w14:solidFill>
          </w14:textFill>
        </w:rPr>
        <w:t>日报表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包含日常生产中的主要设备及配套设备的运行参数、处理量、药剂使用量、能源使用量、泥饼产生量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含水率</w:t>
      </w:r>
      <w:r>
        <w:rPr>
          <w:rFonts w:hint="eastAsia" w:ascii="宋体" w:hAnsi="宋体" w:eastAsia="宋体" w:cs="宋体"/>
          <w:color w:val="000000" w:themeColor="text1"/>
          <w:szCs w:val="21"/>
          <w:highlight w:val="none"/>
          <w14:textFill>
            <w14:solidFill>
              <w14:schemeClr w14:val="tx1"/>
            </w14:solidFill>
          </w14:textFill>
        </w:rPr>
        <w:t>等。所有与本合同履行相关的原始数据（包括但不限于过磅单、含水率检测记录、现场取样影像、设备运行日志、监控视频、现场照片、维护记录等）及其衍生成果的知识产权、占有权及使用权均归属于甲方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每月10号前</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乙方应将</w:t>
      </w:r>
      <w:r>
        <w:rPr>
          <w:rFonts w:hint="eastAsia" w:ascii="宋体" w:hAnsi="宋体" w:eastAsia="宋体" w:cs="宋体"/>
          <w:color w:val="000000" w:themeColor="text1"/>
          <w:szCs w:val="21"/>
          <w:highlight w:val="none"/>
          <w14:textFill>
            <w14:solidFill>
              <w14:schemeClr w14:val="tx1"/>
            </w14:solidFill>
          </w14:textFill>
        </w:rPr>
        <w:t>各项目点《生产日报表》统一交由甲方保存。</w:t>
      </w:r>
    </w:p>
    <w:p w14:paraId="68E56EE2">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）乙方应定期向甲方</w:t>
      </w:r>
      <w:r>
        <w:rPr>
          <w:rFonts w:hint="eastAsia" w:ascii="宋体" w:hAnsi="宋体" w:eastAsia="宋体" w:cs="宋体"/>
          <w:color w:val="000000" w:themeColor="text1"/>
          <w:szCs w:val="21"/>
          <w:highlight w:val="none"/>
          <w:lang w:val="en-US" w:eastAsia="zh-CN"/>
          <w14:textFill>
            <w14:solidFill>
              <w14:schemeClr w14:val="tx1"/>
            </w14:solidFill>
          </w14:textFill>
        </w:rPr>
        <w:t>汇报</w:t>
      </w:r>
      <w:r>
        <w:rPr>
          <w:rFonts w:hint="eastAsia" w:ascii="宋体" w:hAnsi="宋体" w:eastAsia="宋体" w:cs="宋体"/>
          <w:color w:val="000000" w:themeColor="text1"/>
          <w:szCs w:val="21"/>
          <w:highlight w:val="none"/>
          <w14:textFill>
            <w14:solidFill>
              <w14:schemeClr w14:val="tx1"/>
            </w14:solidFill>
          </w14:textFill>
        </w:rPr>
        <w:t>污泥脱水减量配合服务项目的相关事项，如发生突发性事件，乙方应及时向甲方通报。乙方及其工作人员及配合服务设备操作人员在工作过程中发现存在安全隐患的，应及时向甲方上报，并做好相应预防工作。</w:t>
      </w:r>
    </w:p>
    <w:p w14:paraId="36B305CB">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bookmarkStart w:id="469" w:name="OLE_LINK3"/>
      <w:r>
        <w:rPr>
          <w:rFonts w:hint="eastAsia" w:ascii="宋体" w:hAnsi="宋体" w:eastAsia="宋体" w:cs="宋体"/>
          <w:color w:val="000000" w:themeColor="text1"/>
          <w:szCs w:val="21"/>
          <w:highlight w:val="none"/>
          <w14:textFill>
            <w14:solidFill>
              <w14:schemeClr w14:val="tx1"/>
            </w14:solidFill>
          </w14:textFill>
        </w:rPr>
        <w:t>甲方通过银行转账或银行承兑汇票支付服务费时</w:t>
      </w:r>
      <w:bookmarkEnd w:id="469"/>
      <w:r>
        <w:rPr>
          <w:rFonts w:hint="eastAsia" w:ascii="宋体" w:hAnsi="宋体" w:eastAsia="宋体" w:cs="宋体"/>
          <w:color w:val="000000" w:themeColor="text1"/>
          <w:szCs w:val="21"/>
          <w:highlight w:val="none"/>
          <w14:textFill>
            <w14:solidFill>
              <w14:schemeClr w14:val="tx1"/>
            </w14:solidFill>
          </w14:textFill>
        </w:rPr>
        <w:t>，乙方还应根据相关法律法规的规定履行以下义务：</w:t>
      </w:r>
    </w:p>
    <w:p w14:paraId="2A644FDC">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（A）乙方不得更改票据金额、日期、收款人名称，更改的票据无效。对票据上的其他记载事项，甲方可以更改，更改时应当由甲方签章证明。</w:t>
      </w:r>
    </w:p>
    <w:p w14:paraId="7CAFCA41">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（B）乙方应自汇票到期前十日内持汇票向汇票指定银行提示付款。乙方向银行申请汇票贴现的，贴现利息以及相关手续费用等均由乙方自行承担，甲方无需承担因此产生的利息、手续费等任何费用。</w:t>
      </w:r>
    </w:p>
    <w:p w14:paraId="6ACD18C3">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（C）乙方获得付款的，应当在汇票上签收，并将汇票交给银行。乙方委托银行收款的，受委托的银行将代收的汇票金额转账收入乙方账户的，视同签收。</w:t>
      </w:r>
    </w:p>
    <w:p w14:paraId="08406D34">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1046C490">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（E）本合同项下的汇票以本合同的真实合法交易关系为基础，乙方不履行合同约定义务的，甲方有权拒绝向乙方付款。</w:t>
      </w:r>
    </w:p>
    <w:p w14:paraId="25225BF1">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（F）乙方不得提供伪造或变造的票据向银行提示付款，否则，乙方除需依法承担相应的法律责任外，甲方有权追究乙方违约责任，并要求乙方支付1万元违约金，如甲方因此遭受损失的，乙方还应予全额赔偿。</w:t>
      </w:r>
    </w:p>
    <w:p w14:paraId="5ADA92C6">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t>）招标文件、本合同文件及附件内容约定的乙方其他权利义务。</w:t>
      </w:r>
    </w:p>
    <w:p w14:paraId="26439F37">
      <w:pPr>
        <w:spacing w:line="360" w:lineRule="auto"/>
        <w:ind w:firstLine="424" w:firstLineChars="201"/>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第八条 履约担保</w:t>
      </w:r>
    </w:p>
    <w:p w14:paraId="653CF97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03155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履约保证金（银行转账形式）金额为¥     元，大写人民币      ；</w:t>
      </w:r>
    </w:p>
    <w:p w14:paraId="4D7A4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不可撤销银行履约保函金额为¥     元，大写人民币      ；</w:t>
      </w:r>
    </w:p>
    <w:p w14:paraId="391F1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履约保证保险金额为¥     元，大写人民币      ；</w:t>
      </w:r>
    </w:p>
    <w:p w14:paraId="0C0A1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担保公司履约担保书金额为¥     元，大写人民币      。</w:t>
      </w:r>
    </w:p>
    <w:p w14:paraId="07AB37C4">
      <w:pPr>
        <w:snapToGrid w:val="0"/>
        <w:spacing w:line="360" w:lineRule="auto"/>
        <w:ind w:firstLine="371" w:firstLineChars="177"/>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合同履行过程中，乙方给甲方造成的损失超过履约担保数额的，乙方还应当对超过部分予以赔偿，甲方并依法追究乙方的相应责任</w:t>
      </w:r>
      <w:r>
        <w:rPr>
          <w:rFonts w:hint="eastAsia" w:ascii="宋体" w:hAnsi="宋体" w:eastAsia="宋体" w:cs="宋体"/>
          <w:color w:val="000000" w:themeColor="text1"/>
          <w:szCs w:val="21"/>
          <w:highlight w:val="none"/>
          <w:lang w:eastAsia="zh-CN"/>
          <w14:textFill>
            <w14:solidFill>
              <w14:schemeClr w14:val="tx1"/>
            </w14:solidFill>
          </w14:textFill>
        </w:rPr>
        <w:t>。</w:t>
      </w:r>
    </w:p>
    <w:p w14:paraId="506E5A80">
      <w:pPr>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、履约担保用于补偿甲方因乙方不能完成其合同义务而蒙受的损失或其他合同约定的事项。如发生下列任一情况时，甲方有权依合同追究违约责任外，同时有权提取履约担保并进行相应处理：</w:t>
      </w:r>
    </w:p>
    <w:p w14:paraId="3964CFD3">
      <w:pPr>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31890B53">
      <w:pPr>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）在合同履行期间，乙方违约产生的违约金、赔偿、罚款或其他应付费用等款项，甲方有权直接从未付款项中直接扣除或启用履约担保予以支付。</w:t>
      </w:r>
    </w:p>
    <w:p w14:paraId="4CB0963B">
      <w:pPr>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）合同期内，乙方不能及时完成某项合同义务的，甲方有权提取履约担保用于处理该项工作。</w:t>
      </w:r>
    </w:p>
    <w:p w14:paraId="122C3E55">
      <w:pPr>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）其他根据本合同约定或法律规定，甲方可启用履约担保的情形。</w:t>
      </w:r>
    </w:p>
    <w:p w14:paraId="3AE28EF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w:t>
      </w:r>
      <w:r>
        <w:rPr>
          <w:rFonts w:hint="eastAsia" w:ascii="宋体" w:hAnsi="宋体" w:eastAsia="宋体" w:cs="宋体"/>
          <w:color w:val="000000" w:themeColor="text1"/>
          <w:sz w:val="21"/>
          <w:szCs w:val="21"/>
          <w:highlight w:val="none"/>
          <w14:textFill>
            <w14:solidFill>
              <w14:schemeClr w14:val="tx1"/>
            </w14:solidFill>
          </w14:textFill>
        </w:rPr>
        <w:t>。甲方审核并在扣除相应的费用（若有）后，办理履约担保退还手续，退回时一律以银行转账的形式无息退回到乙方的账号。</w:t>
      </w:r>
    </w:p>
    <w:p w14:paraId="76181A4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w:t>
      </w:r>
      <w:r>
        <w:rPr>
          <w:rFonts w:hint="eastAsia" w:ascii="宋体" w:hAnsi="宋体" w:eastAsia="宋体" w:cs="宋体"/>
          <w:bCs/>
          <w:color w:val="000000" w:themeColor="text1"/>
          <w:szCs w:val="21"/>
          <w:highlight w:val="none"/>
          <w:lang w:val="en-US" w:eastAsia="zh-CN"/>
          <w14:textFill>
            <w14:solidFill>
              <w14:schemeClr w14:val="tx1"/>
            </w14:solidFill>
          </w14:textFill>
        </w:rPr>
        <w:t>乙方应向甲方支付【10,000.00】元违约金，该违约金甲方有权从未付款项中扣除。</w:t>
      </w:r>
      <w:r>
        <w:rPr>
          <w:rFonts w:hint="eastAsia" w:ascii="宋体" w:hAnsi="宋体" w:eastAsia="宋体" w:cs="宋体"/>
          <w:color w:val="000000" w:themeColor="text1"/>
          <w:sz w:val="21"/>
          <w:szCs w:val="21"/>
          <w:highlight w:val="none"/>
          <w14:textFill>
            <w14:solidFill>
              <w14:schemeClr w14:val="tx1"/>
            </w14:solidFill>
          </w14:textFill>
        </w:rPr>
        <w:t>在乙方重新提供前甲方无需向乙方支付合同款项，且不视为甲方违约。</w:t>
      </w:r>
    </w:p>
    <w:p w14:paraId="57625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52625C65">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违约责任</w:t>
      </w:r>
    </w:p>
    <w:p w14:paraId="3E26FF68">
      <w:pPr>
        <w:spacing w:line="360" w:lineRule="auto"/>
        <w:ind w:firstLine="420" w:firstLineChars="200"/>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1、乙方接到</w:t>
      </w:r>
      <w:r>
        <w:rPr>
          <w:rFonts w:hint="eastAsia" w:ascii="宋体" w:hAnsi="宋体" w:eastAsia="宋体" w:cs="宋体"/>
          <w:bCs/>
          <w:color w:val="000000" w:themeColor="text1"/>
          <w:szCs w:val="21"/>
          <w:highlight w:val="none"/>
          <w:lang w:val="en-US" w:eastAsia="zh-CN"/>
          <w14:textFill>
            <w14:solidFill>
              <w14:schemeClr w14:val="tx1"/>
            </w14:solidFill>
          </w14:textFill>
        </w:rPr>
        <w:t>甲方《进场通知书》</w:t>
      </w:r>
      <w:r>
        <w:rPr>
          <w:rFonts w:hint="eastAsia" w:ascii="宋体" w:hAnsi="宋体" w:eastAsia="宋体" w:cs="宋体"/>
          <w:bCs/>
          <w:color w:val="000000" w:themeColor="text1"/>
          <w:szCs w:val="21"/>
          <w:highlight w:val="none"/>
          <w14:textFill>
            <w14:solidFill>
              <w14:schemeClr w14:val="tx1"/>
            </w14:solidFill>
          </w14:textFill>
        </w:rPr>
        <w:t>后，无正当理由未按本合同约定的要求开展污泥脱水减量配合服务工作的，</w:t>
      </w:r>
      <w:r>
        <w:rPr>
          <w:rFonts w:hint="eastAsia" w:ascii="宋体" w:hAnsi="宋体" w:eastAsia="宋体" w:cs="宋体"/>
          <w:color w:val="000000" w:themeColor="text1"/>
          <w:szCs w:val="21"/>
          <w:highlight w:val="none"/>
          <w14:textFill>
            <w14:solidFill>
              <w14:schemeClr w14:val="tx1"/>
            </w14:solidFill>
          </w14:textFill>
        </w:rPr>
        <w:t>乙方应按照3,00</w:t>
      </w:r>
      <w:r>
        <w:rPr>
          <w:rFonts w:hint="eastAsia" w:ascii="宋体" w:hAnsi="宋体" w:eastAsia="宋体" w:cs="宋体"/>
          <w:color w:val="000000" w:themeColor="text1"/>
          <w:szCs w:val="21"/>
          <w:highlight w:val="none"/>
          <w:lang w:val="en-US" w:eastAsia="zh-CN"/>
          <w14:textFill>
            <w14:solidFill>
              <w14:schemeClr w14:val="tx1"/>
            </w14:solidFill>
          </w14:textFill>
        </w:rPr>
        <w:t>0.00</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向甲方支付违约金（上述违约金累计总额不超过200,000</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元），乙方逾期10日未能</w:t>
      </w:r>
      <w:r>
        <w:rPr>
          <w:rFonts w:hint="eastAsia" w:ascii="宋体" w:hAnsi="宋体" w:eastAsia="宋体" w:cs="宋体"/>
          <w:color w:val="000000" w:themeColor="text1"/>
          <w:szCs w:val="21"/>
          <w:highlight w:val="none"/>
          <w:lang w:val="en-US" w:eastAsia="zh-CN"/>
          <w14:textFill>
            <w14:solidFill>
              <w14:schemeClr w14:val="tx1"/>
            </w14:solidFill>
          </w14:textFill>
        </w:rPr>
        <w:t>按本合同要求</w:t>
      </w:r>
      <w:r>
        <w:rPr>
          <w:rFonts w:hint="eastAsia" w:ascii="宋体" w:hAnsi="宋体" w:eastAsia="宋体" w:cs="宋体"/>
          <w:color w:val="000000" w:themeColor="text1"/>
          <w:szCs w:val="21"/>
          <w:highlight w:val="none"/>
          <w14:textFill>
            <w14:solidFill>
              <w14:schemeClr w14:val="tx1"/>
            </w14:solidFill>
          </w14:textFill>
        </w:rPr>
        <w:t>开展污泥脱水减量配合服务工作</w:t>
      </w:r>
      <w:r>
        <w:rPr>
          <w:rFonts w:hint="eastAsia" w:ascii="宋体" w:hAnsi="宋体" w:eastAsia="宋体" w:cs="宋体"/>
          <w:bCs/>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，在乙方根据前述约定支付违约金</w:t>
      </w:r>
      <w:r>
        <w:rPr>
          <w:rFonts w:hint="eastAsia" w:ascii="宋体" w:hAnsi="宋体" w:eastAsia="宋体" w:cs="宋体"/>
          <w:color w:val="000000" w:themeColor="text1"/>
          <w:szCs w:val="21"/>
          <w:highlight w:val="none"/>
          <w:lang w:val="en-US" w:eastAsia="zh-CN"/>
          <w14:textFill>
            <w14:solidFill>
              <w14:schemeClr w14:val="tx1"/>
            </w14:solidFill>
          </w14:textFill>
        </w:rPr>
        <w:t>的同时</w:t>
      </w:r>
      <w:r>
        <w:rPr>
          <w:rFonts w:hint="eastAsia" w:ascii="宋体" w:hAnsi="宋体" w:eastAsia="宋体" w:cs="宋体"/>
          <w:color w:val="000000" w:themeColor="text1"/>
          <w:szCs w:val="21"/>
          <w:highlight w:val="none"/>
          <w14:textFill>
            <w14:solidFill>
              <w14:schemeClr w14:val="tx1"/>
            </w14:solidFill>
          </w14:textFill>
        </w:rPr>
        <w:t>，甲方有权单方解除合同，</w:t>
      </w:r>
      <w:r>
        <w:rPr>
          <w:rFonts w:hint="eastAsia" w:ascii="宋体" w:hAnsi="宋体" w:eastAsia="宋体" w:cs="宋体"/>
          <w:bCs/>
          <w:color w:val="000000" w:themeColor="text1"/>
          <w:szCs w:val="21"/>
          <w:highlight w:val="none"/>
          <w14:textFill>
            <w14:solidFill>
              <w14:schemeClr w14:val="tx1"/>
            </w14:solidFill>
          </w14:textFill>
        </w:rPr>
        <w:t>并要求乙方按</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0,000.00元的标准承担违约金。</w:t>
      </w:r>
    </w:p>
    <w:p w14:paraId="47847A85">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bCs/>
          <w:color w:val="000000" w:themeColor="text1"/>
          <w:szCs w:val="21"/>
          <w:highlight w:val="none"/>
          <w:lang w:val="en-US" w:eastAsia="zh-CN"/>
          <w14:textFill>
            <w14:solidFill>
              <w14:schemeClr w14:val="tx1"/>
            </w14:solidFill>
          </w14:textFill>
        </w:rPr>
        <w:t>服务期内，</w:t>
      </w:r>
      <w:r>
        <w:rPr>
          <w:rFonts w:hint="eastAsia" w:ascii="宋体" w:hAnsi="宋体" w:eastAsia="宋体" w:cs="宋体"/>
          <w:bCs/>
          <w:color w:val="000000" w:themeColor="text1"/>
          <w:szCs w:val="21"/>
          <w:highlight w:val="none"/>
          <w14:textFill>
            <w14:solidFill>
              <w14:schemeClr w14:val="tx1"/>
            </w14:solidFill>
          </w14:textFill>
        </w:rPr>
        <w:t>因乙方引起的劳资纠纷、人身损害赔偿纠纷等问题，</w:t>
      </w:r>
      <w:r>
        <w:rPr>
          <w:rFonts w:hint="eastAsia" w:ascii="宋体" w:hAnsi="宋体" w:eastAsia="宋体" w:cs="宋体"/>
          <w:bCs/>
          <w:color w:val="000000" w:themeColor="text1"/>
          <w:szCs w:val="21"/>
          <w:highlight w:val="none"/>
          <w:lang w:val="en-US" w:eastAsia="zh-CN"/>
          <w14:textFill>
            <w14:solidFill>
              <w14:schemeClr w14:val="tx1"/>
            </w14:solidFill>
          </w14:textFill>
        </w:rPr>
        <w:t>乙方应自行妥善处理并承担责任，不得影响甲方污泥脱水减量项目正常开展。如前述问题</w:t>
      </w:r>
      <w:r>
        <w:rPr>
          <w:rFonts w:hint="eastAsia" w:ascii="宋体" w:hAnsi="宋体" w:eastAsia="宋体" w:cs="宋体"/>
          <w:bCs/>
          <w:color w:val="000000" w:themeColor="text1"/>
          <w:szCs w:val="21"/>
          <w:highlight w:val="none"/>
          <w14:textFill>
            <w14:solidFill>
              <w14:schemeClr w14:val="tx1"/>
            </w14:solidFill>
          </w14:textFill>
        </w:rPr>
        <w:t>影响甲方污泥脱水减量项目正常开展的，甲方有权</w:t>
      </w:r>
      <w:r>
        <w:rPr>
          <w:rFonts w:hint="eastAsia" w:ascii="宋体" w:hAnsi="宋体" w:eastAsia="宋体" w:cs="宋体"/>
          <w:bCs/>
          <w:color w:val="000000" w:themeColor="text1"/>
          <w:szCs w:val="21"/>
          <w:highlight w:val="none"/>
          <w:lang w:val="en-US" w:eastAsia="zh-CN"/>
          <w14:textFill>
            <w14:solidFill>
              <w14:schemeClr w14:val="tx1"/>
            </w14:solidFill>
          </w14:textFill>
        </w:rPr>
        <w:t>单方解除合同</w:t>
      </w:r>
      <w:r>
        <w:rPr>
          <w:rFonts w:hint="eastAsia" w:ascii="宋体" w:hAnsi="宋体" w:eastAsia="宋体" w:cs="宋体"/>
          <w:bCs/>
          <w:color w:val="000000" w:themeColor="text1"/>
          <w:szCs w:val="21"/>
          <w:highlight w:val="none"/>
          <w14:textFill>
            <w14:solidFill>
              <w14:schemeClr w14:val="tx1"/>
            </w14:solidFill>
          </w14:textFill>
        </w:rPr>
        <w:t>，乙方还需向甲方支付</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0,000.00元的违约金。</w:t>
      </w:r>
    </w:p>
    <w:p w14:paraId="0A61B9AC">
      <w:pPr>
        <w:snapToGrid w:val="0"/>
        <w:spacing w:line="360" w:lineRule="auto"/>
        <w:ind w:left="-17" w:leftChars="-8" w:firstLine="420" w:firstLineChars="200"/>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r>
        <w:rPr>
          <w:rFonts w:hint="eastAsia" w:ascii="宋体" w:hAnsi="宋体" w:eastAsia="宋体" w:cs="宋体"/>
          <w:bCs/>
          <w:color w:val="000000" w:themeColor="text1"/>
          <w:szCs w:val="21"/>
          <w:highlight w:val="none"/>
          <w:lang w:val="en-US" w:eastAsia="zh-CN"/>
          <w14:textFill>
            <w14:solidFill>
              <w14:schemeClr w14:val="tx1"/>
            </w14:solidFill>
          </w14:textFill>
        </w:rPr>
        <w:t>因</w:t>
      </w:r>
      <w:r>
        <w:rPr>
          <w:rFonts w:hint="eastAsia" w:ascii="宋体" w:hAnsi="宋体" w:eastAsia="宋体" w:cs="宋体"/>
          <w:bCs/>
          <w:color w:val="000000" w:themeColor="text1"/>
          <w:szCs w:val="21"/>
          <w:highlight w:val="none"/>
          <w14:textFill>
            <w14:solidFill>
              <w14:schemeClr w14:val="tx1"/>
            </w14:solidFill>
          </w14:textFill>
        </w:rPr>
        <w:t>乙方</w:t>
      </w:r>
      <w:r>
        <w:rPr>
          <w:rFonts w:hint="eastAsia" w:ascii="宋体" w:hAnsi="宋体" w:eastAsia="宋体" w:cs="宋体"/>
          <w:bCs/>
          <w:color w:val="000000" w:themeColor="text1"/>
          <w:szCs w:val="21"/>
          <w:highlight w:val="none"/>
          <w:lang w:val="en-US" w:eastAsia="zh-CN"/>
          <w14:textFill>
            <w14:solidFill>
              <w14:schemeClr w14:val="tx1"/>
            </w14:solidFill>
          </w14:textFill>
        </w:rPr>
        <w:t>的原因导致污泥脱水减量项目点当车外运污泥含水</w:t>
      </w:r>
      <w:r>
        <w:rPr>
          <w:rFonts w:hint="eastAsia" w:ascii="宋体" w:hAnsi="宋体" w:eastAsia="宋体" w:cs="宋体"/>
          <w:bCs/>
          <w:color w:val="000000" w:themeColor="text1"/>
          <w:szCs w:val="21"/>
          <w:highlight w:val="none"/>
          <w14:textFill>
            <w14:solidFill>
              <w14:schemeClr w14:val="tx1"/>
            </w14:solidFill>
          </w14:textFill>
        </w:rPr>
        <w:t>率</w:t>
      </w:r>
      <w:r>
        <w:rPr>
          <w:rFonts w:hint="eastAsia" w:ascii="宋体" w:hAnsi="宋体" w:eastAsia="宋体" w:cs="宋体"/>
          <w:bCs/>
          <w:color w:val="000000" w:themeColor="text1"/>
          <w:szCs w:val="21"/>
          <w:highlight w:val="none"/>
          <w:lang w:val="en-US" w:eastAsia="zh-CN"/>
          <w14:textFill>
            <w14:solidFill>
              <w14:schemeClr w14:val="tx1"/>
            </w14:solidFill>
          </w14:textFill>
        </w:rPr>
        <w:t>高于含水率</w:t>
      </w:r>
      <w:r>
        <w:rPr>
          <w:rFonts w:hint="eastAsia" w:ascii="宋体" w:hAnsi="宋体" w:eastAsia="宋体" w:cs="宋体"/>
          <w:bCs/>
          <w:color w:val="000000" w:themeColor="text1"/>
          <w:szCs w:val="21"/>
          <w:highlight w:val="none"/>
          <w14:textFill>
            <w14:solidFill>
              <w14:schemeClr w14:val="tx1"/>
            </w14:solidFill>
          </w14:textFill>
        </w:rPr>
        <w:t>标准</w:t>
      </w:r>
      <w:r>
        <w:rPr>
          <w:rFonts w:hint="eastAsia" w:ascii="宋体" w:hAnsi="宋体" w:eastAsia="宋体" w:cs="宋体"/>
          <w:bCs/>
          <w:color w:val="000000" w:themeColor="text1"/>
          <w:szCs w:val="21"/>
          <w:highlight w:val="none"/>
          <w:lang w:val="en-US" w:eastAsia="zh-CN"/>
          <w14:textFill>
            <w14:solidFill>
              <w14:schemeClr w14:val="tx1"/>
            </w14:solidFill>
          </w14:textFill>
        </w:rPr>
        <w:t>的</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甲方将扣减乙方当车污泥脱水减量配合服务费（合同单价×当车污泥称重量×</w:t>
      </w:r>
      <w:r>
        <w:rPr>
          <w:rFonts w:hint="eastAsia" w:ascii="宋体" w:hAnsi="宋体" w:eastAsia="宋体" w:cs="宋体"/>
          <w:color w:val="000000" w:themeColor="text1"/>
          <w:szCs w:val="21"/>
          <w:highlight w:val="none"/>
          <w14:textFill>
            <w14:solidFill>
              <w14:schemeClr w14:val="tx1"/>
            </w14:solidFill>
          </w14:textFill>
        </w:rPr>
        <w:t>（1-含水率标准）/（1-80%）</w:t>
      </w:r>
      <w:r>
        <w:rPr>
          <w:rFonts w:hint="eastAsia" w:ascii="宋体" w:hAnsi="宋体" w:eastAsia="宋体" w:cs="宋体"/>
          <w:bCs/>
          <w:color w:val="000000" w:themeColor="text1"/>
          <w:szCs w:val="21"/>
          <w:highlight w:val="none"/>
          <w:lang w:val="en-US" w:eastAsia="zh-CN"/>
          <w14:textFill>
            <w14:solidFill>
              <w14:schemeClr w14:val="tx1"/>
            </w14:solidFill>
          </w14:textFill>
        </w:rPr>
        <w:t>）的 50%作为违约金。同时乙方应按甲方要求限期整改。</w:t>
      </w:r>
    </w:p>
    <w:p w14:paraId="15BAF1B0">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4、乙方在本合同项目服务期间应严格按照《安全</w:t>
      </w:r>
      <w:r>
        <w:rPr>
          <w:rFonts w:hint="eastAsia" w:ascii="宋体" w:hAnsi="宋体" w:eastAsia="宋体" w:cs="宋体"/>
          <w:bCs/>
          <w:color w:val="000000" w:themeColor="text1"/>
          <w:szCs w:val="21"/>
          <w:highlight w:val="none"/>
          <w:lang w:val="en-US" w:eastAsia="zh-CN"/>
          <w14:textFill>
            <w14:solidFill>
              <w14:schemeClr w14:val="tx1"/>
            </w14:solidFill>
          </w14:textFill>
        </w:rPr>
        <w:t>生产</w:t>
      </w:r>
      <w:r>
        <w:rPr>
          <w:rFonts w:hint="eastAsia" w:ascii="宋体" w:hAnsi="宋体" w:eastAsia="宋体" w:cs="宋体"/>
          <w:bCs/>
          <w:color w:val="000000" w:themeColor="text1"/>
          <w:szCs w:val="21"/>
          <w:highlight w:val="none"/>
          <w14:textFill>
            <w14:solidFill>
              <w14:schemeClr w14:val="tx1"/>
            </w14:solidFill>
          </w14:textFill>
        </w:rPr>
        <w:t>管理协议》</w:t>
      </w:r>
      <w:r>
        <w:rPr>
          <w:rFonts w:hint="eastAsia" w:ascii="宋体" w:hAnsi="宋体" w:eastAsia="宋体" w:cs="宋体"/>
          <w:bCs/>
          <w:color w:val="000000" w:themeColor="text1"/>
          <w:szCs w:val="21"/>
          <w:highlight w:val="none"/>
          <w:lang w:val="en-US" w:eastAsia="zh-CN"/>
          <w14:textFill>
            <w14:solidFill>
              <w14:schemeClr w14:val="tx1"/>
            </w14:solidFill>
          </w14:textFill>
        </w:rPr>
        <w:t>和</w:t>
      </w:r>
      <w:r>
        <w:rPr>
          <w:rFonts w:hint="eastAsia" w:ascii="宋体" w:hAnsi="宋体" w:eastAsia="宋体" w:cs="宋体"/>
          <w:bCs/>
          <w:color w:val="000000" w:themeColor="text1"/>
          <w:szCs w:val="21"/>
          <w:highlight w:val="none"/>
          <w14:textFill>
            <w14:solidFill>
              <w14:schemeClr w14:val="tx1"/>
            </w14:solidFill>
          </w14:textFill>
        </w:rPr>
        <w:t>甲方的安全管理制度及相关规定执行，因乙方原因导致该项目造成甲方损失或发生乙方有违反《安全</w:t>
      </w:r>
      <w:r>
        <w:rPr>
          <w:rFonts w:hint="eastAsia" w:ascii="宋体" w:hAnsi="宋体" w:eastAsia="宋体" w:cs="宋体"/>
          <w:bCs/>
          <w:color w:val="000000" w:themeColor="text1"/>
          <w:szCs w:val="21"/>
          <w:highlight w:val="none"/>
          <w:lang w:val="en-US" w:eastAsia="zh-CN"/>
          <w14:textFill>
            <w14:solidFill>
              <w14:schemeClr w14:val="tx1"/>
            </w14:solidFill>
          </w14:textFill>
        </w:rPr>
        <w:t>生产</w:t>
      </w:r>
      <w:r>
        <w:rPr>
          <w:rFonts w:hint="eastAsia" w:ascii="宋体" w:hAnsi="宋体" w:eastAsia="宋体" w:cs="宋体"/>
          <w:bCs/>
          <w:color w:val="000000" w:themeColor="text1"/>
          <w:szCs w:val="21"/>
          <w:highlight w:val="none"/>
          <w14:textFill>
            <w14:solidFill>
              <w14:schemeClr w14:val="tx1"/>
            </w14:solidFill>
          </w14:textFill>
        </w:rPr>
        <w:t>管理协议》</w:t>
      </w:r>
      <w:r>
        <w:rPr>
          <w:rFonts w:hint="eastAsia" w:ascii="宋体" w:hAnsi="宋体" w:eastAsia="宋体" w:cs="宋体"/>
          <w:bCs/>
          <w:color w:val="000000" w:themeColor="text1"/>
          <w:szCs w:val="21"/>
          <w:highlight w:val="none"/>
          <w:lang w:val="en-US" w:eastAsia="zh-CN"/>
          <w14:textFill>
            <w14:solidFill>
              <w14:schemeClr w14:val="tx1"/>
            </w14:solidFill>
          </w14:textFill>
        </w:rPr>
        <w:t>及相关</w:t>
      </w:r>
      <w:r>
        <w:rPr>
          <w:rFonts w:hint="eastAsia" w:ascii="宋体" w:hAnsi="宋体" w:eastAsia="宋体" w:cs="宋体"/>
          <w:bCs/>
          <w:color w:val="000000" w:themeColor="text1"/>
          <w:szCs w:val="21"/>
          <w:highlight w:val="none"/>
          <w14:textFill>
            <w14:solidFill>
              <w14:schemeClr w14:val="tx1"/>
            </w14:solidFill>
          </w14:textFill>
        </w:rPr>
        <w:t>安全管理规定、限期内未对隐患进行整改等行为，甲方有权从</w:t>
      </w:r>
      <w:r>
        <w:rPr>
          <w:rFonts w:hint="eastAsia" w:ascii="宋体" w:hAnsi="宋体" w:eastAsia="宋体" w:cs="宋体"/>
          <w:bCs/>
          <w:color w:val="000000" w:themeColor="text1"/>
          <w:szCs w:val="21"/>
          <w:highlight w:val="none"/>
          <w:lang w:val="en-US" w:eastAsia="zh-CN"/>
          <w14:textFill>
            <w14:solidFill>
              <w14:schemeClr w14:val="tx1"/>
            </w14:solidFill>
          </w14:textFill>
        </w:rPr>
        <w:t>履约担保</w:t>
      </w:r>
      <w:r>
        <w:rPr>
          <w:rFonts w:hint="eastAsia" w:ascii="宋体" w:hAnsi="宋体" w:eastAsia="宋体" w:cs="宋体"/>
          <w:bCs/>
          <w:color w:val="000000" w:themeColor="text1"/>
          <w:szCs w:val="21"/>
          <w:highlight w:val="none"/>
          <w14:textFill>
            <w14:solidFill>
              <w14:schemeClr w14:val="tx1"/>
            </w14:solidFill>
          </w14:textFill>
        </w:rPr>
        <w:t>或应付服务费中扣除甲方的损失及违约金，若</w:t>
      </w:r>
      <w:r>
        <w:rPr>
          <w:rFonts w:hint="eastAsia" w:ascii="宋体" w:hAnsi="宋体" w:eastAsia="宋体" w:cs="宋体"/>
          <w:bCs/>
          <w:color w:val="000000" w:themeColor="text1"/>
          <w:szCs w:val="21"/>
          <w:highlight w:val="none"/>
          <w:lang w:val="en-US" w:eastAsia="zh-CN"/>
          <w14:textFill>
            <w14:solidFill>
              <w14:schemeClr w14:val="tx1"/>
            </w14:solidFill>
          </w14:textFill>
        </w:rPr>
        <w:t>履约担保数额</w:t>
      </w:r>
      <w:r>
        <w:rPr>
          <w:rFonts w:hint="eastAsia" w:ascii="宋体" w:hAnsi="宋体" w:eastAsia="宋体" w:cs="宋体"/>
          <w:bCs/>
          <w:color w:val="000000" w:themeColor="text1"/>
          <w:szCs w:val="21"/>
          <w:highlight w:val="none"/>
          <w14:textFill>
            <w14:solidFill>
              <w14:schemeClr w14:val="tx1"/>
            </w14:solidFill>
          </w14:textFill>
        </w:rPr>
        <w:t>不足以抵扣甲方损失及违约金的，乙方还应另行支付</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对于多次出现违规，或造成严重后果的，或可能发生重大伤亡潜在因素的，一切责任及经济损失均由乙方承担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甲方有权单方解除本合同，并要求乙方按</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0,000.00元的标准承担违约金，</w:t>
      </w:r>
      <w:r>
        <w:rPr>
          <w:rFonts w:hint="eastAsia" w:ascii="宋体" w:hAnsi="宋体" w:eastAsia="宋体" w:cs="宋体"/>
          <w:bCs/>
          <w:color w:val="000000" w:themeColor="text1"/>
          <w:szCs w:val="21"/>
          <w:highlight w:val="none"/>
          <w:lang w:val="en-US" w:eastAsia="zh-CN"/>
          <w14:textFill>
            <w14:solidFill>
              <w14:schemeClr w14:val="tx1"/>
            </w14:solidFill>
          </w14:textFill>
        </w:rPr>
        <w:t>违约金不足以弥补甲方损失的，乙方还应当予以补足</w:t>
      </w:r>
      <w:r>
        <w:rPr>
          <w:rFonts w:hint="eastAsia" w:ascii="宋体" w:hAnsi="宋体" w:eastAsia="宋体" w:cs="宋体"/>
          <w:bCs/>
          <w:color w:val="000000" w:themeColor="text1"/>
          <w:szCs w:val="21"/>
          <w:highlight w:val="none"/>
          <w14:textFill>
            <w14:solidFill>
              <w14:schemeClr w14:val="tx1"/>
            </w14:solidFill>
          </w14:textFill>
        </w:rPr>
        <w:t>。</w:t>
      </w:r>
    </w:p>
    <w:p w14:paraId="17B3B324">
      <w:pPr>
        <w:snapToGrid w:val="0"/>
        <w:spacing w:line="360" w:lineRule="auto"/>
        <w:ind w:firstLine="424" w:firstLineChars="202"/>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乙方承诺将严格遵守甲方（或甲方上级单位或污泥产生单位）提出或调整的日常管理制度或相关管理要求。乙方服务期间，出现不服从甲方（或甲方上级单位或污泥产生单位）提出或调整的日常管理制度或相关管理要求，甲方有权要求乙方支付2,000.00元/次的违约金（上述违约金累计总额不超过200,000</w:t>
      </w:r>
      <w:r>
        <w:rPr>
          <w:rFonts w:hint="eastAsia" w:ascii="宋体" w:hAnsi="宋体" w:eastAsia="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元）及因此导致的经济损失，累计存在上述情形【3】次（含本数），甲方除有权按上述标准要求乙方支付违约金外，甲方还有权单方解除本合同，并要求乙方按【10,000.00】元的标准承担违约金，违约金不足以弥补甲方损失的，乙方还应当予以补足。</w:t>
      </w:r>
    </w:p>
    <w:p w14:paraId="7A575D0A">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、合同履行期间，甲方按本合同约定要求乙方限期整改，如乙方逾期未按甲方要求完成整改或拒绝整改或经整改仍达不到甲方要求的，甲方有权要求乙方支付</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,000.00元/次的违约金（上述违约金累计总额不超过200,000</w:t>
      </w:r>
      <w:r>
        <w:rPr>
          <w:rFonts w:hint="eastAsia" w:ascii="宋体" w:hAnsi="宋体" w:eastAsia="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元）；累计存在上述情形3次（含本数），甲方除有权按上述标准要求乙方支付违约金外，甲方还有权单方解除本合同，并要求乙方按30,000.00元的标准承担违约金，</w:t>
      </w:r>
      <w:r>
        <w:rPr>
          <w:rFonts w:hint="eastAsia" w:ascii="宋体" w:hAnsi="宋体" w:eastAsia="宋体" w:cs="宋体"/>
          <w:bCs/>
          <w:color w:val="000000" w:themeColor="text1"/>
          <w:szCs w:val="21"/>
          <w:highlight w:val="none"/>
          <w:lang w:val="en-US" w:eastAsia="zh-CN"/>
          <w14:textFill>
            <w14:solidFill>
              <w14:schemeClr w14:val="tx1"/>
            </w14:solidFill>
          </w14:textFill>
        </w:rPr>
        <w:t>违约金不足以弥补甲方损失的，乙方还应当予以补足</w:t>
      </w:r>
      <w:r>
        <w:rPr>
          <w:rFonts w:hint="eastAsia" w:ascii="宋体" w:hAnsi="宋体" w:eastAsia="宋体" w:cs="宋体"/>
          <w:bCs/>
          <w:color w:val="000000" w:themeColor="text1"/>
          <w:szCs w:val="21"/>
          <w:highlight w:val="none"/>
          <w14:textFill>
            <w14:solidFill>
              <w14:schemeClr w14:val="tx1"/>
            </w14:solidFill>
          </w14:textFill>
        </w:rPr>
        <w:t>。</w:t>
      </w:r>
    </w:p>
    <w:p w14:paraId="7CFB93F9">
      <w:pPr>
        <w:spacing w:line="360" w:lineRule="auto"/>
        <w:ind w:firstLine="424" w:firstLineChars="202"/>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、乙方配合服务设备操作人员被甲方认定不适合岗位要求或配合服务设备操作人员因为调走、辞职、被乙方辞退或其他原因导致不满足甲方要求的，</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必须</w:t>
      </w:r>
      <w:r>
        <w:rPr>
          <w:rFonts w:hint="eastAsia" w:ascii="宋体" w:hAnsi="宋体" w:eastAsia="宋体" w:cs="宋体"/>
          <w:color w:val="000000" w:themeColor="text1"/>
          <w:szCs w:val="21"/>
          <w:highlight w:val="none"/>
          <w:lang w:val="en-US" w:eastAsia="zh-CN"/>
          <w14:textFill>
            <w14:solidFill>
              <w14:schemeClr w14:val="tx1"/>
            </w14:solidFill>
          </w14:textFill>
        </w:rPr>
        <w:t>按合同约定</w:t>
      </w:r>
      <w:r>
        <w:rPr>
          <w:rFonts w:hint="eastAsia" w:ascii="宋体" w:hAnsi="宋体" w:eastAsia="宋体" w:cs="宋体"/>
          <w:color w:val="000000" w:themeColor="text1"/>
          <w:szCs w:val="21"/>
          <w:highlight w:val="none"/>
          <w14:textFill>
            <w14:solidFill>
              <w14:schemeClr w14:val="tx1"/>
            </w14:solidFill>
          </w14:textFill>
        </w:rPr>
        <w:t>补充资质、能力相当的人员以满足项目生产需要。乙方未能及时补充符合甲方要求的配合服务设备操作人员，乙方应按照</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,000.00元/</w:t>
      </w:r>
      <w:r>
        <w:rPr>
          <w:rFonts w:hint="eastAsia" w:ascii="宋体" w:hAnsi="宋体" w:eastAsia="宋体" w:cs="宋体"/>
          <w:color w:val="000000" w:themeColor="text1"/>
          <w:szCs w:val="21"/>
          <w:highlight w:val="none"/>
          <w:lang w:val="en-US"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向甲方支付违约金（上述违约金累计总额不超过200,000</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元），乙方逾期10日未能及时补充符合甲方要求的配合服务设备操作人员的，在乙方根据前述约定支付违约金</w:t>
      </w:r>
      <w:r>
        <w:rPr>
          <w:rFonts w:hint="eastAsia" w:ascii="宋体" w:hAnsi="宋体" w:eastAsia="宋体" w:cs="宋体"/>
          <w:color w:val="000000" w:themeColor="text1"/>
          <w:szCs w:val="21"/>
          <w:highlight w:val="none"/>
          <w:lang w:val="en-US" w:eastAsia="zh-CN"/>
          <w14:textFill>
            <w14:solidFill>
              <w14:schemeClr w14:val="tx1"/>
            </w14:solidFill>
          </w14:textFill>
        </w:rPr>
        <w:t>的同时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甲方有权单方解除本合同，并要求乙方按</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0,000.00元的标准承担违约金。在此期间如</w:t>
      </w:r>
      <w:r>
        <w:rPr>
          <w:rFonts w:hint="eastAsia" w:ascii="宋体" w:hAnsi="宋体" w:eastAsia="宋体" w:cs="宋体"/>
          <w:bCs/>
          <w:color w:val="000000" w:themeColor="text1"/>
          <w:szCs w:val="21"/>
          <w:highlight w:val="none"/>
          <w:lang w:val="en-US" w:eastAsia="zh-CN"/>
          <w14:textFill>
            <w14:solidFill>
              <w14:schemeClr w14:val="tx1"/>
            </w14:solidFill>
          </w14:textFill>
        </w:rPr>
        <w:t>因乙方</w:t>
      </w:r>
      <w:r>
        <w:rPr>
          <w:rFonts w:hint="eastAsia" w:ascii="宋体" w:hAnsi="宋体" w:eastAsia="宋体" w:cs="宋体"/>
          <w:color w:val="000000" w:themeColor="text1"/>
          <w:szCs w:val="21"/>
          <w:highlight w:val="none"/>
          <w14:textFill>
            <w14:solidFill>
              <w14:schemeClr w14:val="tx1"/>
            </w14:solidFill>
          </w14:textFill>
        </w:rPr>
        <w:t>未能及时补充符合甲方要求的配合服务设备操作人员</w:t>
      </w:r>
      <w:r>
        <w:rPr>
          <w:rFonts w:hint="eastAsia" w:ascii="宋体" w:hAnsi="宋体" w:eastAsia="宋体" w:cs="宋体"/>
          <w:bCs/>
          <w:color w:val="000000" w:themeColor="text1"/>
          <w:szCs w:val="21"/>
          <w:highlight w:val="none"/>
          <w14:textFill>
            <w14:solidFill>
              <w14:schemeClr w14:val="tx1"/>
            </w14:solidFill>
          </w14:textFill>
        </w:rPr>
        <w:t>造成项目点停产或减产的，视为乙方未按本合同约定的要求开展污泥脱水减量配合服务工作，将按照本条第1款约定追究乙方的违约责任</w:t>
      </w:r>
      <w:r>
        <w:rPr>
          <w:rFonts w:hint="eastAsia" w:ascii="宋体" w:hAnsi="宋体" w:eastAsia="宋体" w:cs="宋体"/>
          <w:color w:val="000000" w:themeColor="text1"/>
          <w:szCs w:val="21"/>
          <w:highlight w:val="none"/>
          <w14:textFill>
            <w14:solidFill>
              <w14:schemeClr w14:val="tx1"/>
            </w14:solidFill>
          </w14:textFill>
        </w:rPr>
        <w:t>。</w:t>
      </w:r>
    </w:p>
    <w:p w14:paraId="7018FFDB">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、因乙方配合服务设备操作人员操作不当或未按操作规程作业导致甲方设备设施损害或停产的，甲方有权要求乙方支付</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,000.00元/次的违约金（上述违约金累计总额不超过200,000</w:t>
      </w:r>
      <w:r>
        <w:rPr>
          <w:rFonts w:hint="eastAsia" w:ascii="宋体" w:hAnsi="宋体" w:eastAsia="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元），同时乙方承担设备设施的维修工作，由此产生的费用均由乙方承担，如造成项目点停产或减产的，视为乙方未按本合同约定的要求开展污泥脱水减量配合服务工作，</w:t>
      </w:r>
      <w:r>
        <w:rPr>
          <w:rFonts w:hint="eastAsia" w:ascii="宋体" w:hAnsi="宋体" w:eastAsia="宋体" w:cs="宋体"/>
          <w:bCs/>
          <w:color w:val="000000" w:themeColor="text1"/>
          <w:szCs w:val="21"/>
          <w:highlight w:val="none"/>
          <w:lang w:val="en-US" w:eastAsia="zh-CN"/>
          <w14:textFill>
            <w14:solidFill>
              <w14:schemeClr w14:val="tx1"/>
            </w14:solidFill>
          </w14:textFill>
        </w:rPr>
        <w:t>甲方有权</w:t>
      </w:r>
      <w:r>
        <w:rPr>
          <w:rFonts w:hint="eastAsia" w:ascii="宋体" w:hAnsi="宋体" w:eastAsia="宋体" w:cs="宋体"/>
          <w:bCs/>
          <w:color w:val="000000" w:themeColor="text1"/>
          <w:szCs w:val="21"/>
          <w:highlight w:val="none"/>
          <w14:textFill>
            <w14:solidFill>
              <w14:schemeClr w14:val="tx1"/>
            </w14:solidFill>
          </w14:textFill>
        </w:rPr>
        <w:t>将按照本条第1款约定追究乙方的违约责任。</w:t>
      </w:r>
    </w:p>
    <w:p w14:paraId="18E379F4">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w:t>
      </w:r>
      <w:r>
        <w:rPr>
          <w:rFonts w:hint="eastAsia" w:ascii="宋体" w:hAnsi="宋体" w:eastAsia="宋体" w:cs="宋体"/>
          <w:bCs/>
          <w:color w:val="000000" w:themeColor="text1"/>
          <w:szCs w:val="21"/>
          <w:highlight w:val="none"/>
          <w14:textFill>
            <w14:solidFill>
              <w14:schemeClr w14:val="tx1"/>
            </w14:solidFill>
          </w14:textFill>
        </w:rPr>
        <w:t>、因乙方管理不善等原因导致在服务范围内发生重大安全事故、或乙方所配置的配合服务设备操作人员违反操作规程、规章制度等违法违纪行为造成第三方损失的，一切损失由乙方负责赔偿。若甲方因此受到上级主管部门、污泥产生单位、行政主管部门的处罚或遭受其他损失，乙方应承担所有赔偿责任。</w:t>
      </w:r>
    </w:p>
    <w:p w14:paraId="206E0637">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、由于乙方配合服务设备操作人员蓄意破坏甲方设备设施、违反规程造成重大安全事故的，则视为乙方严重违约，甲方有权单方解除合同，乙方应赔偿由此给甲方造成的全部损失并向甲方支付</w:t>
      </w:r>
      <w:r>
        <w:rPr>
          <w:rFonts w:hint="eastAsia" w:ascii="宋体" w:hAnsi="宋体" w:eastAsia="宋体" w:cs="宋体"/>
          <w:bCs/>
          <w:color w:val="000000" w:themeColor="text1"/>
          <w:szCs w:val="21"/>
          <w:highlight w:val="none"/>
          <w:lang w:val="en-US" w:eastAsia="zh-CN"/>
          <w14:textFill>
            <w14:solidFill>
              <w14:schemeClr w14:val="tx1"/>
            </w14:solidFill>
          </w14:textFill>
        </w:rPr>
        <w:t>100,000.00</w:t>
      </w:r>
      <w:r>
        <w:rPr>
          <w:rFonts w:hint="eastAsia" w:ascii="宋体" w:hAnsi="宋体" w:eastAsia="宋体" w:cs="宋体"/>
          <w:bCs/>
          <w:color w:val="000000" w:themeColor="text1"/>
          <w:szCs w:val="21"/>
          <w:highlight w:val="none"/>
          <w14:textFill>
            <w14:solidFill>
              <w14:schemeClr w14:val="tx1"/>
            </w14:solidFill>
          </w14:textFill>
        </w:rPr>
        <w:t>元违约金。</w:t>
      </w:r>
    </w:p>
    <w:p w14:paraId="39301FAA">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11</w:t>
      </w:r>
      <w:r>
        <w:rPr>
          <w:rFonts w:hint="eastAsia" w:ascii="宋体" w:hAnsi="宋体" w:eastAsia="宋体" w:cs="宋体"/>
          <w:bCs/>
          <w:color w:val="000000" w:themeColor="text1"/>
          <w:szCs w:val="21"/>
          <w:highlight w:val="none"/>
          <w14:textFill>
            <w14:solidFill>
              <w14:schemeClr w14:val="tx1"/>
            </w14:solidFill>
          </w14:textFill>
        </w:rPr>
        <w:t>、乙方违反本合同约定将合同项下乙方的权利义务全部转让给第三方，或未经甲方书面同意将部分权利义务</w:t>
      </w:r>
      <w:r>
        <w:rPr>
          <w:rFonts w:hint="eastAsia" w:ascii="宋体" w:hAnsi="宋体" w:eastAsia="宋体" w:cs="宋体"/>
          <w:bCs/>
          <w:color w:val="000000" w:themeColor="text1"/>
          <w:szCs w:val="21"/>
          <w:highlight w:val="none"/>
          <w:lang w:val="en-US" w:eastAsia="zh-CN"/>
          <w14:textFill>
            <w14:solidFill>
              <w14:schemeClr w14:val="tx1"/>
            </w14:solidFill>
          </w14:textFill>
        </w:rPr>
        <w:t>分包</w:t>
      </w:r>
      <w:r>
        <w:rPr>
          <w:rFonts w:hint="eastAsia" w:ascii="宋体" w:hAnsi="宋体" w:eastAsia="宋体" w:cs="宋体"/>
          <w:bCs/>
          <w:color w:val="000000" w:themeColor="text1"/>
          <w:szCs w:val="21"/>
          <w:highlight w:val="none"/>
          <w14:textFill>
            <w14:solidFill>
              <w14:schemeClr w14:val="tx1"/>
            </w14:solidFill>
          </w14:textFill>
        </w:rPr>
        <w:t>给第三方的，甲方有权单方解除合同，并要求乙方按30,000.00元的标准承担违约金，若</w:t>
      </w:r>
      <w:r>
        <w:rPr>
          <w:rFonts w:hint="eastAsia" w:ascii="宋体" w:hAnsi="宋体" w:eastAsia="宋体" w:cs="宋体"/>
          <w:bCs/>
          <w:color w:val="000000" w:themeColor="text1"/>
          <w:szCs w:val="21"/>
          <w:highlight w:val="none"/>
          <w:lang w:val="en-US" w:eastAsia="zh-CN"/>
          <w14:textFill>
            <w14:solidFill>
              <w14:schemeClr w14:val="tx1"/>
            </w14:solidFill>
          </w14:textFill>
        </w:rPr>
        <w:t>违约金不足以弥补</w:t>
      </w:r>
      <w:r>
        <w:rPr>
          <w:rFonts w:hint="eastAsia" w:ascii="宋体" w:hAnsi="宋体" w:eastAsia="宋体" w:cs="宋体"/>
          <w:bCs/>
          <w:color w:val="000000" w:themeColor="text1"/>
          <w:szCs w:val="21"/>
          <w:highlight w:val="none"/>
          <w14:textFill>
            <w14:solidFill>
              <w14:schemeClr w14:val="tx1"/>
            </w14:solidFill>
          </w14:textFill>
        </w:rPr>
        <w:t>由此给甲方造成损失的，乙方还应当</w:t>
      </w:r>
      <w:r>
        <w:rPr>
          <w:rFonts w:hint="eastAsia" w:ascii="宋体" w:hAnsi="宋体" w:eastAsia="宋体" w:cs="宋体"/>
          <w:bCs/>
          <w:color w:val="000000" w:themeColor="text1"/>
          <w:szCs w:val="21"/>
          <w:highlight w:val="none"/>
          <w:lang w:val="en-US" w:eastAsia="zh-CN"/>
          <w14:textFill>
            <w14:solidFill>
              <w14:schemeClr w14:val="tx1"/>
            </w14:solidFill>
          </w14:textFill>
        </w:rPr>
        <w:t>予以补足</w:t>
      </w:r>
      <w:r>
        <w:rPr>
          <w:rFonts w:hint="eastAsia" w:ascii="宋体" w:hAnsi="宋体" w:eastAsia="宋体" w:cs="宋体"/>
          <w:bCs/>
          <w:color w:val="000000" w:themeColor="text1"/>
          <w:szCs w:val="21"/>
          <w:highlight w:val="none"/>
          <w14:textFill>
            <w14:solidFill>
              <w14:schemeClr w14:val="tx1"/>
            </w14:solidFill>
          </w14:textFill>
        </w:rPr>
        <w:t>。如因乙方将乙方本合同项下全部/部分权利义务转让</w:t>
      </w:r>
      <w:r>
        <w:rPr>
          <w:rFonts w:hint="eastAsia" w:ascii="宋体" w:hAnsi="宋体" w:eastAsia="宋体" w:cs="宋体"/>
          <w:bCs/>
          <w:color w:val="000000" w:themeColor="text1"/>
          <w:szCs w:val="21"/>
          <w:highlight w:val="none"/>
          <w:lang w:val="en-US" w:eastAsia="zh-CN"/>
          <w14:textFill>
            <w14:solidFill>
              <w14:schemeClr w14:val="tx1"/>
            </w14:solidFill>
          </w14:textFill>
        </w:rPr>
        <w:t>/分包</w:t>
      </w:r>
      <w:r>
        <w:rPr>
          <w:rFonts w:hint="eastAsia" w:ascii="宋体" w:hAnsi="宋体" w:eastAsia="宋体" w:cs="宋体"/>
          <w:bCs/>
          <w:color w:val="000000" w:themeColor="text1"/>
          <w:szCs w:val="21"/>
          <w:highlight w:val="none"/>
          <w14:textFill>
            <w14:solidFill>
              <w14:schemeClr w14:val="tx1"/>
            </w14:solidFill>
          </w14:textFill>
        </w:rPr>
        <w:t>给第三方导致安全事故或人身损害事故的，造成甲方其他损失或甲方被认定承担赔偿责任</w:t>
      </w:r>
      <w:r>
        <w:rPr>
          <w:rFonts w:hint="eastAsia" w:ascii="宋体" w:hAnsi="宋体" w:eastAsia="宋体" w:cs="宋体"/>
          <w:bCs/>
          <w:color w:val="000000" w:themeColor="text1"/>
          <w:szCs w:val="21"/>
          <w:highlight w:val="none"/>
          <w:lang w:val="en-US" w:eastAsia="zh-CN"/>
          <w14:textFill>
            <w14:solidFill>
              <w14:schemeClr w14:val="tx1"/>
            </w14:solidFill>
          </w14:textFill>
        </w:rPr>
        <w:t>的</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甲方有权向乙方追偿</w:t>
      </w:r>
      <w:r>
        <w:rPr>
          <w:rFonts w:hint="eastAsia" w:ascii="宋体" w:hAnsi="宋体" w:eastAsia="宋体" w:cs="宋体"/>
          <w:bCs/>
          <w:color w:val="000000" w:themeColor="text1"/>
          <w:szCs w:val="21"/>
          <w:highlight w:val="none"/>
          <w14:textFill>
            <w14:solidFill>
              <w14:schemeClr w14:val="tx1"/>
            </w14:solidFill>
          </w14:textFill>
        </w:rPr>
        <w:t>。</w:t>
      </w:r>
    </w:p>
    <w:p w14:paraId="06281DC6">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服务期内，乙方应按投标时承诺的项目负责人投入本项目，在合同履约过程中不可无故更换项目负责人，如确实需要更换，乙方应提前1个月向甲方提出书面申请（申请应明确更换的理由，继任人员的资格、职称、经历经验及简历等资料），经甲方书面同意后方可更换</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否则乙方应向甲方支付50</w:t>
      </w:r>
      <w:r>
        <w:rPr>
          <w:rFonts w:hint="eastAsia" w:ascii="宋体" w:hAnsi="宋体" w:eastAsia="宋体" w:cs="宋体"/>
          <w:bCs/>
          <w:color w:val="000000" w:themeColor="text1"/>
          <w:szCs w:val="21"/>
          <w:highlight w:val="none"/>
          <w14:textFill>
            <w14:solidFill>
              <w14:schemeClr w14:val="tx1"/>
            </w14:solidFill>
          </w14:textFill>
        </w:rPr>
        <w:t>,000</w:t>
      </w:r>
      <w:r>
        <w:rPr>
          <w:rFonts w:hint="eastAsia" w:ascii="宋体" w:hAnsi="宋体" w:eastAsia="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元/次的违约金（上述违约金累计总额不超过200,000</w:t>
      </w:r>
      <w:r>
        <w:rPr>
          <w:rFonts w:hint="eastAsia" w:ascii="宋体" w:hAnsi="宋体" w:eastAsia="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元）</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累计存在上述情形【3】次（含本数），甲方除有权按上述标准要求乙方支付违约金外，甲方还有权单方解除本合同，并要求乙方按【50,000.00】元的标准承担违约金，违约金不足以弥补甲方损失的，乙方还应当予以补足</w:t>
      </w:r>
      <w:r>
        <w:rPr>
          <w:rFonts w:hint="eastAsia" w:ascii="宋体" w:hAnsi="宋体" w:eastAsia="宋体" w:cs="宋体"/>
          <w:bCs/>
          <w:color w:val="000000" w:themeColor="text1"/>
          <w:szCs w:val="21"/>
          <w:highlight w:val="none"/>
          <w:lang w:eastAsia="zh-CN"/>
          <w14:textFill>
            <w14:solidFill>
              <w14:schemeClr w14:val="tx1"/>
            </w14:solidFill>
          </w14:textFill>
        </w:rPr>
        <w:t>。如因更换项目负责人导致工作衔接不善，由此造成的一切损失由乙方承担</w:t>
      </w:r>
      <w:r>
        <w:rPr>
          <w:rFonts w:hint="eastAsia" w:ascii="宋体" w:hAnsi="宋体" w:eastAsia="宋体" w:cs="宋体"/>
          <w:bCs/>
          <w:color w:val="000000" w:themeColor="text1"/>
          <w:szCs w:val="21"/>
          <w:highlight w:val="none"/>
          <w14:textFill>
            <w14:solidFill>
              <w14:schemeClr w14:val="tx1"/>
            </w14:solidFill>
          </w14:textFill>
        </w:rPr>
        <w:t>。</w:t>
      </w:r>
    </w:p>
    <w:p w14:paraId="40DE87B8">
      <w:pPr>
        <w:pStyle w:val="16"/>
        <w:spacing w:line="360" w:lineRule="auto"/>
        <w:ind w:firstLine="420" w:firstLineChars="20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13</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甲方每季度第三个月对乙方每个项目点的履约情况进行逐一评价，填写《履约评价表》。</w:t>
      </w:r>
    </w:p>
    <w:p w14:paraId="35676A73">
      <w:pPr>
        <w:pStyle w:val="16"/>
        <w:spacing w:line="360" w:lineRule="auto"/>
        <w:ind w:firstLine="420" w:firstLineChars="20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针对单个项目点：对于评价结论为不合格的项目点，甲方将从该项目点的该季度第三个月的服务费中扣除违约金（如第三个月的服务费不足以扣除，将从履约担保中扣除）。合同期内同一项目点首次评价不合格扣除违约金1万元，合同期内同一项目点第二次不合格扣除违约金2万元，合同期内同一项目点第三次不合格扣除违约金4万元，合同期内同一项目点第四次不合格扣除违约金8万元。合同期内同一项目点出现第四次不合格情况之后，甲方有权单方解除合同，乙方还需向甲方支付100,000.00元的违约金。</w:t>
      </w:r>
    </w:p>
    <w:p w14:paraId="212A409A">
      <w:pPr>
        <w:pStyle w:val="16"/>
        <w:spacing w:line="360" w:lineRule="auto"/>
        <w:ind w:firstLine="420" w:firstLineChars="20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（2）针对全部项目点（新增全局累计条款）：在合同期内，所有项目点的履约评价不合格次数累计达到【 10 】次时，甲方有权单方解除合同，乙方还需向甲方支付100,000.00元的违约金。此解除权与上述第（1）项的解除权可同时行使，甲方可选择最有利于自身的一种方式执行。</w:t>
      </w:r>
    </w:p>
    <w:p w14:paraId="6724F87D">
      <w:pPr>
        <w:pStyle w:val="16"/>
        <w:spacing w:line="360" w:lineRule="auto"/>
        <w:ind w:firstLine="420" w:firstLineChars="20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说明：上述“首次”“第二次”“第三次”“第四次”系指在合同期内，针对同一项目点连续或非连续评价不合格的累计次数；全局累计次数自合同生效之日起开始计算，包含所有项目点发生的所有不合格评价次数。）</w:t>
      </w:r>
    </w:p>
    <w:p w14:paraId="13523834">
      <w:pPr>
        <w:pStyle w:val="16"/>
        <w:spacing w:line="360" w:lineRule="auto"/>
        <w:ind w:firstLine="420" w:firstLineChars="20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该笔违约金的支付，不影响甲方根据本合同约定要求乙方赔偿其他损失的权利。</w:t>
      </w:r>
    </w:p>
    <w:p w14:paraId="553D39FF">
      <w:pPr>
        <w:snapToGrid w:val="0"/>
        <w:spacing w:line="360" w:lineRule="auto"/>
        <w:ind w:firstLine="424" w:firstLineChars="202"/>
        <w:outlineLvl w:val="9"/>
        <w:rPr>
          <w:rFonts w:hint="eastAsia" w:ascii="宋体" w:hAnsi="宋体" w:eastAsia="宋体" w:cs="宋体"/>
          <w:bCs/>
          <w:color w:val="000000" w:themeColor="text1"/>
          <w:szCs w:val="21"/>
          <w:highlight w:val="none"/>
          <w14:textFill>
            <w14:solidFill>
              <w14:schemeClr w14:val="tx1"/>
            </w14:solidFill>
          </w14:textFill>
        </w:rPr>
      </w:pPr>
      <w:r>
        <w:rPr>
          <w:rFonts w:hint="default" w:ascii="宋体" w:hAnsi="宋体" w:eastAsia="宋体" w:cs="宋体"/>
          <w:bCs/>
          <w:color w:val="000000" w:themeColor="text1"/>
          <w:szCs w:val="21"/>
          <w:highlight w:val="none"/>
          <w:lang w:val="en-US"/>
          <w14:textFill>
            <w14:solidFill>
              <w14:schemeClr w14:val="tx1"/>
            </w14:solidFill>
          </w14:textFill>
        </w:rPr>
        <w:t>1</w:t>
      </w:r>
      <w:r>
        <w:rPr>
          <w:rFonts w:hint="default"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w:t>
      </w:r>
      <w:bookmarkStart w:id="470" w:name="OLE_LINK1"/>
      <w:r>
        <w:rPr>
          <w:rFonts w:hint="eastAsia" w:ascii="宋体" w:hAnsi="宋体" w:eastAsia="宋体" w:cs="宋体"/>
          <w:bCs/>
          <w:color w:val="000000" w:themeColor="text1"/>
          <w:szCs w:val="21"/>
          <w:highlight w:val="none"/>
          <w14:textFill>
            <w14:solidFill>
              <w14:schemeClr w14:val="tx1"/>
            </w14:solidFill>
          </w14:textFill>
        </w:rPr>
        <w:t>乙方违反本合同约定，合同对违约责任有特别约定的，适用该特别约定；无特别约定的，甲方有权扣除乙方当月应收取配合服务费的5%作为每次的违约金。违约金不足以弥补甲方因此所受损失的，乙方应予以补足。</w:t>
      </w:r>
      <w:bookmarkEnd w:id="470"/>
    </w:p>
    <w:p w14:paraId="7F9DEFAA">
      <w:pPr>
        <w:snapToGrid w:val="0"/>
        <w:spacing w:line="360" w:lineRule="auto"/>
        <w:ind w:firstLine="424" w:firstLineChars="202"/>
        <w:outlineLvl w:val="9"/>
        <w:rPr>
          <w:rFonts w:hint="eastAsia" w:ascii="宋体" w:hAnsi="宋体" w:eastAsia="宋体" w:cs="宋体"/>
          <w:bCs/>
          <w:color w:val="000000" w:themeColor="text1"/>
          <w:szCs w:val="21"/>
          <w:highlight w:val="none"/>
          <w14:textFill>
            <w14:solidFill>
              <w14:schemeClr w14:val="tx1"/>
            </w14:solidFill>
          </w14:textFill>
        </w:rPr>
      </w:pPr>
      <w:r>
        <w:rPr>
          <w:rFonts w:hint="default" w:ascii="宋体" w:hAnsi="宋体" w:eastAsia="宋体" w:cs="宋体"/>
          <w:bCs/>
          <w:color w:val="000000" w:themeColor="text1"/>
          <w:szCs w:val="21"/>
          <w:highlight w:val="none"/>
          <w:lang w:val="en-US"/>
          <w14:textFill>
            <w14:solidFill>
              <w14:schemeClr w14:val="tx1"/>
            </w14:solidFill>
          </w14:textFill>
        </w:rPr>
        <w:t>1</w:t>
      </w:r>
      <w:r>
        <w:rPr>
          <w:rFonts w:hint="default"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、若乙方发生本合同规定之外的任何违法行为，乙方不得单方解除其在本合同下的任何责任或义务。</w:t>
      </w:r>
    </w:p>
    <w:p w14:paraId="47DBC8A0">
      <w:pPr>
        <w:snapToGrid w:val="0"/>
        <w:spacing w:line="360" w:lineRule="auto"/>
        <w:ind w:firstLine="424" w:firstLineChars="202"/>
        <w:outlineLvl w:val="9"/>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16、乙方违法本合同保密义务的，应按100,000.00元向甲方支付违约金，违约金不足以弥补甲方损失的，乙方还应当予以补足并且应承担相应法律责任</w:t>
      </w:r>
    </w:p>
    <w:p w14:paraId="4E515555">
      <w:pPr>
        <w:snapToGrid w:val="0"/>
        <w:spacing w:line="360" w:lineRule="auto"/>
        <w:ind w:firstLine="424" w:firstLineChars="202"/>
        <w:outlineLvl w:val="9"/>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17、乙方违反本合同约定，合同对违约责任有特别约定的，适用该特别约定；无特别约定的，甲方有权要求乙方支付100,000元作为违约金。违约金不足以弥补甲方因此所受损失的，乙方应予以补足。</w:t>
      </w:r>
    </w:p>
    <w:p w14:paraId="603673A3">
      <w:pPr>
        <w:spacing w:line="360" w:lineRule="auto"/>
        <w:ind w:firstLine="411" w:firstLineChars="195"/>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廉政保证</w:t>
      </w:r>
    </w:p>
    <w:p w14:paraId="0D54186B">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乙方以及其配合服务设备操作人员在本合同履行期间，应遵守甲方的各项政策和制度。甲方应当控制乙方代表和配合服务设备操作人员在甲方办公区域进出，甲方对于现场的人员进出及员工管理方面的要求也应始终被遵守。 </w:t>
      </w:r>
    </w:p>
    <w:p w14:paraId="0112A11A">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同意在本协议履行期间，遵守各项法律，特别是任何及所有反贿赂反腐败方面的法律。未经甲方事先授权，乙方以及其配合服务设备操作人员均不得向与本项目相关的任何个人、政府或单位支付任何款项，也不得提供任何形式的便利、利益。</w:t>
      </w:r>
    </w:p>
    <w:p w14:paraId="3722F793">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7AD0B669">
      <w:pPr>
        <w:spacing w:line="360" w:lineRule="auto"/>
        <w:ind w:firstLine="411" w:firstLineChars="195"/>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其他约定</w:t>
      </w:r>
    </w:p>
    <w:p w14:paraId="4531065A">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在合同期内，非因甲方原因，乙方未能按要求做好项目点污泥脱水减量配合服务工作，造成甲方、乙方、第三方的人身和财产损失，由乙方独自承担法律和经济责任。</w:t>
      </w:r>
    </w:p>
    <w:p w14:paraId="77086447">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、乙方应保证合同项下提供的服务不侵犯任何第三方的专利、商标、版权以及其它权利，否则，乙方须承担因此产生的全部责任及费用，如因此造成甲方损失的，乙方应予以足</w:t>
      </w:r>
      <w:r>
        <w:rPr>
          <w:rFonts w:hint="eastAsia" w:ascii="宋体" w:hAnsi="宋体" w:eastAsia="宋体" w:cs="宋体"/>
          <w:color w:val="000000" w:themeColor="text1"/>
          <w:szCs w:val="21"/>
          <w:highlight w:val="none"/>
          <w:lang w:eastAsia="zh-CN"/>
          <w14:textFill>
            <w14:solidFill>
              <w14:schemeClr w14:val="tx1"/>
            </w14:solidFill>
          </w14:textFill>
        </w:rPr>
        <w:t>额</w:t>
      </w:r>
      <w:r>
        <w:rPr>
          <w:rFonts w:hint="eastAsia" w:ascii="宋体" w:hAnsi="宋体" w:eastAsia="宋体" w:cs="宋体"/>
          <w:color w:val="000000" w:themeColor="text1"/>
          <w:szCs w:val="21"/>
          <w:highlight w:val="none"/>
          <w14:textFill>
            <w14:solidFill>
              <w14:schemeClr w14:val="tx1"/>
            </w14:solidFill>
          </w14:textFill>
        </w:rPr>
        <w:t>赔偿。如果任何第三方提出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3763F5CB">
      <w:pPr>
        <w:snapToGrid w:val="0"/>
        <w:spacing w:line="360" w:lineRule="auto"/>
        <w:ind w:firstLine="424" w:firstLineChars="202"/>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本合同所述之损失、经济赔偿是指甲方因乙方原因而造成的经济损失、因此而向第三方支付的赔偿金、违约金、向有关部门缴纳的罚款、因此而支付的诉讼费、律师费、公证费、鉴定费、保全费等全部费用，前述损失、经济赔偿均由乙方承担。</w:t>
      </w:r>
    </w:p>
    <w:p w14:paraId="185581CD">
      <w:pPr>
        <w:snapToGrid w:val="0"/>
        <w:spacing w:line="360" w:lineRule="auto"/>
        <w:ind w:firstLine="424" w:firstLineChars="202"/>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04F883">
      <w:pPr>
        <w:snapToGrid w:val="0"/>
        <w:spacing w:line="360" w:lineRule="auto"/>
        <w:ind w:firstLine="424" w:firstLineChars="202"/>
        <w:outlineLvl w:val="9"/>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甲方按本合同约定单方解除合同的，乙方应在收到甲方单方解除合同书面通知之日起30日内与甲方共同确认已完成的</w:t>
      </w:r>
      <w:r>
        <w:rPr>
          <w:rFonts w:hint="eastAsia" w:ascii="宋体" w:hAnsi="宋体" w:eastAsia="宋体" w:cs="宋体"/>
          <w:bCs/>
          <w:color w:val="000000" w:themeColor="text1"/>
          <w:szCs w:val="21"/>
          <w:highlight w:val="none"/>
          <w:lang w:val="en-US" w:eastAsia="zh-CN"/>
          <w14:textFill>
            <w14:solidFill>
              <w14:schemeClr w14:val="tx1"/>
            </w14:solidFill>
          </w14:textFill>
        </w:rPr>
        <w:t>服务量</w:t>
      </w:r>
      <w:r>
        <w:rPr>
          <w:rFonts w:hint="eastAsia" w:ascii="宋体" w:hAnsi="宋体" w:eastAsia="宋体" w:cs="宋体"/>
          <w:bCs/>
          <w:color w:val="000000" w:themeColor="text1"/>
          <w:szCs w:val="21"/>
          <w:highlight w:val="none"/>
          <w14:textFill>
            <w14:solidFill>
              <w14:schemeClr w14:val="tx1"/>
            </w14:solidFill>
          </w14:textFill>
        </w:rPr>
        <w:t>及金额，未经甲乙双方共同确认的</w:t>
      </w:r>
      <w:r>
        <w:rPr>
          <w:rFonts w:hint="eastAsia" w:ascii="宋体" w:hAnsi="宋体" w:eastAsia="宋体" w:cs="宋体"/>
          <w:bCs/>
          <w:color w:val="000000" w:themeColor="text1"/>
          <w:szCs w:val="21"/>
          <w:highlight w:val="none"/>
          <w:lang w:val="en-US" w:eastAsia="zh-CN"/>
          <w14:textFill>
            <w14:solidFill>
              <w14:schemeClr w14:val="tx1"/>
            </w14:solidFill>
          </w14:textFill>
        </w:rPr>
        <w:t>服务</w:t>
      </w:r>
      <w:r>
        <w:rPr>
          <w:rFonts w:hint="eastAsia" w:ascii="宋体" w:hAnsi="宋体" w:eastAsia="宋体" w:cs="宋体"/>
          <w:bCs/>
          <w:color w:val="000000" w:themeColor="text1"/>
          <w:szCs w:val="21"/>
          <w:highlight w:val="none"/>
          <w14:textFill>
            <w14:solidFill>
              <w14:schemeClr w14:val="tx1"/>
            </w14:solidFill>
          </w14:textFill>
        </w:rPr>
        <w:t>量不得再要求结算。</w:t>
      </w:r>
    </w:p>
    <w:p w14:paraId="65D36B29">
      <w:pPr>
        <w:spacing w:line="360" w:lineRule="auto"/>
        <w:ind w:firstLine="411" w:firstLineChars="195"/>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保密约定</w:t>
      </w:r>
    </w:p>
    <w:p w14:paraId="0EF5A6E9">
      <w:pPr>
        <w:spacing w:line="360" w:lineRule="auto"/>
        <w:ind w:firstLine="411" w:firstLineChars="196"/>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对在工作过程中接触到的甲方的任何资料、文件、数据（包括但不限于书面形式或电子形式），以及对为甲方服务形成的任何交付物，负有为甲方保密的责任。未经甲方书面同意，乙方不得以任何方式向任何第三方提供或透露。</w:t>
      </w:r>
    </w:p>
    <w:p w14:paraId="2ABF3988">
      <w:pPr>
        <w:spacing w:line="360" w:lineRule="auto"/>
        <w:ind w:firstLine="411" w:firstLineChars="196"/>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2、甲方向乙方提供的任何资料、文件和信息，在乙方服务结束后，乙方均应及时归还甲方，电子文档的应从自己的电脑等存储设备上永久删除。</w:t>
      </w:r>
    </w:p>
    <w:p w14:paraId="03281AFC">
      <w:pPr>
        <w:spacing w:line="360" w:lineRule="auto"/>
        <w:ind w:firstLine="411" w:firstLineChars="196"/>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3、本保密规定不因本合同的解除或终止而失效，直至保密信息被依法公开为止。</w:t>
      </w:r>
    </w:p>
    <w:p w14:paraId="6F093563">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第十三条 不可抗力</w:t>
      </w:r>
    </w:p>
    <w:p w14:paraId="77938C82">
      <w:pPr>
        <w:spacing w:line="360" w:lineRule="auto"/>
        <w:ind w:firstLine="411" w:firstLineChars="196"/>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5C61BFD">
      <w:pPr>
        <w:spacing w:line="360" w:lineRule="auto"/>
        <w:ind w:firstLine="413" w:firstLineChars="196"/>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第十四条 争议解决</w:t>
      </w:r>
    </w:p>
    <w:p w14:paraId="5801EED9">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双方在履约中发生争执和分歧，双方应通过友好协商解决，如不能通过友好协商解决的，任何一方均可向甲方住所地有管辖权的人民法院提起诉讼解决。 </w:t>
      </w:r>
    </w:p>
    <w:p w14:paraId="56B303E0">
      <w:pPr>
        <w:spacing w:line="360" w:lineRule="auto"/>
        <w:ind w:firstLine="517" w:firstLineChars="245"/>
        <w:outlineLvl w:val="9"/>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第十五条 其他</w:t>
      </w:r>
    </w:p>
    <w:p w14:paraId="4F8BF0C3">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53D2F6BB">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2、本合同未尽事宜，双方可另行协商签署补充协议，补充协议为本合同之有效组成部分，与本合同同具法律效力。</w:t>
      </w:r>
    </w:p>
    <w:p w14:paraId="6E30CC2D">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3、本合同执行期间，如遇不可抗力，致使合同无法履行时，双方应按有关法律规定</w:t>
      </w:r>
      <w:r>
        <w:rPr>
          <w:rFonts w:hint="eastAsia" w:ascii="宋体" w:hAnsi="宋体" w:eastAsia="宋体" w:cs="宋体"/>
          <w:color w:val="000000" w:themeColor="text1"/>
          <w:szCs w:val="21"/>
          <w:highlight w:val="none"/>
          <w:lang w:val="en-US" w:eastAsia="zh-CN"/>
          <w14:textFill>
            <w14:solidFill>
              <w14:schemeClr w14:val="tx1"/>
            </w14:solidFill>
          </w14:textFill>
        </w:rPr>
        <w:t>及本合同约定</w:t>
      </w:r>
      <w:r>
        <w:rPr>
          <w:rFonts w:hint="eastAsia" w:ascii="宋体" w:hAnsi="宋体" w:eastAsia="宋体" w:cs="宋体"/>
          <w:color w:val="000000" w:themeColor="text1"/>
          <w:szCs w:val="21"/>
          <w:highlight w:val="none"/>
          <w14:textFill>
            <w14:solidFill>
              <w14:schemeClr w14:val="tx1"/>
            </w14:solidFill>
          </w14:textFill>
        </w:rPr>
        <w:t>及时协商处理。</w:t>
      </w:r>
    </w:p>
    <w:p w14:paraId="04E0356F">
      <w:pPr>
        <w:widowControl/>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4、本合同一式【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伍</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】份，招标代理机构执</w:t>
      </w:r>
      <w:r>
        <w:rPr>
          <w:rFonts w:hint="eastAsia" w:ascii="宋体" w:hAnsi="宋体" w:eastAsia="宋体" w:cs="宋体"/>
          <w:color w:val="000000" w:themeColor="text1"/>
          <w:szCs w:val="21"/>
          <w:highlight w:val="none"/>
          <w:u w:val="single"/>
          <w14:textFill>
            <w14:solidFill>
              <w14:schemeClr w14:val="tx1"/>
            </w14:solidFill>
          </w14:textFill>
        </w:rPr>
        <w:t>壹</w:t>
      </w:r>
      <w:r>
        <w:rPr>
          <w:rFonts w:hint="eastAsia" w:ascii="宋体" w:hAnsi="宋体" w:eastAsia="宋体" w:cs="宋体"/>
          <w:color w:val="000000" w:themeColor="text1"/>
          <w:szCs w:val="21"/>
          <w:highlight w:val="none"/>
          <w14:textFill>
            <w14:solidFill>
              <w14:schemeClr w14:val="tx1"/>
            </w14:solidFill>
          </w14:textFill>
        </w:rPr>
        <w:t>份，</w:t>
      </w:r>
      <w:r>
        <w:rPr>
          <w:rFonts w:hint="eastAsia" w:ascii="宋体" w:hAnsi="宋体" w:eastAsia="宋体" w:cs="宋体"/>
          <w:color w:val="000000" w:themeColor="text1"/>
          <w:szCs w:val="21"/>
          <w:highlight w:val="none"/>
          <w:lang w:val="en-US" w:eastAsia="zh-CN"/>
          <w14:textFill>
            <w14:solidFill>
              <w14:schemeClr w14:val="tx1"/>
            </w14:solidFill>
          </w14:textFill>
        </w:rPr>
        <w:t>均</w:t>
      </w:r>
      <w:r>
        <w:rPr>
          <w:rFonts w:hint="eastAsia" w:ascii="宋体" w:hAnsi="宋体" w:eastAsia="宋体" w:cs="宋体"/>
          <w:color w:val="000000" w:themeColor="text1"/>
          <w:szCs w:val="21"/>
          <w:highlight w:val="none"/>
          <w14:textFill>
            <w14:solidFill>
              <w14:schemeClr w14:val="tx1"/>
            </w14:solidFill>
          </w14:textFill>
        </w:rPr>
        <w:t>具有同等法律效力，本合同自双方</w:t>
      </w:r>
      <w:r>
        <w:rPr>
          <w:rFonts w:hint="eastAsia" w:ascii="宋体" w:hAnsi="宋体" w:eastAsia="宋体" w:cs="宋体"/>
          <w:color w:val="000000" w:themeColor="text1"/>
          <w:szCs w:val="21"/>
          <w:highlight w:val="none"/>
          <w:lang w:val="en-US" w:eastAsia="zh-CN"/>
          <w14:textFill>
            <w14:solidFill>
              <w14:schemeClr w14:val="tx1"/>
            </w14:solidFill>
          </w14:textFill>
        </w:rPr>
        <w:t>盖章、并经</w:t>
      </w:r>
      <w:r>
        <w:rPr>
          <w:rFonts w:hint="eastAsia" w:ascii="宋体" w:hAnsi="宋体" w:eastAsia="宋体" w:cs="宋体"/>
          <w:color w:val="000000" w:themeColor="text1"/>
          <w:szCs w:val="21"/>
          <w:highlight w:val="none"/>
          <w14:textFill>
            <w14:solidFill>
              <w14:schemeClr w14:val="tx1"/>
            </w14:solidFill>
          </w14:textFill>
        </w:rPr>
        <w:t xml:space="preserve">法定代表人签字之日起生效至合同项下全部义务履行完毕时终止。 </w:t>
      </w:r>
    </w:p>
    <w:p w14:paraId="5A13B46C">
      <w:pPr>
        <w:widowControl/>
        <w:spacing w:line="360" w:lineRule="auto"/>
        <w:ind w:firstLine="840" w:firstLineChars="400"/>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用户需求书</w:t>
      </w:r>
    </w:p>
    <w:p w14:paraId="747566F4">
      <w:pPr>
        <w:widowControl/>
        <w:spacing w:line="360" w:lineRule="auto"/>
        <w:ind w:firstLine="840" w:firstLineChars="4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附件2：</w:t>
      </w:r>
      <w:r>
        <w:rPr>
          <w:rFonts w:hint="eastAsia" w:ascii="宋体" w:hAnsi="宋体" w:eastAsia="宋体" w:cs="宋体"/>
          <w:color w:val="000000" w:themeColor="text1"/>
          <w:szCs w:val="21"/>
          <w:highlight w:val="none"/>
          <w14:textFill>
            <w14:solidFill>
              <w14:schemeClr w14:val="tx1"/>
            </w14:solidFill>
          </w14:textFill>
        </w:rPr>
        <w:t>廉洁协议书</w:t>
      </w:r>
    </w:p>
    <w:p w14:paraId="296763C2">
      <w:pPr>
        <w:widowControl/>
        <w:spacing w:line="360" w:lineRule="auto"/>
        <w:ind w:firstLine="840" w:firstLineChars="4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：安全生产管理协议</w:t>
      </w:r>
    </w:p>
    <w:p w14:paraId="09BF52BE">
      <w:pPr>
        <w:widowControl/>
        <w:snapToGrid w:val="0"/>
        <w:spacing w:line="360" w:lineRule="auto"/>
        <w:outlineLvl w:val="9"/>
        <w:rPr>
          <w:rFonts w:hint="eastAsia" w:ascii="宋体" w:hAnsi="宋体" w:eastAsia="宋体" w:cs="宋体"/>
          <w:b/>
          <w:bCs/>
          <w:color w:val="000000" w:themeColor="text1"/>
          <w:szCs w:val="21"/>
          <w:highlight w:val="none"/>
          <w14:textFill>
            <w14:solidFill>
              <w14:schemeClr w14:val="tx1"/>
            </w14:solidFill>
          </w14:textFill>
        </w:rPr>
      </w:pPr>
      <w:bookmarkStart w:id="471" w:name="_Toc62826973"/>
    </w:p>
    <w:p w14:paraId="7B3FC501">
      <w:pPr>
        <w:widowControl/>
        <w:snapToGrid w:val="0"/>
        <w:spacing w:line="360" w:lineRule="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（以下无正文内容为签字盖章页）</w:t>
      </w:r>
    </w:p>
    <w:p w14:paraId="011E37E2">
      <w:pPr>
        <w:widowControl/>
        <w:snapToGrid/>
        <w:spacing w:line="240" w:lineRule="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6ABFF219">
      <w:pPr>
        <w:widowControl w:val="0"/>
        <w:jc w:val="center"/>
        <w:rPr>
          <w:rFonts w:hint="eastAsia" w:ascii="Times New Roman" w:hAnsiTheme="minorHAnsi" w:eastAsiaTheme="minorEastAsia" w:cstheme="minorBidi"/>
          <w:b/>
          <w:color w:val="000000" w:themeColor="text1"/>
          <w:kern w:val="2"/>
          <w:sz w:val="21"/>
          <w:szCs w:val="22"/>
          <w:highlight w:val="none"/>
          <w:lang w:val="en-US" w:eastAsia="zh-CN" w:bidi="ar-SA"/>
          <w14:textFill>
            <w14:solidFill>
              <w14:schemeClr w14:val="tx1"/>
            </w14:solidFill>
          </w14:textFill>
        </w:rPr>
      </w:pPr>
    </w:p>
    <w:tbl>
      <w:tblPr>
        <w:tblStyle w:val="38"/>
        <w:tblW w:w="0" w:type="auto"/>
        <w:jc w:val="center"/>
        <w:tblLayout w:type="fixed"/>
        <w:tblCellMar>
          <w:top w:w="0" w:type="dxa"/>
          <w:left w:w="108" w:type="dxa"/>
          <w:bottom w:w="0" w:type="dxa"/>
          <w:right w:w="108" w:type="dxa"/>
        </w:tblCellMar>
      </w:tblPr>
      <w:tblGrid>
        <w:gridCol w:w="4435"/>
        <w:gridCol w:w="272"/>
        <w:gridCol w:w="4253"/>
      </w:tblGrid>
      <w:tr w14:paraId="219CCC07">
        <w:tblPrEx>
          <w:tblCellMar>
            <w:top w:w="0" w:type="dxa"/>
            <w:left w:w="108" w:type="dxa"/>
            <w:bottom w:w="0" w:type="dxa"/>
            <w:right w:w="108" w:type="dxa"/>
          </w:tblCellMar>
        </w:tblPrEx>
        <w:trPr>
          <w:jc w:val="center"/>
        </w:trPr>
        <w:tc>
          <w:tcPr>
            <w:tcW w:w="4435" w:type="dxa"/>
          </w:tcPr>
          <w:p w14:paraId="2268635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甲方（盖章）：东莞市众源环境投资有限公司</w:t>
            </w:r>
          </w:p>
          <w:p w14:paraId="7CF31DC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272" w:type="dxa"/>
          </w:tcPr>
          <w:p w14:paraId="1025A2F7">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30FBE6E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乙方（盖章）： </w:t>
            </w:r>
          </w:p>
          <w:p w14:paraId="7D796F5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r>
      <w:tr w14:paraId="070BD212">
        <w:tblPrEx>
          <w:tblCellMar>
            <w:top w:w="0" w:type="dxa"/>
            <w:left w:w="108" w:type="dxa"/>
            <w:bottom w:w="0" w:type="dxa"/>
            <w:right w:w="108" w:type="dxa"/>
          </w:tblCellMar>
        </w:tblPrEx>
        <w:trPr>
          <w:jc w:val="center"/>
        </w:trPr>
        <w:tc>
          <w:tcPr>
            <w:tcW w:w="4435" w:type="dxa"/>
          </w:tcPr>
          <w:p w14:paraId="51943D2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272" w:type="dxa"/>
          </w:tcPr>
          <w:p w14:paraId="65985AD3">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0769D60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r>
      <w:tr w14:paraId="64994E9C">
        <w:tblPrEx>
          <w:tblCellMar>
            <w:top w:w="0" w:type="dxa"/>
            <w:left w:w="108" w:type="dxa"/>
            <w:bottom w:w="0" w:type="dxa"/>
            <w:right w:w="108" w:type="dxa"/>
          </w:tblCellMar>
        </w:tblPrEx>
        <w:trPr>
          <w:trHeight w:val="1074" w:hRule="atLeast"/>
          <w:jc w:val="center"/>
        </w:trPr>
        <w:tc>
          <w:tcPr>
            <w:tcW w:w="4435" w:type="dxa"/>
          </w:tcPr>
          <w:p w14:paraId="1FE7900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地址：广东省东莞市东城街道火炼树红棉路40号302室</w:t>
            </w:r>
          </w:p>
          <w:p w14:paraId="1ABB5EB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开户名称：东莞市众源环境投资有限公司</w:t>
            </w:r>
          </w:p>
        </w:tc>
        <w:tc>
          <w:tcPr>
            <w:tcW w:w="272" w:type="dxa"/>
          </w:tcPr>
          <w:p w14:paraId="00F654E7">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7D50D868">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589E0EC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tc>
      </w:tr>
      <w:tr w14:paraId="7EE23AED">
        <w:tblPrEx>
          <w:tblCellMar>
            <w:top w:w="0" w:type="dxa"/>
            <w:left w:w="108" w:type="dxa"/>
            <w:bottom w:w="0" w:type="dxa"/>
            <w:right w:w="108" w:type="dxa"/>
          </w:tblCellMar>
        </w:tblPrEx>
        <w:trPr>
          <w:jc w:val="center"/>
        </w:trPr>
        <w:tc>
          <w:tcPr>
            <w:tcW w:w="4435" w:type="dxa"/>
          </w:tcPr>
          <w:p w14:paraId="10C9AB7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bCs/>
                <w:color w:val="000000" w:themeColor="text1"/>
                <w:szCs w:val="21"/>
                <w:highlight w:val="none"/>
                <w:lang w:val="zh-CN"/>
                <w14:textFill>
                  <w14:solidFill>
                    <w14:schemeClr w14:val="tx1"/>
                  </w14:solidFill>
                </w14:textFill>
              </w:rPr>
              <w:t xml:space="preserve">中国工商银行东莞市分行 </w:t>
            </w:r>
          </w:p>
        </w:tc>
        <w:tc>
          <w:tcPr>
            <w:tcW w:w="272" w:type="dxa"/>
          </w:tcPr>
          <w:p w14:paraId="76AF1F82">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217C4B2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r>
      <w:tr w14:paraId="5E8F0C50">
        <w:tblPrEx>
          <w:tblCellMar>
            <w:top w:w="0" w:type="dxa"/>
            <w:left w:w="108" w:type="dxa"/>
            <w:bottom w:w="0" w:type="dxa"/>
            <w:right w:w="108" w:type="dxa"/>
          </w:tblCellMar>
        </w:tblPrEx>
        <w:trPr>
          <w:jc w:val="center"/>
        </w:trPr>
        <w:tc>
          <w:tcPr>
            <w:tcW w:w="4435" w:type="dxa"/>
          </w:tcPr>
          <w:p w14:paraId="4286E6E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bCs/>
                <w:color w:val="000000" w:themeColor="text1"/>
                <w:szCs w:val="21"/>
                <w:highlight w:val="none"/>
                <w:lang w:val="zh-CN"/>
                <w14:textFill>
                  <w14:solidFill>
                    <w14:schemeClr w14:val="tx1"/>
                  </w14:solidFill>
                </w14:textFill>
              </w:rPr>
              <w:t>2010021309200098448</w:t>
            </w:r>
          </w:p>
        </w:tc>
        <w:tc>
          <w:tcPr>
            <w:tcW w:w="272" w:type="dxa"/>
          </w:tcPr>
          <w:p w14:paraId="0F90F1EA">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2C52BE8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r>
      <w:tr w14:paraId="1297C8D0">
        <w:tblPrEx>
          <w:tblCellMar>
            <w:top w:w="0" w:type="dxa"/>
            <w:left w:w="108" w:type="dxa"/>
            <w:bottom w:w="0" w:type="dxa"/>
            <w:right w:w="108" w:type="dxa"/>
          </w:tblCellMar>
        </w:tblPrEx>
        <w:trPr>
          <w:jc w:val="center"/>
        </w:trPr>
        <w:tc>
          <w:tcPr>
            <w:tcW w:w="4435" w:type="dxa"/>
          </w:tcPr>
          <w:p w14:paraId="41DD1FC1">
            <w:pPr>
              <w:widowControl/>
              <w:snapToGrid w:val="0"/>
              <w:spacing w:line="240" w:lineRule="auto"/>
              <w:jc w:val="left"/>
              <w:rPr>
                <w:rFonts w:hint="eastAsia" w:ascii="宋体" w:hAnsi="宋体" w:eastAsia="宋体" w:cs="宋体"/>
                <w:color w:val="000000" w:themeColor="text1"/>
                <w:szCs w:val="21"/>
                <w:highlight w:val="none"/>
                <w14:textFill>
                  <w14:solidFill>
                    <w14:schemeClr w14:val="tx1"/>
                  </w14:solidFill>
                </w14:textFill>
              </w:rPr>
            </w:pPr>
          </w:p>
          <w:p w14:paraId="53503FD0">
            <w:pPr>
              <w:widowControl/>
              <w:snapToGrid w:val="0"/>
              <w:spacing w:line="24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     年  月  日</w:t>
            </w:r>
          </w:p>
        </w:tc>
        <w:tc>
          <w:tcPr>
            <w:tcW w:w="272" w:type="dxa"/>
          </w:tcPr>
          <w:p w14:paraId="2D390999">
            <w:pPr>
              <w:spacing w:line="360" w:lineRule="auto"/>
              <w:rPr>
                <w:rFonts w:ascii="宋体" w:hAnsi="宋体" w:eastAsia="宋体" w:cs="宋体"/>
                <w:color w:val="000000" w:themeColor="text1"/>
                <w:szCs w:val="21"/>
                <w:highlight w:val="none"/>
                <w14:textFill>
                  <w14:solidFill>
                    <w14:schemeClr w14:val="tx1"/>
                  </w14:solidFill>
                </w14:textFill>
              </w:rPr>
            </w:pPr>
          </w:p>
        </w:tc>
        <w:tc>
          <w:tcPr>
            <w:tcW w:w="4253" w:type="dxa"/>
          </w:tcPr>
          <w:p w14:paraId="58A15041">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51A0D655">
      <w:pPr>
        <w:widowControl/>
        <w:snapToGrid w:val="0"/>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p>
    <w:p w14:paraId="177E6CA0">
      <w:pPr>
        <w:pageBreakBefore/>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附件1：廉洁协议书</w:t>
      </w:r>
      <w:bookmarkEnd w:id="471"/>
    </w:p>
    <w:p w14:paraId="49D19DDB">
      <w:pPr>
        <w:spacing w:line="360" w:lineRule="auto"/>
        <w:ind w:firstLine="646" w:firstLineChars="201"/>
        <w:jc w:val="center"/>
        <w:outlineLvl w:val="9"/>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廉洁协议书</w:t>
      </w:r>
    </w:p>
    <w:p w14:paraId="10F68AAB">
      <w:pPr>
        <w:spacing w:line="360" w:lineRule="auto"/>
        <w:ind w:firstLine="424" w:firstLineChars="201"/>
        <w:outlineLvl w:val="9"/>
        <w:rPr>
          <w:rFonts w:ascii="宋体" w:hAnsi="宋体" w:eastAsia="宋体" w:cs="宋体"/>
          <w:b/>
          <w:bCs/>
          <w:color w:val="000000" w:themeColor="text1"/>
          <w:szCs w:val="21"/>
          <w:highlight w:val="none"/>
          <w14:textFill>
            <w14:solidFill>
              <w14:schemeClr w14:val="tx1"/>
            </w14:solidFill>
          </w14:textFill>
        </w:rPr>
      </w:pPr>
    </w:p>
    <w:p w14:paraId="32275DD3">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项目名称：东莞市众源环境投资有限公司2026年污泥脱水减量配合服务采购项目（招标编号：</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3F0B9C5">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甲方（业主单位）：</w:t>
      </w:r>
    </w:p>
    <w:p w14:paraId="37EDD058">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079C44B6">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99A996F">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第一条  甲乙双方的权利和义务</w:t>
      </w:r>
    </w:p>
    <w:p w14:paraId="3452425A">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14:paraId="7CDEB369">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14:paraId="1F509ABE">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（三）双方的业务活动坚持公开、公正、诚信、透明的原则（除法律认定的商业秘密和合同文件另有规定之外）不得损害国家和集体利益，违反电力交易管理及其他法律法规规章制度。</w:t>
      </w:r>
    </w:p>
    <w:p w14:paraId="75094FD0">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14:paraId="02FBA19C">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14:paraId="4E095DBE">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40478F10">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第二条  甲方的义务</w:t>
      </w:r>
    </w:p>
    <w:p w14:paraId="65C07A7B">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014B9D8A">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1A692151">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54185CC6">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7B7AB146">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14:paraId="3B39819E">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14:paraId="1E4C1A82">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4D0A7BFE">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第三条  乙方义务</w:t>
      </w:r>
    </w:p>
    <w:p w14:paraId="440515C4">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7E57F66B">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2395C055">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14:paraId="6E3A5183">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14:paraId="0FE5C3F4">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25E33A0B">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14:paraId="0CC85175">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0A26427">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第四条  违约责任</w:t>
      </w:r>
    </w:p>
    <w:p w14:paraId="1CDC7E12">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14:paraId="32ADDCD0">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14:paraId="71707914">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第五条  监督检查</w:t>
      </w:r>
    </w:p>
    <w:p w14:paraId="0B956F6C">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甲乙双方的廉洁从业行为由双方或双方上级单位的纪检、监察负责监督，对本协议履行情况进行检查。</w:t>
      </w:r>
    </w:p>
    <w:p w14:paraId="000C97B5">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第六条 举报信访受理</w:t>
      </w:r>
    </w:p>
    <w:p w14:paraId="05CDFDA4">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（一）举报受理部门：东莞市水务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环境投资控股</w:t>
      </w:r>
      <w:r>
        <w:rPr>
          <w:rFonts w:hint="eastAsia" w:ascii="宋体" w:hAnsi="宋体" w:eastAsia="宋体" w:cs="宋体"/>
          <w:color w:val="000000" w:themeColor="text1"/>
          <w:szCs w:val="21"/>
          <w:highlight w:val="none"/>
          <w14:textFill>
            <w14:solidFill>
              <w14:schemeClr w14:val="tx1"/>
            </w14:solidFill>
          </w14:textFill>
        </w:rPr>
        <w:t>集团有限公司纪检监察部。</w:t>
      </w:r>
    </w:p>
    <w:p w14:paraId="271396A4">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14:paraId="72DD0F5B">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jcsj@dgswjt.cn。</w:t>
      </w:r>
      <w:r>
        <w:rPr>
          <w:rFonts w:hint="eastAsia" w:ascii="宋体" w:hAnsi="宋体" w:eastAsia="宋体" w:cs="宋体"/>
          <w:color w:val="000000" w:themeColor="text1"/>
          <w:szCs w:val="21"/>
          <w:highlight w:val="none"/>
          <w14:textFill>
            <w14:solidFill>
              <w14:schemeClr w14:val="tx1"/>
            </w14:solidFill>
          </w14:textFill>
        </w:rPr>
        <w:fldChar w:fldCharType="end"/>
      </w:r>
    </w:p>
    <w:p w14:paraId="7C29245B">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（四）信访地址：广东省东莞市东城街道育华路1号。</w:t>
      </w:r>
    </w:p>
    <w:p w14:paraId="3A51C95A">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第七条  其他</w:t>
      </w:r>
    </w:p>
    <w:p w14:paraId="228DD9D1">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本协议有效期为甲乙双方盖章、并经</w:t>
      </w:r>
      <w:r>
        <w:rPr>
          <w:rFonts w:hint="eastAsia" w:ascii="宋体" w:hAnsi="宋体" w:eastAsia="宋体" w:cs="宋体"/>
          <w:color w:val="000000" w:themeColor="text1"/>
          <w:szCs w:val="21"/>
          <w:highlight w:val="none"/>
          <w:lang w:val="en-US" w:eastAsia="zh-CN"/>
          <w14:textFill>
            <w14:solidFill>
              <w14:schemeClr w14:val="tx1"/>
            </w14:solidFill>
          </w14:textFill>
        </w:rPr>
        <w:t>双方</w:t>
      </w:r>
      <w:r>
        <w:rPr>
          <w:rFonts w:hint="eastAsia" w:ascii="宋体" w:hAnsi="宋体" w:eastAsia="宋体" w:cs="宋体"/>
          <w:color w:val="000000" w:themeColor="text1"/>
          <w:szCs w:val="21"/>
          <w:highlight w:val="none"/>
          <w14:textFill>
            <w14:solidFill>
              <w14:schemeClr w14:val="tx1"/>
            </w14:solidFill>
          </w14:textFill>
        </w:rPr>
        <w:t>法定代表人签字之日起至服务期满后为止。</w:t>
      </w:r>
    </w:p>
    <w:p w14:paraId="3A14725B">
      <w:pPr>
        <w:spacing w:line="360" w:lineRule="auto"/>
        <w:ind w:firstLine="422" w:firstLineChars="201"/>
        <w:outlineLvl w:val="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伍</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w:t>
      </w:r>
    </w:p>
    <w:p w14:paraId="767C94EF">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p>
    <w:p w14:paraId="42AC8DCC">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p>
    <w:p w14:paraId="0FFBC246">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p>
    <w:p w14:paraId="1F713DEA">
      <w:pPr>
        <w:widowControl w:val="0"/>
        <w:autoSpaceDE w:val="0"/>
        <w:autoSpaceDN w:val="0"/>
        <w:adjustRightInd w:val="0"/>
        <w:ind w:right="-26"/>
        <w:jc w:val="center"/>
        <w:outlineLvl w:val="9"/>
        <w:rPr>
          <w:rFonts w:ascii="宋体" w:hAnsi="宋体" w:eastAsia="宋体" w:cs="宋体"/>
          <w:b/>
          <w:bCs/>
          <w:color w:val="000000" w:themeColor="text1"/>
          <w:kern w:val="2"/>
          <w:sz w:val="21"/>
          <w:szCs w:val="21"/>
          <w:highlight w:val="none"/>
          <w:lang w:val="zh-CN" w:eastAsia="zh-CN" w:bidi="ar-SA"/>
          <w14:textFill>
            <w14:solidFill>
              <w14:schemeClr w14:val="tx1"/>
            </w14:solidFill>
          </w14:textFill>
        </w:rPr>
      </w:pPr>
    </w:p>
    <w:p w14:paraId="7C2B10BB">
      <w:pPr>
        <w:outlineLvl w:val="9"/>
        <w:rPr>
          <w:rFonts w:ascii="宋体" w:hAnsi="宋体" w:eastAsia="宋体" w:cs="宋体"/>
          <w:color w:val="000000" w:themeColor="text1"/>
          <w:szCs w:val="21"/>
          <w:highlight w:val="none"/>
          <w14:textFill>
            <w14:solidFill>
              <w14:schemeClr w14:val="tx1"/>
            </w14:solidFill>
          </w14:textFill>
        </w:rPr>
      </w:pPr>
    </w:p>
    <w:p w14:paraId="3044AF37">
      <w:pPr>
        <w:widowControl w:val="0"/>
        <w:autoSpaceDE w:val="0"/>
        <w:autoSpaceDN w:val="0"/>
        <w:adjustRightInd w:val="0"/>
        <w:ind w:right="-26"/>
        <w:jc w:val="center"/>
        <w:outlineLvl w:val="9"/>
        <w:rPr>
          <w:rFonts w:ascii="宋体" w:hAnsi="宋体" w:eastAsia="宋体" w:cs="宋体"/>
          <w:b/>
          <w:bCs/>
          <w:color w:val="000000" w:themeColor="text1"/>
          <w:kern w:val="2"/>
          <w:sz w:val="21"/>
          <w:szCs w:val="21"/>
          <w:highlight w:val="none"/>
          <w:lang w:val="zh-CN" w:eastAsia="zh-CN" w:bidi="ar-SA"/>
          <w14:textFill>
            <w14:solidFill>
              <w14:schemeClr w14:val="tx1"/>
            </w14:solidFill>
          </w14:textFill>
        </w:rPr>
      </w:pPr>
    </w:p>
    <w:p w14:paraId="560ABE15">
      <w:pPr>
        <w:spacing w:line="360" w:lineRule="auto"/>
        <w:outlineLvl w:val="9"/>
        <w:rPr>
          <w:rFonts w:ascii="宋体" w:hAnsi="宋体" w:eastAsia="宋体" w:cs="宋体"/>
          <w:b/>
          <w:bCs/>
          <w:color w:val="000000" w:themeColor="text1"/>
          <w:szCs w:val="21"/>
          <w:highlight w:val="none"/>
          <w14:textFill>
            <w14:solidFill>
              <w14:schemeClr w14:val="tx1"/>
            </w14:solidFill>
          </w14:textFill>
        </w:rPr>
      </w:pPr>
    </w:p>
    <w:p w14:paraId="6AF37172">
      <w:pPr>
        <w:widowControl w:val="0"/>
        <w:jc w:val="center"/>
        <w:outlineLvl w:val="9"/>
        <w:rPr>
          <w:rFonts w:ascii="宋体" w:hAnsi="宋体" w:eastAsia="宋体" w:cs="宋体"/>
          <w:b/>
          <w:color w:val="000000" w:themeColor="text1"/>
          <w:kern w:val="2"/>
          <w:sz w:val="21"/>
          <w:szCs w:val="22"/>
          <w:highlight w:val="none"/>
          <w:lang w:val="en-US" w:eastAsia="zh-CN" w:bidi="ar-SA"/>
          <w14:textFill>
            <w14:solidFill>
              <w14:schemeClr w14:val="tx1"/>
            </w14:solidFill>
          </w14:textFill>
        </w:rPr>
      </w:pPr>
    </w:p>
    <w:p w14:paraId="73BB5D75">
      <w:pPr>
        <w:widowControl w:val="0"/>
        <w:jc w:val="center"/>
        <w:outlineLvl w:val="9"/>
        <w:rPr>
          <w:rFonts w:ascii="宋体" w:hAnsi="宋体" w:eastAsia="宋体" w:cs="宋体"/>
          <w:b/>
          <w:color w:val="000000" w:themeColor="text1"/>
          <w:kern w:val="2"/>
          <w:sz w:val="21"/>
          <w:szCs w:val="22"/>
          <w:highlight w:val="none"/>
          <w:lang w:val="en-US" w:eastAsia="zh-CN" w:bidi="ar-SA"/>
          <w14:textFill>
            <w14:solidFill>
              <w14:schemeClr w14:val="tx1"/>
            </w14:solidFill>
          </w14:textFill>
        </w:rPr>
      </w:pPr>
    </w:p>
    <w:p w14:paraId="3CC5974E">
      <w:pPr>
        <w:snapToGrid w:val="0"/>
        <w:spacing w:line="360" w:lineRule="auto"/>
        <w:ind w:firstLine="424" w:firstLineChars="201"/>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（本页为《廉洁协议书》的签署页）</w:t>
      </w:r>
    </w:p>
    <w:p w14:paraId="6E300F85">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562F2030">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甲方（盖章）：东莞市众源环境投资有限公司</w:t>
      </w:r>
    </w:p>
    <w:p w14:paraId="51C61701">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202DDFE7">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法定代表人：                     </w:t>
      </w:r>
    </w:p>
    <w:p w14:paraId="21E07647">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4BAAEB88">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6820B6E5">
      <w:pPr>
        <w:widowControl w:val="0"/>
        <w:autoSpaceDE w:val="0"/>
        <w:autoSpaceDN w:val="0"/>
        <w:adjustRightInd w:val="0"/>
        <w:snapToGrid w:val="0"/>
        <w:spacing w:line="360" w:lineRule="auto"/>
        <w:ind w:right="-26" w:firstLine="424" w:firstLineChars="201"/>
        <w:jc w:val="center"/>
        <w:outlineLvl w:val="9"/>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p>
    <w:p w14:paraId="6B70D6E4">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乙方（盖章）：</w:t>
      </w:r>
    </w:p>
    <w:p w14:paraId="619C9CC8">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14961622">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p w14:paraId="52C41D74">
      <w:pPr>
        <w:snapToGrid w:val="0"/>
        <w:spacing w:line="360" w:lineRule="auto"/>
        <w:ind w:firstLine="422" w:firstLineChars="201"/>
        <w:outlineLvl w:val="9"/>
        <w:rPr>
          <w:rFonts w:hint="eastAsia" w:ascii="宋体" w:hAnsi="宋体" w:eastAsia="宋体" w:cs="宋体"/>
          <w:color w:val="000000" w:themeColor="text1"/>
          <w:szCs w:val="21"/>
          <w:highlight w:val="none"/>
          <w14:textFill>
            <w14:solidFill>
              <w14:schemeClr w14:val="tx1"/>
            </w14:solidFill>
          </w14:textFill>
        </w:rPr>
      </w:pPr>
    </w:p>
    <w:p w14:paraId="2C2F2B5B">
      <w:pPr>
        <w:snapToGrid w:val="0"/>
        <w:spacing w:line="360" w:lineRule="auto"/>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p>
    <w:p w14:paraId="135BD05C">
      <w:pPr>
        <w:snapToGrid w:val="0"/>
        <w:spacing w:line="360" w:lineRule="auto"/>
        <w:ind w:firstLine="420" w:firstLineChars="200"/>
        <w:outlineLvl w:val="9"/>
        <w:rPr>
          <w:rFonts w:hint="eastAsia" w:ascii="宋体" w:hAnsi="宋体" w:eastAsia="宋体" w:cs="宋体"/>
          <w:bCs/>
          <w:color w:val="000000" w:themeColor="text1"/>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    年  月  日</w:t>
      </w:r>
    </w:p>
    <w:p w14:paraId="328B28A6">
      <w:pPr>
        <w:spacing w:line="360" w:lineRule="auto"/>
        <w:ind w:firstLine="422" w:firstLineChars="201"/>
        <w:outlineLvl w:val="9"/>
        <w:rPr>
          <w:rFonts w:ascii="宋体" w:hAnsi="宋体" w:eastAsia="宋体" w:cs="宋体"/>
          <w:color w:val="000000" w:themeColor="text1"/>
          <w:szCs w:val="21"/>
          <w:highlight w:val="none"/>
          <w14:textFill>
            <w14:solidFill>
              <w14:schemeClr w14:val="tx1"/>
            </w14:solidFill>
          </w14:textFill>
        </w:rPr>
      </w:pPr>
    </w:p>
    <w:p w14:paraId="19EEB628">
      <w:pPr>
        <w:widowControl w:val="0"/>
        <w:autoSpaceDE w:val="0"/>
        <w:autoSpaceDN w:val="0"/>
        <w:adjustRightInd w:val="0"/>
        <w:spacing w:line="360" w:lineRule="auto"/>
        <w:ind w:right="-26" w:firstLine="424" w:firstLineChars="201"/>
        <w:jc w:val="center"/>
        <w:outlineLvl w:val="9"/>
        <w:rPr>
          <w:rFonts w:ascii="宋体" w:hAnsi="宋体" w:eastAsia="宋体" w:cs="宋体"/>
          <w:b/>
          <w:bCs/>
          <w:color w:val="000000" w:themeColor="text1"/>
          <w:kern w:val="2"/>
          <w:sz w:val="21"/>
          <w:szCs w:val="21"/>
          <w:highlight w:val="none"/>
          <w:lang w:val="zh-CN" w:eastAsia="zh-CN" w:bidi="ar-SA"/>
          <w14:textFill>
            <w14:solidFill>
              <w14:schemeClr w14:val="tx1"/>
            </w14:solidFill>
          </w14:textFill>
        </w:rPr>
      </w:pPr>
    </w:p>
    <w:p w14:paraId="492F6AD0">
      <w:pPr>
        <w:spacing w:line="360" w:lineRule="auto"/>
        <w:outlineLvl w:val="9"/>
        <w:rPr>
          <w:rFonts w:hAnsi="宋体" w:cs="宋体"/>
          <w:b/>
          <w:color w:val="000000" w:themeColor="text1"/>
          <w:sz w:val="21"/>
          <w:szCs w:val="21"/>
          <w:highlight w:val="none"/>
          <w14:textFill>
            <w14:solidFill>
              <w14:schemeClr w14:val="tx1"/>
            </w14:solidFill>
          </w14:textFill>
        </w:rPr>
      </w:pPr>
      <w:bookmarkStart w:id="472" w:name="_Toc62826974"/>
    </w:p>
    <w:p w14:paraId="4D35102D">
      <w:pPr>
        <w:spacing w:line="360" w:lineRule="auto"/>
        <w:outlineLvl w:val="9"/>
        <w:rPr>
          <w:rFonts w:hAnsi="宋体" w:cs="宋体"/>
          <w:b/>
          <w:color w:val="000000" w:themeColor="text1"/>
          <w:sz w:val="21"/>
          <w:szCs w:val="21"/>
          <w:highlight w:val="none"/>
          <w14:textFill>
            <w14:solidFill>
              <w14:schemeClr w14:val="tx1"/>
            </w14:solidFill>
          </w14:textFill>
        </w:rPr>
      </w:pPr>
    </w:p>
    <w:p w14:paraId="5B3B1AA5">
      <w:pPr>
        <w:spacing w:line="360" w:lineRule="auto"/>
        <w:outlineLvl w:val="9"/>
        <w:rPr>
          <w:rFonts w:hAnsi="宋体" w:cs="宋体"/>
          <w:b/>
          <w:color w:val="000000" w:themeColor="text1"/>
          <w:sz w:val="21"/>
          <w:szCs w:val="21"/>
          <w:highlight w:val="none"/>
          <w14:textFill>
            <w14:solidFill>
              <w14:schemeClr w14:val="tx1"/>
            </w14:solidFill>
          </w14:textFill>
        </w:rPr>
      </w:pPr>
    </w:p>
    <w:p w14:paraId="1B68A5A3">
      <w:pPr>
        <w:spacing w:line="360" w:lineRule="auto"/>
        <w:outlineLvl w:val="9"/>
        <w:rPr>
          <w:rFonts w:hAnsi="宋体" w:cs="宋体"/>
          <w:b/>
          <w:color w:val="000000" w:themeColor="text1"/>
          <w:sz w:val="21"/>
          <w:szCs w:val="21"/>
          <w:highlight w:val="none"/>
          <w14:textFill>
            <w14:solidFill>
              <w14:schemeClr w14:val="tx1"/>
            </w14:solidFill>
          </w14:textFill>
        </w:rPr>
      </w:pPr>
    </w:p>
    <w:p w14:paraId="68B89B6C">
      <w:pPr>
        <w:spacing w:line="360" w:lineRule="auto"/>
        <w:outlineLvl w:val="9"/>
        <w:rPr>
          <w:rFonts w:hAnsi="宋体" w:cs="宋体"/>
          <w:b/>
          <w:color w:val="000000" w:themeColor="text1"/>
          <w:sz w:val="21"/>
          <w:szCs w:val="21"/>
          <w:highlight w:val="none"/>
          <w14:textFill>
            <w14:solidFill>
              <w14:schemeClr w14:val="tx1"/>
            </w14:solidFill>
          </w14:textFill>
        </w:rPr>
      </w:pPr>
    </w:p>
    <w:p w14:paraId="522F3B54">
      <w:pPr>
        <w:pageBreakBefore/>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附件2：安全生产管理协议</w:t>
      </w:r>
      <w:bookmarkEnd w:id="472"/>
    </w:p>
    <w:p w14:paraId="3B745423">
      <w:pPr>
        <w:ind w:left="648" w:right="-26"/>
        <w:jc w:val="center"/>
        <w:outlineLvl w:val="9"/>
        <w:rPr>
          <w:rFonts w:ascii="宋体" w:hAnsi="宋体" w:eastAsia="宋体" w:cs="宋体"/>
          <w:b/>
          <w:bCs/>
          <w:color w:val="000000" w:themeColor="text1"/>
          <w:szCs w:val="21"/>
          <w:highlight w:val="none"/>
          <w:lang w:val="zh-CN"/>
          <w14:textFill>
            <w14:solidFill>
              <w14:schemeClr w14:val="tx1"/>
            </w14:solidFill>
          </w14:textFill>
        </w:rPr>
      </w:pPr>
    </w:p>
    <w:p w14:paraId="25CEC5F5">
      <w:pPr>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《安全生产管理协议（施工、安装、服务类）》</w:t>
      </w:r>
    </w:p>
    <w:p w14:paraId="662077E9">
      <w:pPr>
        <w:jc w:val="center"/>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 xml:space="preserve">                                         </w:t>
      </w:r>
    </w:p>
    <w:p w14:paraId="740F4DD0">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274BE65">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E6F7FEA">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E6BCF08">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p>
    <w:p w14:paraId="714582BE">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6BF76B0">
      <w:pPr>
        <w:spacing w:line="360" w:lineRule="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2F14ACC">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3EBAF92">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14:paraId="1F0C9F25">
      <w:pPr>
        <w:widowControl w:val="0"/>
        <w:spacing w:line="360" w:lineRule="auto"/>
        <w:ind w:left="567" w:leftChars="270"/>
        <w:jc w:val="both"/>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根据《中华人民共和国安全生产法》和《建设工程安全生产管理条例》等法规要求，为加强作业现场的安</w:t>
      </w:r>
    </w:p>
    <w:p w14:paraId="2FB32D3C">
      <w:pPr>
        <w:widowControl w:val="0"/>
        <w:spacing w:line="360" w:lineRule="auto"/>
        <w:ind w:left="0" w:leftChars="0" w:firstLine="0" w:firstLineChars="0"/>
        <w:jc w:val="both"/>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全管理，落实各自</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12B5F640">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15151DE">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3CFE966">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日  至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0A5CD2FD">
      <w:pPr>
        <w:spacing w:before="44"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第一条、污水处理厂风险辨识</w:t>
      </w:r>
    </w:p>
    <w:p w14:paraId="0B9C0B24">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636F7BE5">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3FE159D9">
      <w:pPr>
        <w:spacing w:before="44" w:line="360" w:lineRule="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第二条</w:t>
      </w:r>
      <w:r>
        <w:rPr>
          <w:rFonts w:hint="eastAsia" w:ascii="宋体" w:hAnsi="宋体" w:eastAsia="宋体" w:cs="宋体"/>
          <w:b/>
          <w:bCs/>
          <w:color w:val="000000" w:themeColor="text1"/>
          <w:sz w:val="21"/>
          <w:szCs w:val="21"/>
          <w:highlight w:val="none"/>
          <w14:textFill>
            <w14:solidFill>
              <w14:schemeClr w14:val="tx1"/>
            </w14:solidFill>
          </w14:textFill>
        </w:rPr>
        <w:t>、危害因素分析</w:t>
      </w:r>
    </w:p>
    <w:p w14:paraId="4CEE951D">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073DBA79">
      <w:pPr>
        <w:numPr>
          <w:ilvl w:val="255"/>
          <w:numId w:val="0"/>
        </w:numPr>
        <w:autoSpaceDE/>
        <w:autoSpaceDN/>
        <w:adjustRightInd/>
        <w:spacing w:line="360" w:lineRule="auto"/>
        <w:jc w:val="both"/>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第三条</w:t>
      </w:r>
      <w:r>
        <w:rPr>
          <w:rFonts w:hint="eastAsia" w:ascii="宋体" w:hAnsi="宋体" w:eastAsia="宋体" w:cs="宋体"/>
          <w:b/>
          <w:bCs/>
          <w:color w:val="000000" w:themeColor="text1"/>
          <w:sz w:val="21"/>
          <w:szCs w:val="21"/>
          <w:highlight w:val="none"/>
          <w14:textFill>
            <w14:solidFill>
              <w14:schemeClr w14:val="tx1"/>
            </w14:solidFill>
          </w14:textFill>
        </w:rPr>
        <w:t>、协议实施条款</w:t>
      </w:r>
    </w:p>
    <w:p w14:paraId="465F76B1">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“相关方”是指：</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乙方在甲方场所内或指定场所</w:t>
      </w:r>
      <w:r>
        <w:rPr>
          <w:rFonts w:hint="eastAsia" w:ascii="宋体" w:hAnsi="宋体" w:eastAsia="宋体" w:cs="宋体"/>
          <w:color w:val="000000" w:themeColor="text1"/>
          <w:sz w:val="21"/>
          <w:szCs w:val="21"/>
          <w:highlight w:val="none"/>
          <w14:textFill>
            <w14:solidFill>
              <w14:schemeClr w14:val="tx1"/>
            </w14:solidFill>
          </w14:textFill>
        </w:rPr>
        <w:t>从事与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生产经营活动有关的、在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highlight w:val="none"/>
          <w14:textFill>
            <w14:solidFill>
              <w14:schemeClr w14:val="tx1"/>
            </w14:solidFill>
          </w14:textFill>
        </w:rPr>
        <w:t xml:space="preserve">内从事各种公务活动和进行业务往来的外部单位和个人（以下简称“相关方”）。主要包括： </w:t>
      </w:r>
    </w:p>
    <w:p w14:paraId="4CD94592">
      <w:pPr>
        <w:numPr>
          <w:ilvl w:val="255"/>
          <w:numId w:val="0"/>
        </w:num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（1）依照与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订立的有关合同，在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highlight w:val="none"/>
          <w14:textFill>
            <w14:solidFill>
              <w14:schemeClr w14:val="tx1"/>
            </w14:solidFill>
          </w14:textFill>
        </w:rPr>
        <w:t xml:space="preserve">内从事基建、设备安装、维修保养、运输、后勤服务、劳务输出以及其他承包各种项目的外来单位或个人。 </w:t>
      </w:r>
    </w:p>
    <w:p w14:paraId="40F22A86">
      <w:pPr>
        <w:numPr>
          <w:ilvl w:val="0"/>
          <w:numId w:val="3"/>
        </w:numPr>
        <w:autoSpaceDE/>
        <w:autoSpaceDN/>
        <w:adjustRightInd/>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highlight w:val="none"/>
          <w14:textFill>
            <w14:solidFill>
              <w14:schemeClr w14:val="tx1"/>
            </w14:solidFill>
          </w14:textFill>
        </w:rPr>
        <w:t>内进行商务洽谈、参观访问、工作检查、学习交流及其他各类公务活动的外来单位或个人。</w:t>
      </w:r>
    </w:p>
    <w:p w14:paraId="647D861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344C73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进场前乙方应将本企业的营业执照、企业资质等级证书、安全生产许可证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604755F6">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安全交底。每次进行危险作业等其他可能存在危险的作业前需由乙方的带班人员对作业人员进行安全交底。</w:t>
      </w:r>
    </w:p>
    <w:p w14:paraId="34BAC798">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乙方需完善并加强对相关方的的日常考勤管理，严格遵守厂区对进出人员的管理要求。</w:t>
      </w:r>
    </w:p>
    <w:p w14:paraId="783DE5C1">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4590C316">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12068548">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乙方应制定与作业范围相适应的应急处置预案，并定期组织演练或者参加甲方组织的演练。</w:t>
      </w:r>
    </w:p>
    <w:p w14:paraId="5BC2D4A7">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E996750">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595D7F10">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乙方依法参加工伤保险，为从业人员缴纳保险费，并应当为从事危险作业的人员办理意外伤害保险。</w:t>
      </w:r>
    </w:p>
    <w:p w14:paraId="3696D26E">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AFE60EB">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EC5A773">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1DDE55A">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F0D9EDE">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7804F32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09A12C58">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33D43396">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根据甲方的关于危险作业安全要求执行。</w:t>
      </w:r>
    </w:p>
    <w:p w14:paraId="674F4ECD">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因乙方原因，造成乙方损失，由乙方自负，给甲方造成财产损失和人员伤害，乙方要负全部责任，并全额赔偿甲方。</w:t>
      </w:r>
    </w:p>
    <w:p w14:paraId="1E3494A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非因甲方原因，造成乙方损失的，甲方不承担任何责任，由乙方自行承担全部责任。</w:t>
      </w:r>
    </w:p>
    <w:p w14:paraId="770ACA5C">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3EDF6CE4">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①禁火区内严禁吸烟、动火。有火灾危险的作业区域，乙方必须配置足够的灭火设施。</w:t>
      </w:r>
    </w:p>
    <w:p w14:paraId="44AD231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②焊接、气割作业时两瓶距离必须达到5M及以上，</w:t>
      </w:r>
      <w:r>
        <w:rPr>
          <w:rFonts w:hint="eastAsia" w:ascii="宋体" w:hAnsi="宋体" w:eastAsia="宋体" w:cs="宋体"/>
          <w:color w:val="000000" w:themeColor="text1"/>
          <w:sz w:val="21"/>
          <w:szCs w:val="21"/>
          <w:highlight w:val="none"/>
          <w:lang w:val="en-US" w:eastAsia="zh-CN"/>
          <w14:textFill>
            <w14:solidFill>
              <w14:schemeClr w14:val="tx1"/>
            </w14:solidFill>
          </w14:textFill>
        </w:rPr>
        <w:t>且有防倾倒措施及安装阻火器，</w:t>
      </w:r>
      <w:r>
        <w:rPr>
          <w:rFonts w:hint="eastAsia" w:ascii="宋体" w:hAnsi="宋体" w:eastAsia="宋体" w:cs="宋体"/>
          <w:color w:val="000000" w:themeColor="text1"/>
          <w:sz w:val="21"/>
          <w:szCs w:val="21"/>
          <w:highlight w:val="none"/>
          <w14:textFill>
            <w14:solidFill>
              <w14:schemeClr w14:val="tx1"/>
            </w14:solidFill>
          </w14:textFill>
        </w:rPr>
        <w:t>气瓶距可能产生火花的电器、设备和其它火源的间距必须达到10M及以上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气瓶严禁烈日暴晒及卧倒使用</w:t>
      </w:r>
      <w:r>
        <w:rPr>
          <w:rFonts w:hint="eastAsia" w:ascii="宋体" w:hAnsi="宋体" w:eastAsia="宋体" w:cs="宋体"/>
          <w:color w:val="000000" w:themeColor="text1"/>
          <w:sz w:val="21"/>
          <w:szCs w:val="21"/>
          <w:highlight w:val="none"/>
          <w14:textFill>
            <w14:solidFill>
              <w14:schemeClr w14:val="tx1"/>
            </w14:solidFill>
          </w14:textFill>
        </w:rPr>
        <w:t>。</w:t>
      </w:r>
    </w:p>
    <w:p w14:paraId="7EB0E59B">
      <w:pPr>
        <w:spacing w:line="360" w:lineRule="auto"/>
        <w:ind w:left="525" w:leftChars="25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③严禁在厂内道路、消防通道内搭建临时建筑或堆放物资；</w:t>
      </w:r>
    </w:p>
    <w:p w14:paraId="712A8EF6">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严禁占用、堵塞、遮掩、挪用、损毁、破坏或因装修作业等工作或其他原因导致消防设施设备损坏。</w:t>
      </w:r>
    </w:p>
    <w:p w14:paraId="4007F179">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④作业场所的电动工具、电焊机等须有漏电保护器和相应的安全防护装置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接线方式符合</w:t>
      </w:r>
      <w:r>
        <w:rPr>
          <w:rFonts w:hint="eastAsia" w:ascii="宋体" w:hAnsi="宋体" w:eastAsia="宋体" w:cs="宋体"/>
          <w:color w:val="000000" w:themeColor="text1"/>
          <w:sz w:val="21"/>
          <w:szCs w:val="21"/>
          <w:highlight w:val="none"/>
          <w14:textFill>
            <w14:solidFill>
              <w14:schemeClr w14:val="tx1"/>
            </w14:solidFill>
          </w14:textFill>
        </w:rPr>
        <w:t>“一机一闸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有关</w:t>
      </w:r>
      <w:r>
        <w:rPr>
          <w:rFonts w:hint="eastAsia" w:ascii="宋体" w:hAnsi="宋体" w:eastAsia="宋体" w:cs="宋体"/>
          <w:color w:val="000000" w:themeColor="text1"/>
          <w:sz w:val="21"/>
          <w:szCs w:val="21"/>
          <w:highlight w:val="none"/>
          <w14:textFill>
            <w14:solidFill>
              <w14:schemeClr w14:val="tx1"/>
            </w14:solidFill>
          </w14:textFill>
        </w:rPr>
        <w:t>规定。</w:t>
      </w:r>
    </w:p>
    <w:p w14:paraId="771E9C0E">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w:t>
      </w:r>
      <w:r>
        <w:rPr>
          <w:rFonts w:hint="eastAsia" w:ascii="宋体" w:hAnsi="宋体" w:eastAsia="宋体" w:cs="宋体"/>
          <w:color w:val="000000" w:themeColor="text1"/>
          <w:sz w:val="21"/>
          <w:szCs w:val="21"/>
          <w:highlight w:val="none"/>
          <w:lang w:val="en-US" w:eastAsia="zh-CN"/>
          <w14:textFill>
            <w14:solidFill>
              <w14:schemeClr w14:val="tx1"/>
            </w14:solidFill>
          </w14:textFill>
        </w:rPr>
        <w:t>生产、</w:t>
      </w:r>
      <w:r>
        <w:rPr>
          <w:rFonts w:hint="eastAsia" w:ascii="宋体" w:hAnsi="宋体" w:eastAsia="宋体" w:cs="宋体"/>
          <w:color w:val="000000" w:themeColor="text1"/>
          <w:sz w:val="21"/>
          <w:szCs w:val="21"/>
          <w:highlight w:val="none"/>
          <w14:textFill>
            <w14:solidFill>
              <w14:schemeClr w14:val="tx1"/>
            </w14:solidFill>
          </w14:textFill>
        </w:rPr>
        <w:t>作业现场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居住室、办公室内的用电设施必须符合要求，严禁电线乱接、乱拉，刀闸和开关无盖，在电器设施上堆放物品。</w:t>
      </w:r>
    </w:p>
    <w:p w14:paraId="570F84F5">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⑥防雷、防静电设施及用电设施要有良好接地。</w:t>
      </w:r>
    </w:p>
    <w:p w14:paraId="6F0CBE9F">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⑦作业现场的危险区域，如临边、深坑、土方堆填区等，必须设置围栏和危险标志，夜间要设信号灯。</w:t>
      </w:r>
    </w:p>
    <w:p w14:paraId="49EDEE58">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D01624C">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51ABADD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044536A">
      <w:pPr>
        <w:spacing w:line="360" w:lineRule="auto"/>
        <w:ind w:firstLine="420" w:firstLineChars="20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⑪</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乙方落实好化学品及危险化学品管理，禁止</w:t>
      </w:r>
      <w:r>
        <w:rPr>
          <w:rFonts w:hint="eastAsia" w:ascii="宋体" w:hAnsi="宋体" w:eastAsia="宋体" w:cs="宋体"/>
          <w:color w:val="000000" w:themeColor="text1"/>
          <w:sz w:val="21"/>
          <w:szCs w:val="21"/>
          <w:highlight w:val="none"/>
          <w:lang w:val="en-US"/>
          <w14:textFill>
            <w14:solidFill>
              <w14:schemeClr w14:val="tx1"/>
            </w14:solidFill>
          </w14:textFill>
        </w:rPr>
        <w:t>危化品废弃物随意丢弃、倒掉</w:t>
      </w:r>
      <w:r>
        <w:rPr>
          <w:rFonts w:hint="eastAsia" w:ascii="宋体" w:hAnsi="宋体" w:eastAsia="宋体" w:cs="宋体"/>
          <w:color w:val="000000" w:themeColor="text1"/>
          <w:sz w:val="21"/>
          <w:szCs w:val="21"/>
          <w:highlight w:val="none"/>
          <w:lang w:val="en-US" w:eastAsia="zh-CN"/>
          <w14:textFill>
            <w14:solidFill>
              <w14:schemeClr w14:val="tx1"/>
            </w14:solidFill>
          </w14:textFill>
        </w:rPr>
        <w:t>，危险化学品泄漏应采取正确防护措施。</w:t>
      </w:r>
    </w:p>
    <w:p w14:paraId="122622FA">
      <w:pPr>
        <w:spacing w:line="360" w:lineRule="auto"/>
        <w:ind w:firstLine="420" w:firstLineChars="20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⑫</w:t>
      </w:r>
      <w:r>
        <w:rPr>
          <w:rFonts w:hint="eastAsia" w:ascii="宋体" w:hAnsi="宋体" w:eastAsia="宋体" w:cs="宋体"/>
          <w:color w:val="000000" w:themeColor="text1"/>
          <w:sz w:val="21"/>
          <w:szCs w:val="21"/>
          <w:highlight w:val="none"/>
          <w:lang w:val="en-US" w:eastAsia="zh-CN"/>
          <w14:textFill>
            <w14:solidFill>
              <w14:schemeClr w14:val="tx1"/>
            </w14:solidFill>
          </w14:textFill>
        </w:rPr>
        <w:t>吊装作业前应检查吊具、吊绳安全性能，禁止超载吊装作业，吊运半径下方严禁站人。</w:t>
      </w:r>
    </w:p>
    <w:p w14:paraId="3EFE68D1">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DF9CB26">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color w:val="000000" w:themeColor="text1"/>
          <w:sz w:val="21"/>
          <w:szCs w:val="21"/>
          <w:highlight w:val="none"/>
          <w14:textFill>
            <w14:solidFill>
              <w14:schemeClr w14:val="tx1"/>
            </w14:solidFill>
          </w14:textFill>
        </w:rPr>
        <w:t>作为违约金。</w:t>
      </w:r>
    </w:p>
    <w:p w14:paraId="76215171">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若乙方有下列情形之一的或在整改后仍违反协议的，甲方有权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按合同第九条违约责任相关条款执行</w:t>
      </w:r>
      <w:r>
        <w:rPr>
          <w:rFonts w:hint="eastAsia" w:ascii="宋体" w:hAnsi="宋体" w:eastAsia="宋体" w:cs="宋体"/>
          <w:color w:val="000000" w:themeColor="text1"/>
          <w:sz w:val="21"/>
          <w:szCs w:val="21"/>
          <w:highlight w:val="none"/>
          <w14:textFill>
            <w14:solidFill>
              <w14:schemeClr w14:val="tx1"/>
            </w14:solidFill>
          </w14:textFill>
        </w:rPr>
        <w:t>，同时甲方有权要求乙方承担第24条的违约金。造成甲方损失的，乙方需另行赔偿：</w:t>
      </w:r>
    </w:p>
    <w:p w14:paraId="55BD688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①乙方不能提供与项目相匹配的营业执照、施工资质、安全生产许可证、技术人员、特种作业人员、安全员和设备设施的；</w:t>
      </w:r>
    </w:p>
    <w:p w14:paraId="7BA40ADB">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②乙方未对作业人员进行岗位安全操作规程和安全操作技能的教育和培训的；没有向作业人员提供劳动防护用品的；</w:t>
      </w:r>
    </w:p>
    <w:p w14:paraId="34AF3983">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③乙方未对所属员工定期开展安全教育培训的；</w:t>
      </w:r>
    </w:p>
    <w:p w14:paraId="47BC7DE7">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④在开展涉及危险性较高的作业时，乙方未在作业前报甲方的；</w:t>
      </w:r>
    </w:p>
    <w:p w14:paraId="1A85137B">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⑤乙方违章作业或违章指挥作业的；</w:t>
      </w:r>
    </w:p>
    <w:p w14:paraId="6B58BDB2">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⑥乙方现场安全管理不到位或不服从甲方安全管理的；</w:t>
      </w:r>
    </w:p>
    <w:p w14:paraId="6CA7DC6F">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⑦发生事故后，乙方未及时开展应急救援工作的；</w:t>
      </w:r>
    </w:p>
    <w:p w14:paraId="231C92DC">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⑨未制定与作业范围相适应的应急处置预案；</w:t>
      </w:r>
    </w:p>
    <w:p w14:paraId="09EB3588">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⑩乙方不履行协议义务或者未按协议约定履行义务的其他情况。</w:t>
      </w:r>
    </w:p>
    <w:p w14:paraId="1FD59B01">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0FDA4835">
      <w:pPr>
        <w:numPr>
          <w:ilvl w:val="0"/>
          <w:numId w:val="4"/>
        </w:num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5A234590">
      <w:pPr>
        <w:numPr>
          <w:ilvl w:val="0"/>
          <w:numId w:val="4"/>
        </w:num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危险作业前，必须检查作业工具是否完好，做好交底工作。</w:t>
      </w:r>
    </w:p>
    <w:p w14:paraId="1B7F6D61">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15FA5F9A">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（4）如遇阴雨及大雾、雷暴雨、台风等恶劣</w:t>
      </w:r>
      <w:r>
        <w:rPr>
          <w:rFonts w:hint="eastAsia" w:ascii="宋体" w:hAnsi="宋体" w:eastAsia="宋体" w:cs="宋体"/>
          <w:color w:val="000000" w:themeColor="text1"/>
          <w:sz w:val="21"/>
          <w:szCs w:val="21"/>
          <w:highlight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气，禁止危险作业。</w:t>
      </w:r>
    </w:p>
    <w:p w14:paraId="3B2F700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乙方对作业过程中潜在的安全风险不明确的，不可盲目作业，否则，造成的后果由乙方独自承担。</w:t>
      </w:r>
    </w:p>
    <w:p w14:paraId="7AC898B5">
      <w:pPr>
        <w:numPr>
          <w:ilvl w:val="0"/>
          <w:numId w:val="2"/>
        </w:numPr>
        <w:spacing w:line="360" w:lineRule="auto"/>
        <w:ind w:left="0" w:firstLine="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份，其中甲方执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份，自甲、乙双方盖章、并经双方法定代表人签字之日起生效。</w:t>
      </w:r>
    </w:p>
    <w:p w14:paraId="41237D1A">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p>
    <w:p w14:paraId="4D73231F">
      <w:pPr>
        <w:spacing w:line="360" w:lineRule="auto"/>
        <w:ind w:firstLine="426" w:firstLineChars="202"/>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乙方声明：</w:t>
      </w:r>
    </w:p>
    <w:p w14:paraId="1443ED22">
      <w:pPr>
        <w:spacing w:line="360" w:lineRule="auto"/>
        <w:ind w:firstLine="426" w:firstLineChars="202"/>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乙方已认真阅读协议内容，对协议条款、现场的安全管理要求、安全风险充分理解，并自愿承担因违约造成的一切后果。</w:t>
      </w:r>
    </w:p>
    <w:p w14:paraId="3D8428AF">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（以下无正文）</w:t>
      </w:r>
    </w:p>
    <w:p w14:paraId="6FAA018B">
      <w:pPr>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p>
    <w:p w14:paraId="44C3A9E0">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甲方（盖章）：                      乙方（盖章）： </w:t>
      </w:r>
    </w:p>
    <w:p w14:paraId="521B8E3B">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14:paraId="44655750">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14:paraId="38EC7860">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w:t>
      </w:r>
    </w:p>
    <w:p w14:paraId="2417D083">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14:paraId="2F28959A">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p>
    <w:p w14:paraId="7489C010">
      <w:pPr>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w:t>
      </w:r>
    </w:p>
    <w:p w14:paraId="5B10B995">
      <w:pPr>
        <w:autoSpaceDE w:val="0"/>
        <w:autoSpaceDN w:val="0"/>
        <w:adjustRightInd w:val="0"/>
        <w:snapToGri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56D44A94">
      <w:pPr>
        <w:pageBreakBefore/>
        <w:spacing w:before="120" w:beforeLines="50" w:after="120" w:afterLines="50" w:line="360" w:lineRule="auto"/>
        <w:ind w:firstLine="640"/>
        <w:jc w:val="center"/>
        <w:outlineLvl w:val="0"/>
        <w:rPr>
          <w:rFonts w:ascii="宋体" w:hAnsi="宋体" w:eastAsia="宋体" w:cs="宋体"/>
          <w:b/>
          <w:bCs/>
          <w:color w:val="000000" w:themeColor="text1"/>
          <w:sz w:val="32"/>
          <w:szCs w:val="32"/>
          <w:highlight w:val="none"/>
          <w:lang w:val="zh-CN"/>
          <w14:textFill>
            <w14:solidFill>
              <w14:schemeClr w14:val="tx1"/>
            </w14:solidFill>
          </w14:textFill>
        </w:rPr>
      </w:pPr>
      <w:bookmarkStart w:id="473" w:name="_Toc142508360"/>
      <w:bookmarkStart w:id="474" w:name="_Toc30025"/>
      <w:bookmarkStart w:id="475" w:name="_Toc24427_WPSOffice_Level1"/>
      <w:bookmarkStart w:id="476" w:name="_Toc512353083"/>
      <w:bookmarkStart w:id="477" w:name="_Toc447044479"/>
      <w:bookmarkStart w:id="478" w:name="_Toc447045090"/>
      <w:bookmarkStart w:id="479" w:name="_Toc447044603"/>
      <w:bookmarkStart w:id="480" w:name="_Toc26785"/>
      <w:bookmarkStart w:id="481" w:name="_Toc8325"/>
      <w:bookmarkStart w:id="482" w:name="_Toc13867"/>
      <w:bookmarkStart w:id="483" w:name="_Toc25564"/>
      <w:r>
        <w:rPr>
          <w:rFonts w:hint="eastAsia" w:ascii="宋体" w:hAnsi="宋体" w:eastAsia="宋体" w:cs="宋体"/>
          <w:b/>
          <w:bCs/>
          <w:color w:val="000000" w:themeColor="text1"/>
          <w:sz w:val="32"/>
          <w:szCs w:val="32"/>
          <w:highlight w:val="none"/>
          <w:lang w:val="zh-CN"/>
          <w14:textFill>
            <w14:solidFill>
              <w14:schemeClr w14:val="tx1"/>
            </w14:solidFill>
          </w14:textFill>
        </w:rPr>
        <w:t>第五篇 相关保函格式</w:t>
      </w:r>
      <w:bookmarkEnd w:id="473"/>
      <w:bookmarkEnd w:id="474"/>
      <w:bookmarkEnd w:id="475"/>
      <w:bookmarkEnd w:id="476"/>
      <w:bookmarkEnd w:id="477"/>
      <w:bookmarkEnd w:id="478"/>
      <w:bookmarkEnd w:id="479"/>
      <w:bookmarkEnd w:id="480"/>
      <w:bookmarkEnd w:id="481"/>
      <w:bookmarkEnd w:id="482"/>
      <w:bookmarkEnd w:id="483"/>
      <w:bookmarkStart w:id="484" w:name="_Toc447044604"/>
      <w:bookmarkStart w:id="485" w:name="_Toc447045091"/>
      <w:bookmarkStart w:id="486" w:name="_Toc447044480"/>
    </w:p>
    <w:p w14:paraId="12B0A040">
      <w:pPr>
        <w:autoSpaceDE w:val="0"/>
        <w:autoSpaceDN w:val="0"/>
        <w:adjustRightInd w:val="0"/>
        <w:spacing w:after="120" w:afterLines="50" w:line="360" w:lineRule="auto"/>
        <w:jc w:val="left"/>
        <w:outlineLvl w:val="9"/>
        <w:rPr>
          <w:rFonts w:ascii="宋体" w:hAnsi="宋体" w:eastAsia="宋体" w:cs="宋体"/>
          <w:b/>
          <w:color w:val="000000" w:themeColor="text1"/>
          <w:kern w:val="0"/>
          <w:sz w:val="28"/>
          <w:szCs w:val="28"/>
          <w:highlight w:val="none"/>
          <w14:textFill>
            <w14:solidFill>
              <w14:schemeClr w14:val="tx1"/>
            </w14:solidFill>
          </w14:textFill>
        </w:rPr>
      </w:pPr>
      <w:bookmarkStart w:id="487" w:name="_Toc26521_WPSOffice_Level2"/>
      <w:r>
        <w:rPr>
          <w:rFonts w:hint="eastAsia" w:ascii="宋体" w:hAnsi="宋体" w:eastAsia="宋体" w:cs="宋体"/>
          <w:b/>
          <w:color w:val="000000" w:themeColor="text1"/>
          <w:kern w:val="0"/>
          <w:sz w:val="28"/>
          <w:szCs w:val="28"/>
          <w:highlight w:val="none"/>
          <w14:textFill>
            <w14:solidFill>
              <w14:schemeClr w14:val="tx1"/>
            </w14:solidFill>
          </w14:textFill>
        </w:rPr>
        <w:t>一、不可撤销银行履约保函格式</w:t>
      </w:r>
      <w:bookmarkEnd w:id="484"/>
      <w:bookmarkEnd w:id="485"/>
      <w:bookmarkEnd w:id="486"/>
      <w:bookmarkEnd w:id="487"/>
    </w:p>
    <w:p w14:paraId="2C41C0F9">
      <w:pPr>
        <w:autoSpaceDE w:val="0"/>
        <w:autoSpaceDN w:val="0"/>
        <w:adjustRightInd w:val="0"/>
        <w:jc w:val="center"/>
        <w:outlineLvl w:val="9"/>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不可撤销银行履约保函</w:t>
      </w:r>
    </w:p>
    <w:p w14:paraId="72D9EC80">
      <w:pPr>
        <w:widowControl/>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743876AD">
      <w:pPr>
        <w:autoSpaceDE w:val="0"/>
        <w:autoSpaceDN w:val="0"/>
        <w:adjustRightInd w:val="0"/>
        <w:spacing w:line="360" w:lineRule="auto"/>
        <w:ind w:firstLine="6300"/>
        <w:jc w:val="left"/>
        <w:outlineLvl w:val="9"/>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银行编号：</w:t>
      </w:r>
    </w:p>
    <w:p w14:paraId="2E8934DE">
      <w:pPr>
        <w:widowControl/>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7C9C834C">
      <w:pPr>
        <w:widowControl/>
        <w:autoSpaceDE w:val="0"/>
        <w:autoSpaceDN w:val="0"/>
        <w:adjustRightInd w:val="0"/>
        <w:spacing w:line="360" w:lineRule="auto"/>
        <w:ind w:firstLine="567" w:firstLineChars="27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11AEA9C1">
      <w:pPr>
        <w:widowControl/>
        <w:autoSpaceDE w:val="0"/>
        <w:autoSpaceDN w:val="0"/>
        <w:adjustRightInd w:val="0"/>
        <w:spacing w:line="360" w:lineRule="auto"/>
        <w:ind w:firstLine="567" w:firstLineChars="27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7AAE4C73">
      <w:pPr>
        <w:widowControl/>
        <w:autoSpaceDE w:val="0"/>
        <w:autoSpaceDN w:val="0"/>
        <w:adjustRightInd w:val="0"/>
        <w:spacing w:line="360" w:lineRule="auto"/>
        <w:ind w:firstLine="567" w:firstLineChars="27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A9FF434">
      <w:pPr>
        <w:widowControl/>
        <w:autoSpaceDE w:val="0"/>
        <w:autoSpaceDN w:val="0"/>
        <w:adjustRightInd w:val="0"/>
        <w:spacing w:line="360" w:lineRule="auto"/>
        <w:ind w:firstLine="420" w:firstLineChars="2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3361476">
      <w:pPr>
        <w:widowControl/>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7539E7AF">
      <w:pPr>
        <w:widowControl/>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本保函应自合同签订之日起至合同期限届满并完成合同全部服务义务后二十八（28）日内保持有效。</w:t>
      </w:r>
    </w:p>
    <w:p w14:paraId="3BE37F27">
      <w:pPr>
        <w:widowControl/>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p>
    <w:p w14:paraId="42D8D504">
      <w:pPr>
        <w:widowControl/>
        <w:autoSpaceDE w:val="0"/>
        <w:autoSpaceDN w:val="0"/>
        <w:adjustRightInd w:val="0"/>
        <w:spacing w:line="360" w:lineRule="auto"/>
        <w:ind w:firstLine="2520" w:firstLineChars="1200"/>
        <w:jc w:val="left"/>
        <w:outlineLvl w:val="9"/>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 保 银 行：</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1CBF36DC">
      <w:pPr>
        <w:widowControl/>
        <w:autoSpaceDE w:val="0"/>
        <w:autoSpaceDN w:val="0"/>
        <w:adjustRightInd w:val="0"/>
        <w:spacing w:line="360" w:lineRule="auto"/>
        <w:ind w:firstLine="2520" w:firstLineChars="12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(职务)         </w:t>
      </w:r>
    </w:p>
    <w:p w14:paraId="43EE0938">
      <w:pPr>
        <w:widowControl/>
        <w:autoSpaceDE w:val="0"/>
        <w:autoSpaceDN w:val="0"/>
        <w:adjustRightInd w:val="0"/>
        <w:spacing w:line="360" w:lineRule="auto"/>
        <w:ind w:firstLine="5502" w:firstLineChars="2620"/>
        <w:jc w:val="left"/>
        <w:outlineLvl w:val="9"/>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(姓名)         </w:t>
      </w:r>
    </w:p>
    <w:p w14:paraId="757D8F36">
      <w:pPr>
        <w:widowControl/>
        <w:autoSpaceDE w:val="0"/>
        <w:autoSpaceDN w:val="0"/>
        <w:adjustRightInd w:val="0"/>
        <w:spacing w:line="360" w:lineRule="auto"/>
        <w:ind w:firstLine="5502" w:firstLineChars="2620"/>
        <w:jc w:val="left"/>
        <w:outlineLvl w:val="9"/>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(签章)         </w:t>
      </w:r>
    </w:p>
    <w:p w14:paraId="4BC0E032">
      <w:pPr>
        <w:autoSpaceDE w:val="0"/>
        <w:autoSpaceDN w:val="0"/>
        <w:adjustRightInd w:val="0"/>
        <w:spacing w:line="360" w:lineRule="auto"/>
        <w:ind w:left="840" w:firstLine="420" w:firstLineChars="2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4BF7FB7E">
      <w:pPr>
        <w:widowControl/>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5170D3DB">
      <w:pPr>
        <w:widowControl/>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3EA5C755">
      <w:pPr>
        <w:autoSpaceDE w:val="0"/>
        <w:autoSpaceDN w:val="0"/>
        <w:adjustRightInd w:val="0"/>
        <w:spacing w:line="360" w:lineRule="auto"/>
        <w:ind w:right="368" w:rightChars="175"/>
        <w:jc w:val="left"/>
        <w:outlineLvl w:val="9"/>
        <w:rPr>
          <w:rFonts w:ascii="宋体" w:hAnsi="宋体" w:eastAsia="宋体" w:cs="宋体"/>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C76282F">
      <w:pPr>
        <w:outlineLvl w:val="9"/>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二、履约保证保险凭证格式</w:t>
      </w:r>
    </w:p>
    <w:p w14:paraId="790AFD1A">
      <w:pPr>
        <w:autoSpaceDE w:val="0"/>
        <w:autoSpaceDN w:val="0"/>
        <w:adjustRightInd w:val="0"/>
        <w:jc w:val="center"/>
        <w:outlineLvl w:val="9"/>
        <w:rPr>
          <w:rFonts w:ascii="宋体" w:hAnsi="宋体" w:eastAsia="宋体" w:cs="宋体"/>
          <w:b/>
          <w:color w:val="000000" w:themeColor="text1"/>
          <w:kern w:val="0"/>
          <w:sz w:val="30"/>
          <w:szCs w:val="30"/>
          <w:highlight w:val="none"/>
          <w14:textFill>
            <w14:solidFill>
              <w14:schemeClr w14:val="tx1"/>
            </w14:solidFill>
          </w14:textFill>
        </w:rPr>
      </w:pPr>
    </w:p>
    <w:p w14:paraId="52487AB6">
      <w:pPr>
        <w:autoSpaceDE w:val="0"/>
        <w:autoSpaceDN w:val="0"/>
        <w:adjustRightInd w:val="0"/>
        <w:jc w:val="center"/>
        <w:outlineLvl w:val="9"/>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履约保证保险凭证</w:t>
      </w:r>
    </w:p>
    <w:p w14:paraId="19F2AAB3">
      <w:pPr>
        <w:autoSpaceDE w:val="0"/>
        <w:autoSpaceDN w:val="0"/>
        <w:adjustRightInd w:val="0"/>
        <w:spacing w:line="360" w:lineRule="auto"/>
        <w:ind w:firstLine="437"/>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B27941A">
      <w:pPr>
        <w:autoSpaceDE w:val="0"/>
        <w:autoSpaceDN w:val="0"/>
        <w:adjustRightInd w:val="0"/>
        <w:spacing w:line="360" w:lineRule="auto"/>
        <w:ind w:firstLine="437"/>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218136D6">
      <w:pPr>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0296E48C">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p>
    <w:p w14:paraId="581C572E">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合同。我方已接受申请人的请求，并出具《履约保证保险》保险单。 </w:t>
      </w:r>
    </w:p>
    <w:p w14:paraId="6BEE6DBC">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347DF959">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 </w:t>
      </w:r>
    </w:p>
    <w:p w14:paraId="4E081842">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05D2BE1B">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合同履行相关义务，给贵方造成损失的，贵方可向我方提出索赔，我方按照保险合同的约定承担损失赔偿责任。 </w:t>
      </w:r>
    </w:p>
    <w:p w14:paraId="70591875">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1658706A">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A0E78D4">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6DC6B2D7">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1E5CE0AC">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2F7AE680">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本履约保证保险应自合同签订之日起至合同期限届满并完成合同全部服务义务后二十八（28）日内保持有效。</w:t>
      </w:r>
    </w:p>
    <w:p w14:paraId="60746637">
      <w:pPr>
        <w:outlineLvl w:val="9"/>
        <w:rPr>
          <w:rFonts w:hAnsi="宋体" w:cs="宋体"/>
          <w:color w:val="000000" w:themeColor="text1"/>
          <w:highlight w:val="none"/>
          <w14:textFill>
            <w14:solidFill>
              <w14:schemeClr w14:val="tx1"/>
            </w14:solidFill>
          </w14:textFill>
        </w:rPr>
      </w:pPr>
    </w:p>
    <w:p w14:paraId="38627539">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附：《XXX 保险有限公司履约保证保险（X 款）条款》及保单 </w:t>
      </w:r>
    </w:p>
    <w:p w14:paraId="021121B8">
      <w:pPr>
        <w:autoSpaceDE w:val="0"/>
        <w:autoSpaceDN w:val="0"/>
        <w:adjustRightInd w:val="0"/>
        <w:spacing w:line="360" w:lineRule="auto"/>
        <w:ind w:firstLine="437"/>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56E07679">
      <w:pPr>
        <w:autoSpaceDE w:val="0"/>
        <w:autoSpaceDN w:val="0"/>
        <w:adjustRightInd w:val="0"/>
        <w:spacing w:line="360" w:lineRule="auto"/>
        <w:ind w:firstLine="437"/>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11E754C9">
      <w:pPr>
        <w:autoSpaceDE w:val="0"/>
        <w:autoSpaceDN w:val="0"/>
        <w:adjustRightInd w:val="0"/>
        <w:spacing w:line="360" w:lineRule="auto"/>
        <w:ind w:firstLine="437"/>
        <w:jc w:val="righ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法定代表人或授权代理人：________ </w:t>
      </w:r>
    </w:p>
    <w:p w14:paraId="4DD3714C">
      <w:pPr>
        <w:autoSpaceDE w:val="0"/>
        <w:autoSpaceDN w:val="0"/>
        <w:adjustRightInd w:val="0"/>
        <w:spacing w:line="360" w:lineRule="auto"/>
        <w:ind w:firstLine="437"/>
        <w:jc w:val="righ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p w14:paraId="74EB2CAE">
      <w:pPr>
        <w:widowControl/>
        <w:autoSpaceDE w:val="0"/>
        <w:autoSpaceDN w:val="0"/>
        <w:adjustRightInd w:val="0"/>
        <w:spacing w:before="100" w:beforeAutospacing="1" w:after="100" w:afterAutospacing="1"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2F8A1141">
      <w:pPr>
        <w:autoSpaceDE w:val="0"/>
        <w:autoSpaceDN w:val="0"/>
        <w:adjustRightInd w:val="0"/>
        <w:spacing w:after="120" w:afterLines="50" w:line="360" w:lineRule="auto"/>
        <w:jc w:val="left"/>
        <w:outlineLvl w:val="9"/>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三、担保公司履约担保书格式</w:t>
      </w:r>
    </w:p>
    <w:p w14:paraId="09BBA77D">
      <w:pPr>
        <w:autoSpaceDE w:val="0"/>
        <w:autoSpaceDN w:val="0"/>
        <w:adjustRightInd w:val="0"/>
        <w:jc w:val="center"/>
        <w:outlineLvl w:val="9"/>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担保公司履约担保书</w:t>
      </w:r>
    </w:p>
    <w:p w14:paraId="13AD6C75">
      <w:pPr>
        <w:widowControl/>
        <w:autoSpaceDE w:val="0"/>
        <w:autoSpaceDN w:val="0"/>
        <w:adjustRightInd w:val="0"/>
        <w:spacing w:before="100" w:beforeAutospacing="1" w:after="100" w:afterAutospacing="1"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CC079C8">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5BCC538D">
      <w:pPr>
        <w:widowControl/>
        <w:autoSpaceDE w:val="0"/>
        <w:autoSpaceDN w:val="0"/>
        <w:adjustRightInd w:val="0"/>
        <w:spacing w:line="360" w:lineRule="auto"/>
        <w:ind w:firstLine="567" w:firstLineChars="27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w:t>
      </w:r>
      <w:r>
        <w:rPr>
          <w:rFonts w:hint="eastAsia" w:ascii="宋体" w:hAnsi="宋体" w:eastAsia="宋体" w:cs="宋体"/>
          <w:bCs/>
          <w:color w:val="000000" w:themeColor="text1"/>
          <w:kern w:val="0"/>
          <w:szCs w:val="21"/>
          <w:highlight w:val="none"/>
          <w14:textFill>
            <w14:solidFill>
              <w14:schemeClr w14:val="tx1"/>
            </w14:solidFill>
          </w14:textFill>
        </w:rPr>
        <w:t>不可撤销</w:t>
      </w:r>
      <w:r>
        <w:rPr>
          <w:rFonts w:hint="eastAsia" w:ascii="宋体" w:hAnsi="宋体" w:eastAsia="宋体" w:cs="宋体"/>
          <w:color w:val="000000" w:themeColor="text1"/>
          <w:kern w:val="0"/>
          <w:szCs w:val="21"/>
          <w:highlight w:val="none"/>
          <w14:textFill>
            <w14:solidFill>
              <w14:schemeClr w14:val="tx1"/>
            </w14:solidFill>
          </w14:textFill>
        </w:rPr>
        <w:t>履约担保，作为申请人履行上述合同的担保，</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5B7D168D">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587170B8">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02DC2CE3">
      <w:pPr>
        <w:autoSpaceDE w:val="0"/>
        <w:autoSpaceDN w:val="0"/>
        <w:adjustRightInd w:val="0"/>
        <w:spacing w:line="360" w:lineRule="auto"/>
        <w:ind w:firstLine="437"/>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本担保书应自合同签订之日起至合同期限届满并完成合同全部服务义务后二十八（28）日内保持有效。</w:t>
      </w:r>
    </w:p>
    <w:p w14:paraId="0C3E2F4A">
      <w:pPr>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2B65F52C">
      <w:pPr>
        <w:autoSpaceDE w:val="0"/>
        <w:autoSpaceDN w:val="0"/>
        <w:adjustRightInd w:val="0"/>
        <w:spacing w:line="360" w:lineRule="auto"/>
        <w:ind w:firstLine="3990" w:firstLineChars="19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法定代表人或其授权的代理人：（签字或盖私章）</w:t>
      </w:r>
    </w:p>
    <w:p w14:paraId="0523981B">
      <w:pPr>
        <w:autoSpaceDE w:val="0"/>
        <w:autoSpaceDN w:val="0"/>
        <w:adjustRightInd w:val="0"/>
        <w:spacing w:line="360" w:lineRule="auto"/>
        <w:ind w:firstLine="3990" w:firstLineChars="19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担保公司盖章：</w:t>
      </w:r>
    </w:p>
    <w:p w14:paraId="6E85B9AD">
      <w:pPr>
        <w:autoSpaceDE w:val="0"/>
        <w:autoSpaceDN w:val="0"/>
        <w:adjustRightInd w:val="0"/>
        <w:spacing w:line="360" w:lineRule="auto"/>
        <w:ind w:firstLine="3990" w:firstLineChars="19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p w14:paraId="3FA68111">
      <w:pPr>
        <w:autoSpaceDE w:val="0"/>
        <w:autoSpaceDN w:val="0"/>
        <w:adjustRightInd w:val="0"/>
        <w:spacing w:line="360" w:lineRule="auto"/>
        <w:ind w:firstLine="3990" w:firstLineChars="19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p w14:paraId="31E6BC24">
      <w:pPr>
        <w:autoSpaceDE w:val="0"/>
        <w:autoSpaceDN w:val="0"/>
        <w:adjustRightInd w:val="0"/>
        <w:spacing w:line="360" w:lineRule="auto"/>
        <w:ind w:firstLine="3990" w:firstLineChars="1900"/>
        <w:jc w:val="left"/>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33178088">
      <w:pPr>
        <w:autoSpaceDE w:val="0"/>
        <w:autoSpaceDN w:val="0"/>
        <w:adjustRightInd w:val="0"/>
        <w:spacing w:line="360" w:lineRule="auto"/>
        <w:ind w:right="368" w:rightChars="175"/>
        <w:jc w:val="left"/>
        <w:outlineLvl w:val="9"/>
        <w:rPr>
          <w:rFonts w:ascii="宋体" w:hAnsi="宋体" w:eastAsia="宋体" w:cs="宋体"/>
          <w:color w:val="000000" w:themeColor="text1"/>
          <w:kern w:val="0"/>
          <w:szCs w:val="21"/>
          <w:highlight w:val="none"/>
          <w14:textFill>
            <w14:solidFill>
              <w14:schemeClr w14:val="tx1"/>
            </w14:solidFill>
          </w14:textFill>
        </w:rPr>
      </w:pPr>
    </w:p>
    <w:p w14:paraId="1A876152">
      <w:pPr>
        <w:autoSpaceDE w:val="0"/>
        <w:autoSpaceDN w:val="0"/>
        <w:adjustRightInd w:val="0"/>
        <w:spacing w:line="360" w:lineRule="auto"/>
        <w:jc w:val="left"/>
        <w:outlineLvl w:val="9"/>
        <w:rPr>
          <w:rFonts w:ascii="宋体" w:hAnsi="宋体" w:eastAsia="宋体" w:cs="宋体"/>
          <w:color w:val="000000" w:themeColor="text1"/>
          <w:kern w:val="0"/>
          <w:szCs w:val="21"/>
          <w:highlight w:val="none"/>
          <w14:textFill>
            <w14:solidFill>
              <w14:schemeClr w14:val="tx1"/>
            </w14:solidFill>
          </w14:textFill>
        </w:rPr>
      </w:pPr>
    </w:p>
    <w:p w14:paraId="31DBD691">
      <w:pPr>
        <w:autoSpaceDE w:val="0"/>
        <w:autoSpaceDN w:val="0"/>
        <w:adjustRightInd w:val="0"/>
        <w:spacing w:line="360" w:lineRule="auto"/>
        <w:ind w:firstLine="5775" w:firstLineChars="2750"/>
        <w:jc w:val="left"/>
        <w:outlineLvl w:val="9"/>
        <w:rPr>
          <w:rFonts w:ascii="宋体" w:hAnsi="宋体" w:eastAsia="宋体" w:cs="宋体"/>
          <w:color w:val="000000" w:themeColor="text1"/>
          <w:kern w:val="0"/>
          <w:szCs w:val="21"/>
          <w:highlight w:val="none"/>
          <w14:textFill>
            <w14:solidFill>
              <w14:schemeClr w14:val="tx1"/>
            </w14:solidFill>
          </w14:textFill>
        </w:rPr>
      </w:pPr>
    </w:p>
    <w:p w14:paraId="511CA34C">
      <w:pPr>
        <w:autoSpaceDE w:val="0"/>
        <w:autoSpaceDN w:val="0"/>
        <w:adjustRightInd w:val="0"/>
        <w:spacing w:line="360" w:lineRule="auto"/>
        <w:ind w:firstLine="5775" w:firstLineChars="2750"/>
        <w:jc w:val="left"/>
        <w:outlineLvl w:val="9"/>
        <w:rPr>
          <w:rFonts w:ascii="宋体" w:hAnsi="宋体" w:eastAsia="宋体" w:cs="宋体"/>
          <w:color w:val="000000" w:themeColor="text1"/>
          <w:kern w:val="0"/>
          <w:szCs w:val="21"/>
          <w:highlight w:val="none"/>
          <w14:textFill>
            <w14:solidFill>
              <w14:schemeClr w14:val="tx1"/>
            </w14:solidFill>
          </w14:textFill>
        </w:rPr>
      </w:pPr>
    </w:p>
    <w:p w14:paraId="72759CE9">
      <w:pPr>
        <w:autoSpaceDE w:val="0"/>
        <w:autoSpaceDN w:val="0"/>
        <w:adjustRightInd w:val="0"/>
        <w:spacing w:line="360" w:lineRule="auto"/>
        <w:ind w:firstLine="5775" w:firstLineChars="2750"/>
        <w:jc w:val="left"/>
        <w:outlineLvl w:val="9"/>
        <w:rPr>
          <w:rFonts w:ascii="宋体" w:hAnsi="宋体" w:eastAsia="宋体" w:cs="宋体"/>
          <w:color w:val="000000" w:themeColor="text1"/>
          <w:kern w:val="0"/>
          <w:szCs w:val="21"/>
          <w:highlight w:val="none"/>
          <w14:textFill>
            <w14:solidFill>
              <w14:schemeClr w14:val="tx1"/>
            </w14:solidFill>
          </w14:textFill>
        </w:rPr>
      </w:pPr>
    </w:p>
    <w:p w14:paraId="1B6C4E7D">
      <w:pPr>
        <w:autoSpaceDE w:val="0"/>
        <w:autoSpaceDN w:val="0"/>
        <w:adjustRightInd w:val="0"/>
        <w:spacing w:line="360" w:lineRule="auto"/>
        <w:ind w:firstLine="5775" w:firstLineChars="2750"/>
        <w:jc w:val="left"/>
        <w:rPr>
          <w:rFonts w:ascii="宋体" w:hAnsi="宋体" w:eastAsia="宋体" w:cs="宋体"/>
          <w:color w:val="000000" w:themeColor="text1"/>
          <w:kern w:val="0"/>
          <w:szCs w:val="21"/>
          <w:highlight w:val="none"/>
          <w14:textFill>
            <w14:solidFill>
              <w14:schemeClr w14:val="tx1"/>
            </w14:solidFill>
          </w14:textFill>
        </w:rPr>
      </w:pPr>
    </w:p>
    <w:p w14:paraId="03A4A5D3">
      <w:pPr>
        <w:pStyle w:val="4"/>
        <w:rPr>
          <w:color w:val="000000" w:themeColor="text1"/>
          <w:highlight w:val="none"/>
          <w:lang w:val="zh-CN"/>
          <w14:textFill>
            <w14:solidFill>
              <w14:schemeClr w14:val="tx1"/>
            </w14:solidFill>
          </w14:textFill>
        </w:rPr>
      </w:pPr>
    </w:p>
    <w:p w14:paraId="6D6755F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88" w:name="_Toc19120"/>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w:t>
      </w:r>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投标文件格式</w:t>
      </w:r>
      <w:bookmarkEnd w:id="447"/>
      <w:bookmarkEnd w:id="448"/>
      <w:bookmarkEnd w:id="449"/>
      <w:bookmarkEnd w:id="450"/>
      <w:bookmarkEnd w:id="451"/>
      <w:bookmarkEnd w:id="452"/>
      <w:bookmarkEnd w:id="488"/>
    </w:p>
    <w:p w14:paraId="5B55E0E0">
      <w:pPr>
        <w:pStyle w:val="47"/>
        <w:jc w:val="center"/>
        <w:outlineLvl w:val="1"/>
        <w:rPr>
          <w:rFonts w:hAnsi="宋体" w:eastAsia="宋体" w:cs="宋体"/>
          <w:b/>
          <w:bCs w:val="0"/>
          <w:color w:val="000000" w:themeColor="text1"/>
          <w:sz w:val="32"/>
          <w:szCs w:val="32"/>
          <w:highlight w:val="none"/>
          <w14:textFill>
            <w14:solidFill>
              <w14:schemeClr w14:val="tx1"/>
            </w14:solidFill>
          </w14:textFill>
        </w:rPr>
      </w:pPr>
      <w:bookmarkStart w:id="489" w:name="_Toc1432"/>
      <w:bookmarkStart w:id="490" w:name="_Toc211622201"/>
      <w:r>
        <w:rPr>
          <w:rFonts w:hint="eastAsia" w:hAnsi="宋体" w:eastAsia="宋体" w:cs="宋体"/>
          <w:b/>
          <w:bCs w:val="0"/>
          <w:color w:val="000000" w:themeColor="text1"/>
          <w:sz w:val="32"/>
          <w:szCs w:val="32"/>
          <w:highlight w:val="none"/>
          <w14:textFill>
            <w14:solidFill>
              <w14:schemeClr w14:val="tx1"/>
            </w14:solidFill>
          </w14:textFill>
        </w:rPr>
        <w:t>一 商务标格式</w:t>
      </w:r>
      <w:bookmarkEnd w:id="489"/>
      <w:bookmarkEnd w:id="490"/>
    </w:p>
    <w:p w14:paraId="397EE71F">
      <w:pPr>
        <w:rPr>
          <w:rFonts w:ascii="宋体" w:hAnsi="宋体" w:eastAsia="宋体" w:cs="宋体"/>
          <w:color w:val="000000" w:themeColor="text1"/>
          <w:sz w:val="84"/>
          <w:highlight w:val="none"/>
          <w14:textFill>
            <w14:solidFill>
              <w14:schemeClr w14:val="tx1"/>
            </w14:solidFill>
          </w14:textFill>
        </w:rPr>
      </w:pPr>
      <w:bookmarkStart w:id="491" w:name="_Toc1977721"/>
      <w:bookmarkStart w:id="492" w:name="_Toc140596921"/>
      <w:bookmarkStart w:id="493" w:name="_Toc102860411"/>
      <w:bookmarkStart w:id="494" w:name="_Toc94107202"/>
      <w:bookmarkStart w:id="495" w:name="_Toc533708121"/>
      <w:bookmarkStart w:id="496" w:name="_Toc102860067"/>
      <w:bookmarkStart w:id="497" w:name="_Toc142508362"/>
      <w:bookmarkStart w:id="498" w:name="_Toc486167709"/>
      <w:bookmarkStart w:id="499" w:name="_Toc21133_WPSOffice_Level2"/>
      <w:bookmarkStart w:id="500" w:name="_Toc104991868"/>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070C3E2">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6DE1955D">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35C3EFF3">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02239233">
      <w:pPr>
        <w:pStyle w:val="21"/>
        <w:spacing w:line="360" w:lineRule="auto"/>
        <w:rPr>
          <w:rFonts w:ascii="宋体" w:hAnsi="宋体" w:cs="宋体"/>
          <w:color w:val="000000" w:themeColor="text1"/>
          <w:highlight w:val="none"/>
          <w14:textFill>
            <w14:solidFill>
              <w14:schemeClr w14:val="tx1"/>
            </w14:solidFill>
          </w14:textFill>
        </w:rPr>
      </w:pPr>
    </w:p>
    <w:p w14:paraId="77E33D1D">
      <w:pPr>
        <w:pStyle w:val="21"/>
        <w:spacing w:line="360" w:lineRule="auto"/>
        <w:rPr>
          <w:rFonts w:ascii="宋体" w:hAnsi="宋体" w:cs="宋体"/>
          <w:color w:val="000000" w:themeColor="text1"/>
          <w:highlight w:val="none"/>
          <w14:textFill>
            <w14:solidFill>
              <w14:schemeClr w14:val="tx1"/>
            </w14:solidFill>
          </w14:textFill>
        </w:rPr>
      </w:pPr>
    </w:p>
    <w:p w14:paraId="6AC927CD">
      <w:pPr>
        <w:pStyle w:val="21"/>
        <w:spacing w:line="360" w:lineRule="auto"/>
        <w:rPr>
          <w:rFonts w:ascii="宋体" w:hAnsi="宋体" w:cs="宋体"/>
          <w:color w:val="000000" w:themeColor="text1"/>
          <w:highlight w:val="none"/>
          <w14:textFill>
            <w14:solidFill>
              <w14:schemeClr w14:val="tx1"/>
            </w14:solidFill>
          </w14:textFill>
        </w:rPr>
      </w:pPr>
    </w:p>
    <w:p w14:paraId="3232F07D">
      <w:pPr>
        <w:pStyle w:val="21"/>
        <w:spacing w:line="360" w:lineRule="auto"/>
        <w:rPr>
          <w:rFonts w:ascii="宋体" w:hAnsi="宋体" w:cs="宋体"/>
          <w:color w:val="000000" w:themeColor="text1"/>
          <w:highlight w:val="none"/>
          <w14:textFill>
            <w14:solidFill>
              <w14:schemeClr w14:val="tx1"/>
            </w14:solidFill>
          </w14:textFill>
        </w:rPr>
      </w:pPr>
    </w:p>
    <w:p w14:paraId="4DF4D5DE">
      <w:pPr>
        <w:pStyle w:val="21"/>
        <w:spacing w:line="360" w:lineRule="auto"/>
        <w:rPr>
          <w:rFonts w:ascii="宋体" w:hAnsi="宋体" w:cs="宋体"/>
          <w:color w:val="000000" w:themeColor="text1"/>
          <w:highlight w:val="none"/>
          <w14:textFill>
            <w14:solidFill>
              <w14:schemeClr w14:val="tx1"/>
            </w14:solidFill>
          </w14:textFill>
        </w:rPr>
      </w:pPr>
    </w:p>
    <w:p w14:paraId="2FF6E3C0">
      <w:pPr>
        <w:pStyle w:val="21"/>
        <w:spacing w:line="360" w:lineRule="auto"/>
        <w:rPr>
          <w:rFonts w:ascii="宋体" w:hAnsi="宋体" w:cs="宋体"/>
          <w:color w:val="000000" w:themeColor="text1"/>
          <w:highlight w:val="none"/>
          <w14:textFill>
            <w14:solidFill>
              <w14:schemeClr w14:val="tx1"/>
            </w14:solidFill>
          </w14:textFill>
        </w:rPr>
      </w:pPr>
    </w:p>
    <w:p w14:paraId="14CAE491">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622CEE51">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07F3FFAD">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投标文件商务标 </w:t>
      </w:r>
    </w:p>
    <w:p w14:paraId="5452D5CC">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29F0F398">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（企业数字证书电子签名）   </w:t>
      </w:r>
    </w:p>
    <w:p w14:paraId="626BD542">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639907EF">
      <w:pPr>
        <w:pStyle w:val="21"/>
        <w:spacing w:line="360" w:lineRule="auto"/>
        <w:rPr>
          <w:rFonts w:ascii="宋体" w:hAnsi="宋体" w:cs="宋体"/>
          <w:color w:val="000000" w:themeColor="text1"/>
          <w:highlight w:val="none"/>
          <w14:textFill>
            <w14:solidFill>
              <w14:schemeClr w14:val="tx1"/>
            </w14:solidFill>
          </w14:textFill>
        </w:rPr>
      </w:pPr>
    </w:p>
    <w:p w14:paraId="68709988">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5435BD9">
      <w:pPr>
        <w:pStyle w:val="21"/>
        <w:spacing w:line="500" w:lineRule="exact"/>
        <w:jc w:val="center"/>
        <w:outlineLvl w:val="1"/>
        <w:rPr>
          <w:rFonts w:ascii="宋体" w:hAnsi="宋体" w:cs="宋体"/>
          <w:b/>
          <w:bCs/>
          <w:color w:val="000000" w:themeColor="text1"/>
          <w:sz w:val="24"/>
          <w:szCs w:val="24"/>
          <w:highlight w:val="none"/>
          <w14:textFill>
            <w14:solidFill>
              <w14:schemeClr w14:val="tx1"/>
            </w14:solidFill>
          </w14:textFill>
        </w:rPr>
      </w:pPr>
      <w:bookmarkStart w:id="501" w:name="_Toc31361"/>
      <w:bookmarkStart w:id="502" w:name="_Toc10999"/>
      <w:bookmarkStart w:id="503" w:name="_Toc195714374"/>
      <w:bookmarkStart w:id="504" w:name="_Toc25946"/>
      <w:bookmarkStart w:id="505" w:name="_Toc16205"/>
      <w:bookmarkStart w:id="506" w:name="_Toc211622202"/>
      <w:bookmarkStart w:id="507" w:name="_Toc17612"/>
      <w:bookmarkStart w:id="508" w:name="_Toc25406"/>
      <w:r>
        <w:rPr>
          <w:rFonts w:hint="eastAsia" w:ascii="宋体" w:hAnsi="宋体" w:cs="宋体"/>
          <w:b/>
          <w:bCs/>
          <w:color w:val="000000" w:themeColor="text1"/>
          <w:sz w:val="24"/>
          <w:szCs w:val="24"/>
          <w:highlight w:val="none"/>
          <w14:textFill>
            <w14:solidFill>
              <w14:schemeClr w14:val="tx1"/>
            </w14:solidFill>
          </w14:textFill>
        </w:rPr>
        <w:t>目录</w:t>
      </w:r>
      <w:bookmarkEnd w:id="501"/>
      <w:bookmarkEnd w:id="502"/>
      <w:bookmarkEnd w:id="503"/>
      <w:bookmarkEnd w:id="504"/>
      <w:bookmarkEnd w:id="505"/>
      <w:bookmarkEnd w:id="506"/>
      <w:bookmarkEnd w:id="507"/>
      <w:bookmarkEnd w:id="508"/>
    </w:p>
    <w:p w14:paraId="6931CD3C">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一、投标函；</w:t>
      </w:r>
    </w:p>
    <w:p w14:paraId="28B5F854">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二、投标承诺书；</w:t>
      </w:r>
    </w:p>
    <w:p w14:paraId="0B79D6FB">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三、供货及/或提供服务过程承诺函；</w:t>
      </w:r>
    </w:p>
    <w:p w14:paraId="63C35630">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四、投标人资格证明文件：</w:t>
      </w:r>
    </w:p>
    <w:p w14:paraId="55C7A50A">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五、投标人基本情况一览表；</w:t>
      </w:r>
    </w:p>
    <w:p w14:paraId="20851456">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六、投标人财务状况表；</w:t>
      </w:r>
    </w:p>
    <w:p w14:paraId="0BED526A">
      <w:pPr>
        <w:pBdr>
          <w:bottom w:val="single" w:color="auto" w:sz="6" w:space="0"/>
        </w:pBdr>
        <w:spacing w:line="500" w:lineRule="exact"/>
        <w:ind w:firstLine="472" w:firstLineChars="224"/>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七、标准化体系认证；</w:t>
      </w:r>
    </w:p>
    <w:p w14:paraId="765267D8">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Cs w:val="21"/>
          <w:highlight w:val="none"/>
          <w14:textFill>
            <w14:solidFill>
              <w14:schemeClr w14:val="tx1"/>
            </w14:solidFill>
          </w14:textFill>
        </w:rPr>
        <w:t>、合同条款响应程度（合同条款偏离表）；</w:t>
      </w:r>
    </w:p>
    <w:p w14:paraId="6D04877A">
      <w:pPr>
        <w:pBdr>
          <w:bottom w:val="single" w:color="auto" w:sz="6" w:space="0"/>
        </w:pBdr>
        <w:spacing w:line="500" w:lineRule="exact"/>
        <w:ind w:firstLine="472" w:firstLineChars="224"/>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Cs w:val="21"/>
          <w:highlight w:val="none"/>
          <w14:textFill>
            <w14:solidFill>
              <w14:schemeClr w14:val="tx1"/>
            </w14:solidFill>
          </w14:textFill>
        </w:rPr>
        <w:t>、业绩表；</w:t>
      </w:r>
    </w:p>
    <w:p w14:paraId="3E5C55EC">
      <w:pPr>
        <w:pBdr>
          <w:bottom w:val="single" w:color="auto" w:sz="6" w:space="0"/>
        </w:pBdr>
        <w:spacing w:line="500" w:lineRule="exact"/>
        <w:ind w:firstLine="472" w:firstLineChars="224"/>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十</w:t>
      </w:r>
      <w:r>
        <w:rPr>
          <w:rFonts w:hint="eastAsia" w:ascii="宋体" w:hAnsi="宋体" w:eastAsia="宋体" w:cs="宋体"/>
          <w:b/>
          <w:bCs/>
          <w:color w:val="000000" w:themeColor="text1"/>
          <w:szCs w:val="21"/>
          <w:highlight w:val="none"/>
          <w14:textFill>
            <w14:solidFill>
              <w14:schemeClr w14:val="tx1"/>
            </w14:solidFill>
          </w14:textFill>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bCs/>
          <w:color w:val="000000" w:themeColor="text1"/>
          <w:szCs w:val="21"/>
          <w:highlight w:val="none"/>
          <w:lang w:val="zh-CN"/>
          <w14:textFill>
            <w14:solidFill>
              <w14:schemeClr w14:val="tx1"/>
            </w14:solidFill>
          </w14:textFill>
        </w:rPr>
        <w:t>提供服务能力</w:t>
      </w:r>
      <w:r>
        <w:rPr>
          <w:rFonts w:hint="eastAsia" w:ascii="宋体" w:hAnsi="宋体" w:eastAsia="宋体" w:cs="宋体"/>
          <w:b/>
          <w:bCs/>
          <w:color w:val="000000" w:themeColor="text1"/>
          <w:szCs w:val="21"/>
          <w:highlight w:val="none"/>
          <w14:textFill>
            <w14:solidFill>
              <w14:schemeClr w14:val="tx1"/>
            </w14:solidFill>
          </w14:textFill>
        </w:rPr>
        <w:t>的有关其它商务文件（不做强制要求）。</w:t>
      </w:r>
    </w:p>
    <w:p w14:paraId="46C566BA">
      <w:pPr>
        <w:pBdr>
          <w:bottom w:val="single" w:color="auto" w:sz="6" w:space="0"/>
        </w:pBdr>
        <w:spacing w:line="500" w:lineRule="exact"/>
        <w:ind w:firstLine="720" w:firstLineChars="224"/>
        <w:jc w:val="left"/>
        <w:rPr>
          <w:rFonts w:ascii="宋体" w:hAnsi="宋体" w:eastAsia="宋体" w:cs="宋体"/>
          <w:b/>
          <w:color w:val="000000" w:themeColor="text1"/>
          <w:kern w:val="0"/>
          <w:sz w:val="32"/>
          <w:szCs w:val="32"/>
          <w:highlight w:val="none"/>
          <w:u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6065345">
      <w:pPr>
        <w:rPr>
          <w:rFonts w:ascii="宋体" w:hAnsi="宋体" w:eastAsia="宋体" w:cs="宋体"/>
          <w:b/>
          <w:color w:val="000000" w:themeColor="text1"/>
          <w:kern w:val="0"/>
          <w:sz w:val="32"/>
          <w:szCs w:val="32"/>
          <w:highlight w:val="none"/>
          <w14:textFill>
            <w14:solidFill>
              <w14:schemeClr w14:val="tx1"/>
            </w14:solidFill>
          </w14:textFill>
        </w:rPr>
      </w:pPr>
    </w:p>
    <w:p w14:paraId="7939BC8E">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509" w:name="_Toc23782"/>
      <w:bookmarkStart w:id="510" w:name="_Toc27679"/>
      <w:bookmarkStart w:id="511" w:name="_Toc7831"/>
      <w:bookmarkStart w:id="512" w:name="_Toc211622203"/>
      <w:bookmarkStart w:id="513" w:name="_Toc13281"/>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91"/>
      <w:bookmarkEnd w:id="492"/>
      <w:bookmarkEnd w:id="493"/>
      <w:bookmarkEnd w:id="494"/>
      <w:bookmarkEnd w:id="495"/>
      <w:bookmarkEnd w:id="496"/>
      <w:bookmarkEnd w:id="497"/>
      <w:bookmarkEnd w:id="498"/>
      <w:bookmarkEnd w:id="499"/>
      <w:bookmarkEnd w:id="500"/>
      <w:bookmarkEnd w:id="509"/>
      <w:bookmarkEnd w:id="510"/>
      <w:bookmarkEnd w:id="511"/>
      <w:bookmarkEnd w:id="512"/>
      <w:bookmarkEnd w:id="513"/>
    </w:p>
    <w:p w14:paraId="53881788">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14"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514"/>
    </w:p>
    <w:p w14:paraId="25743367">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42D9C31">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w:t>
      </w:r>
    </w:p>
    <w:p w14:paraId="7297073B">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5E7FF8E7">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0F70BBC1">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065C8AE7">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lang w:val="zh-CN"/>
          <w14:textFill>
            <w14:solidFill>
              <w14:schemeClr w14:val="tx1"/>
            </w14:solidFill>
          </w14:textFill>
        </w:rPr>
        <w:t>）我方愿意以</w:t>
      </w:r>
      <w:r>
        <w:rPr>
          <w:rFonts w:hint="eastAsia" w:ascii="宋体" w:hAnsi="宋体" w:eastAsia="宋体" w:cs="宋体"/>
          <w:b/>
          <w:bCs/>
          <w:color w:val="000000" w:themeColor="text1"/>
          <w:szCs w:val="21"/>
          <w:highlight w:val="none"/>
          <w:u w:val="single"/>
          <w:lang w:val="zh-CN"/>
          <w14:textFill>
            <w14:solidFill>
              <w14:schemeClr w14:val="tx1"/>
            </w14:solidFill>
          </w14:textFill>
        </w:rPr>
        <w:t>报价信封中的投标值作为本项目</w:t>
      </w:r>
      <w:r>
        <w:rPr>
          <w:rFonts w:hint="eastAsia" w:ascii="宋体" w:hAnsi="宋体" w:eastAsia="宋体" w:cs="宋体"/>
          <w:color w:val="000000" w:themeColor="text1"/>
          <w:szCs w:val="21"/>
          <w:highlight w:val="none"/>
          <w:lang w:val="zh-CN"/>
          <w14:textFill>
            <w14:solidFill>
              <w14:schemeClr w14:val="tx1"/>
            </w14:solidFill>
          </w14:textFill>
        </w:rPr>
        <w:t>投标报价并按我方的投标文件承诺、合同条款及补充通知的条件要求承包上述项目。</w:t>
      </w:r>
    </w:p>
    <w:p w14:paraId="513B1EB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lang w:val="zh-CN"/>
          <w14:textFill>
            <w14:solidFill>
              <w14:schemeClr w14:val="tx1"/>
            </w14:solidFill>
          </w14:textFill>
        </w:rPr>
        <w:t>）我方决定参加招标编号为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23DC22E2">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lang w:val="zh-CN"/>
          <w14:textFill>
            <w14:solidFill>
              <w14:schemeClr w14:val="tx1"/>
            </w14:solidFill>
          </w14:textFill>
        </w:rPr>
        <w:t>）本投标文件的有效期自递交投标文件截止时间届满后90日有效，如中标，有效期将延至合同终止日为止；</w:t>
      </w:r>
    </w:p>
    <w:p w14:paraId="210AC9DB">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lang w:val="zh-CN"/>
          <w14:textFill>
            <w14:solidFill>
              <w14:schemeClr w14:val="tx1"/>
            </w14:solidFill>
          </w14:textFill>
        </w:rPr>
        <w:t>）我方已详细研究了招标文件的所有内容包括修正文（如有）和所有已提供的参考资料以及有关附件并完全明白，我方放弃在此方面提出含糊意见或误解的一切权力；</w:t>
      </w:r>
    </w:p>
    <w:p w14:paraId="21490894">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五</w:t>
      </w:r>
      <w:r>
        <w:rPr>
          <w:rFonts w:hint="eastAsia" w:ascii="宋体" w:hAnsi="宋体" w:eastAsia="宋体" w:cs="宋体"/>
          <w:color w:val="000000" w:themeColor="text1"/>
          <w:szCs w:val="21"/>
          <w:highlight w:val="none"/>
          <w:lang w:val="zh-CN"/>
          <w14:textFill>
            <w14:solidFill>
              <w14:schemeClr w14:val="tx1"/>
            </w14:solidFill>
          </w14:textFill>
        </w:rPr>
        <w:t>）我方明白并愿意在规定的递交投标文件截止时间和日期之后，投标有效期之内撤销投标，则不予退还我方投标保证金；</w:t>
      </w:r>
    </w:p>
    <w:p w14:paraId="426D25DD">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六</w:t>
      </w:r>
      <w:r>
        <w:rPr>
          <w:rFonts w:hint="eastAsia" w:ascii="宋体" w:hAnsi="宋体" w:eastAsia="宋体" w:cs="宋体"/>
          <w:color w:val="000000" w:themeColor="text1"/>
          <w:szCs w:val="21"/>
          <w:highlight w:val="none"/>
          <w:lang w:val="zh-CN"/>
          <w14:textFill>
            <w14:solidFill>
              <w14:schemeClr w14:val="tx1"/>
            </w14:solidFill>
          </w14:textFill>
        </w:rPr>
        <w:t>）我方同意按照贵方可能提出的要求而提供与投标有关的任何其它数据或信息；</w:t>
      </w:r>
    </w:p>
    <w:p w14:paraId="3BA58F9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七</w:t>
      </w:r>
      <w:r>
        <w:rPr>
          <w:rFonts w:hint="eastAsia" w:ascii="宋体" w:hAnsi="宋体" w:eastAsia="宋体" w:cs="宋体"/>
          <w:color w:val="000000" w:themeColor="text1"/>
          <w:szCs w:val="21"/>
          <w:highlight w:val="none"/>
          <w:lang w:val="zh-CN"/>
          <w14:textFill>
            <w14:solidFill>
              <w14:schemeClr w14:val="tx1"/>
            </w14:solidFill>
          </w14:textFill>
        </w:rPr>
        <w:t>）我方理解贵方不一定接受最低报价或任何贵方可能收到的报价；</w:t>
      </w:r>
    </w:p>
    <w:p w14:paraId="25C4678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lang w:val="zh-CN"/>
          <w14:textFill>
            <w14:solidFill>
              <w14:schemeClr w14:val="tx1"/>
            </w14:solidFill>
          </w14:textFill>
        </w:rPr>
        <w:t>）我方如果中标，将保证履行招标文件以及招标文件修改书（如有）中的全部责任和义务，按质、按量、按期完成《合同书》中的全部任务；</w:t>
      </w:r>
    </w:p>
    <w:p w14:paraId="15D5A72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九</w:t>
      </w:r>
      <w:r>
        <w:rPr>
          <w:rFonts w:hint="eastAsia" w:ascii="宋体" w:hAnsi="宋体" w:eastAsia="宋体" w:cs="宋体"/>
          <w:color w:val="000000" w:themeColor="text1"/>
          <w:szCs w:val="21"/>
          <w:highlight w:val="none"/>
          <w:lang w:val="zh-CN"/>
          <w14:textFill>
            <w14:solidFill>
              <w14:schemeClr w14:val="tx1"/>
            </w14:solidFill>
          </w14:textFill>
        </w:rPr>
        <w:t>）保证投标文件中所有资料均真实有效，否则按无效投标处理或可取消中标资格，并愿意接受按弄虚作假骗取中标的有关规定进行处理，并不予退还我方投标保证金；</w:t>
      </w:r>
    </w:p>
    <w:p w14:paraId="165B1EF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十</w:t>
      </w:r>
      <w:r>
        <w:rPr>
          <w:rFonts w:hint="eastAsia" w:ascii="宋体" w:hAnsi="宋体" w:eastAsia="宋体" w:cs="宋体"/>
          <w:color w:val="000000" w:themeColor="text1"/>
          <w:szCs w:val="21"/>
          <w:highlight w:val="none"/>
          <w:lang w:val="zh-CN"/>
          <w14:textFill>
            <w14:solidFill>
              <w14:schemeClr w14:val="tx1"/>
            </w14:solidFill>
          </w14:textFill>
        </w:rPr>
        <w:t>）若我方中标后，我方一定按照招标文件的要求和投标文件的承诺签订和履行合同，否则贵方可取消我方中标资格，并依法不予退还我方投标保证金或履约担保，我方愿意接受违约处罚；</w:t>
      </w:r>
    </w:p>
    <w:p w14:paraId="77B1B04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lang w:val="zh-CN"/>
          <w14:textFill>
            <w14:solidFill>
              <w14:schemeClr w14:val="tx1"/>
            </w14:solidFill>
          </w14:textFill>
        </w:rPr>
        <w:t>）若我方中标后，核查出投标文件内容前后不一致，我方愿按最高标准的承诺履约义务；</w:t>
      </w:r>
    </w:p>
    <w:p w14:paraId="7B20B12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bookmarkStart w:id="515" w:name="_Toc3743"/>
      <w:r>
        <w:rPr>
          <w:rFonts w:hint="eastAsia" w:ascii="宋体" w:hAnsi="宋体" w:eastAsia="宋体" w:cs="宋体"/>
          <w:color w:val="000000" w:themeColor="text1"/>
          <w:szCs w:val="21"/>
          <w:highlight w:val="none"/>
          <w:lang w:val="zh-CN"/>
          <w14:textFill>
            <w14:solidFill>
              <w14:schemeClr w14:val="tx1"/>
            </w14:solidFill>
          </w14:textFill>
        </w:rPr>
        <w:t>（十</w:t>
      </w: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lang w:val="zh-CN"/>
          <w14:textFill>
            <w14:solidFill>
              <w14:schemeClr w14:val="tx1"/>
            </w14:solidFill>
          </w14:textFill>
        </w:rPr>
        <w:t>）所有与本投标有关的函件请发往下列地址：</w:t>
      </w:r>
      <w:bookmarkEnd w:id="515"/>
    </w:p>
    <w:p w14:paraId="66CD020D">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4BD82DA4">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B6A4CA0">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6F79CAA2">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28B6A1E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01C7A2A3">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p>
    <w:p w14:paraId="293D87B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6DB6F36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6135CDF8">
      <w:pPr>
        <w:autoSpaceDE w:val="0"/>
        <w:autoSpaceDN w:val="0"/>
        <w:adjustRightInd w:val="0"/>
        <w:spacing w:line="360" w:lineRule="auto"/>
        <w:ind w:firstLine="4960" w:firstLineChars="236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0A0D5822">
      <w:pPr>
        <w:tabs>
          <w:tab w:val="left" w:pos="567"/>
        </w:tabs>
        <w:autoSpaceDE w:val="0"/>
        <w:autoSpaceDN w:val="0"/>
        <w:adjustRightInd w:val="0"/>
        <w:spacing w:line="360" w:lineRule="auto"/>
        <w:ind w:left="357" w:leftChars="-100" w:hanging="567"/>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1720B2A0">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516" w:name="_Toc533708122"/>
      <w:bookmarkStart w:id="517" w:name="_Toc102860412"/>
      <w:bookmarkStart w:id="518" w:name="_Toc104991869"/>
      <w:bookmarkStart w:id="519" w:name="_Toc28613_WPSOffice_Level2"/>
      <w:bookmarkStart w:id="520" w:name="_Toc30995"/>
      <w:bookmarkStart w:id="521" w:name="_Toc12417"/>
      <w:bookmarkStart w:id="522" w:name="_Toc140596922"/>
      <w:bookmarkStart w:id="523" w:name="_Toc94107203"/>
      <w:bookmarkStart w:id="524" w:name="_Toc102860068"/>
      <w:bookmarkStart w:id="525" w:name="_Toc1977722"/>
      <w:bookmarkStart w:id="526" w:name="_Toc486167710"/>
      <w:bookmarkStart w:id="527" w:name="_Toc3104"/>
      <w:bookmarkStart w:id="528" w:name="_Toc142508363"/>
    </w:p>
    <w:p w14:paraId="63A89664">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529" w:name="_Toc211622204"/>
      <w:bookmarkStart w:id="530" w:name="_Toc2950"/>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95E859F">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投标承诺书</w:t>
      </w:r>
    </w:p>
    <w:p w14:paraId="36921581">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2AF20EEA">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（投标人名称）已完整阅读了</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000000" w:themeColor="text1"/>
          <w:kern w:val="0"/>
          <w:szCs w:val="21"/>
          <w:highlight w:val="none"/>
          <w14:textFill>
            <w14:solidFill>
              <w14:schemeClr w14:val="tx1"/>
            </w14:solidFill>
          </w14:textFill>
        </w:rPr>
        <w:cr/>
      </w:r>
      <w:r>
        <w:rPr>
          <w:rFonts w:hint="eastAsia" w:ascii="宋体" w:hAnsi="宋体" w:eastAsia="宋体" w:cs="宋体"/>
          <w:color w:val="000000" w:themeColor="text1"/>
          <w:kern w:val="0"/>
          <w:szCs w:val="21"/>
          <w:highlight w:val="none"/>
          <w14:textFill>
            <w14:solidFill>
              <w14:schemeClr w14:val="tx1"/>
            </w14:solidFill>
          </w14:textFill>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C7D9CC1">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31.2款约定按时提供原件核查的，因此导致我方无法参与东莞市水务环境投资控股集团有限公司相关招标采购活动的，由我方自行承担全部后果。</w:t>
      </w:r>
    </w:p>
    <w:p w14:paraId="07FDC0C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1EB32F1C">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7215D0E9">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688A964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1D73684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267A9A25">
      <w:pPr>
        <w:autoSpaceDE w:val="0"/>
        <w:autoSpaceDN w:val="0"/>
        <w:adjustRightInd w:val="0"/>
        <w:spacing w:line="360" w:lineRule="auto"/>
        <w:ind w:firstLine="4960" w:firstLineChars="236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43719003">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7F2A0061">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18123B6B">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62393714">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273CB1AD">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531" w:name="_Toc316896755"/>
      <w:bookmarkStart w:id="532" w:name="_Toc311032584"/>
      <w:bookmarkStart w:id="533" w:name="_Toc326768876"/>
    </w:p>
    <w:p w14:paraId="57FEFB08">
      <w:pPr>
        <w:pageBreakBefore/>
        <w:autoSpaceDE w:val="0"/>
        <w:autoSpaceDN w:val="0"/>
        <w:adjustRightInd w:val="0"/>
        <w:spacing w:line="360" w:lineRule="auto"/>
        <w:jc w:val="left"/>
        <w:outlineLvl w:val="1"/>
        <w:rPr>
          <w:rFonts w:ascii="宋体" w:hAnsi="宋体" w:eastAsia="宋体" w:cs="宋体"/>
          <w:b/>
          <w:color w:val="000000" w:themeColor="text1"/>
          <w:kern w:val="44"/>
          <w:sz w:val="32"/>
          <w:szCs w:val="32"/>
          <w:highlight w:val="none"/>
          <w14:textFill>
            <w14:solidFill>
              <w14:schemeClr w14:val="tx1"/>
            </w14:solidFill>
          </w14:textFill>
        </w:rPr>
      </w:pPr>
      <w:bookmarkStart w:id="534" w:name="_Toc102860413"/>
      <w:bookmarkStart w:id="535" w:name="_Toc94107204"/>
      <w:bookmarkStart w:id="536" w:name="_Toc24336"/>
      <w:bookmarkStart w:id="537" w:name="_Toc102860069"/>
      <w:bookmarkStart w:id="538" w:name="_Toc82182546"/>
      <w:bookmarkStart w:id="539" w:name="_Toc104991870"/>
      <w:bookmarkStart w:id="540" w:name="_Toc211622205"/>
      <w:bookmarkStart w:id="541" w:name="_Toc140596923"/>
      <w:bookmarkStart w:id="542" w:name="_Toc5075"/>
      <w:bookmarkStart w:id="543" w:name="_Toc29910"/>
      <w:bookmarkStart w:id="544" w:name="_Toc142508364"/>
      <w:bookmarkStart w:id="545" w:name="_Toc86764083"/>
      <w:bookmarkStart w:id="546" w:name="_Toc21554"/>
      <w:bookmarkStart w:id="547" w:name="_Toc533708123"/>
      <w:bookmarkStart w:id="548" w:name="_Toc1977723"/>
      <w:bookmarkStart w:id="549" w:name="_Toc7024_WPSOffice_Level2"/>
      <w:bookmarkStart w:id="550" w:name="_Toc486167711"/>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1BB63BA9">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2018CF1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05133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379F633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BE5B24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10C69CE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1FBC20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1EAC44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2800A0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0F5815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3140783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3514512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A7FEE0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713A22B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70A6B2C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2237020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6D524FE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493F673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11A6629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6CBDE6C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45986E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073D1CB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128EA8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570355B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5074FA06">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bookmarkStart w:id="551" w:name="_Toc18346"/>
      <w:bookmarkStart w:id="552" w:name="_Toc13416"/>
      <w:bookmarkStart w:id="553" w:name="_Toc104991872"/>
      <w:bookmarkStart w:id="554" w:name="_Toc140596925"/>
      <w:bookmarkStart w:id="555" w:name="_Toc102860071"/>
      <w:bookmarkStart w:id="556" w:name="_Toc142508366"/>
      <w:bookmarkStart w:id="557" w:name="_Toc102860415"/>
      <w:bookmarkStart w:id="558" w:name="_Toc94107206"/>
      <w:bookmarkStart w:id="559" w:name="_Toc1140"/>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7A6515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2B9ABF6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（电子签名）</w:t>
      </w:r>
    </w:p>
    <w:p w14:paraId="2E8CAB7A">
      <w:pPr>
        <w:autoSpaceDE w:val="0"/>
        <w:autoSpaceDN w:val="0"/>
        <w:adjustRightInd w:val="0"/>
        <w:spacing w:line="360" w:lineRule="auto"/>
        <w:ind w:firstLine="4960" w:firstLineChars="236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7118FC4F">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说明：由投标人使用投标人的企业数字证书，法定代表人或其授权代表数字证书电子签名。</w:t>
      </w:r>
    </w:p>
    <w:p w14:paraId="6611C3BC">
      <w:pPr>
        <w:pageBreakBefore/>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560" w:name="_Toc32628"/>
      <w:bookmarkStart w:id="561" w:name="_Toc211622206"/>
      <w:r>
        <w:rPr>
          <w:rFonts w:hint="eastAsia" w:ascii="宋体" w:hAnsi="宋体" w:eastAsia="宋体" w:cs="宋体"/>
          <w:b/>
          <w:color w:val="000000" w:themeColor="text1"/>
          <w:kern w:val="0"/>
          <w:sz w:val="32"/>
          <w:szCs w:val="32"/>
          <w:highlight w:val="none"/>
          <w14:textFill>
            <w14:solidFill>
              <w14:schemeClr w14:val="tx1"/>
            </w14:solidFill>
          </w14:textFill>
        </w:rPr>
        <w:t>四、</w:t>
      </w:r>
      <w:bookmarkEnd w:id="547"/>
      <w:bookmarkEnd w:id="548"/>
      <w:bookmarkEnd w:id="549"/>
      <w:bookmarkEnd w:id="550"/>
      <w:bookmarkEnd w:id="551"/>
      <w:bookmarkEnd w:id="552"/>
      <w:bookmarkEnd w:id="553"/>
      <w:bookmarkEnd w:id="554"/>
      <w:bookmarkEnd w:id="555"/>
      <w:bookmarkEnd w:id="556"/>
      <w:bookmarkEnd w:id="557"/>
      <w:bookmarkEnd w:id="558"/>
      <w:bookmarkEnd w:id="559"/>
      <w:bookmarkStart w:id="562" w:name="_Toc102860418"/>
      <w:bookmarkStart w:id="563" w:name="_Toc94107209"/>
      <w:bookmarkStart w:id="564" w:name="_Toc104991875"/>
      <w:bookmarkStart w:id="565" w:name="_Toc1977725"/>
      <w:bookmarkStart w:id="566" w:name="_Toc23083"/>
      <w:bookmarkStart w:id="567" w:name="_Toc26516"/>
      <w:bookmarkStart w:id="568" w:name="_Toc142508369"/>
      <w:bookmarkStart w:id="569" w:name="_Toc102860074"/>
      <w:bookmarkStart w:id="570" w:name="_Toc140596928"/>
      <w:bookmarkStart w:id="571" w:name="_Toc6190"/>
      <w:bookmarkStart w:id="572" w:name="_Toc20759_WPSOffice_Level2"/>
      <w:bookmarkStart w:id="573" w:name="_Toc486167712"/>
      <w:bookmarkStart w:id="574" w:name="_Toc533708124"/>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560"/>
      <w:bookmarkEnd w:id="561"/>
      <w:bookmarkEnd w:id="562"/>
      <w:bookmarkEnd w:id="563"/>
      <w:bookmarkEnd w:id="564"/>
      <w:bookmarkEnd w:id="565"/>
      <w:bookmarkEnd w:id="566"/>
      <w:bookmarkEnd w:id="567"/>
      <w:bookmarkEnd w:id="568"/>
      <w:bookmarkEnd w:id="569"/>
      <w:bookmarkEnd w:id="570"/>
      <w:bookmarkEnd w:id="571"/>
    </w:p>
    <w:p w14:paraId="2D485BC6">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75" w:name="_Toc102860419"/>
      <w:bookmarkStart w:id="576" w:name="_Toc17358"/>
      <w:bookmarkStart w:id="577" w:name="_Toc140596929"/>
      <w:bookmarkStart w:id="578" w:name="_Toc94107210"/>
      <w:bookmarkStart w:id="579" w:name="_Toc104991876"/>
      <w:bookmarkStart w:id="580" w:name="_Toc102860075"/>
      <w:bookmarkStart w:id="581" w:name="_Toc142508370"/>
      <w:bookmarkStart w:id="582" w:name="_Toc25267"/>
      <w:bookmarkStart w:id="583" w:name="_Toc29874"/>
      <w:bookmarkStart w:id="584" w:name="_Toc211622207"/>
      <w:bookmarkStart w:id="585" w:name="_Toc4814"/>
      <w:bookmarkStart w:id="586" w:name="_Toc1977726"/>
      <w:r>
        <w:rPr>
          <w:rFonts w:hint="eastAsia" w:ascii="宋体" w:hAnsi="宋体" w:eastAsia="宋体" w:cs="宋体"/>
          <w:b/>
          <w:color w:val="000000" w:themeColor="text1"/>
          <w:kern w:val="0"/>
          <w:sz w:val="30"/>
          <w:szCs w:val="30"/>
          <w:highlight w:val="none"/>
          <w14:textFill>
            <w14:solidFill>
              <w14:schemeClr w14:val="tx1"/>
            </w14:solidFill>
          </w14:textFill>
        </w:rPr>
        <w:t>4.1 多证合一营业执照（或事业单位法人证书）</w:t>
      </w:r>
      <w:bookmarkEnd w:id="575"/>
      <w:bookmarkEnd w:id="576"/>
      <w:bookmarkEnd w:id="577"/>
      <w:bookmarkEnd w:id="578"/>
      <w:bookmarkEnd w:id="579"/>
      <w:bookmarkEnd w:id="580"/>
      <w:bookmarkEnd w:id="581"/>
      <w:bookmarkEnd w:id="582"/>
      <w:bookmarkEnd w:id="583"/>
      <w:r>
        <w:rPr>
          <w:rFonts w:hint="eastAsia" w:ascii="宋体" w:hAnsi="宋体" w:eastAsia="宋体" w:cs="宋体"/>
          <w:b/>
          <w:color w:val="000000" w:themeColor="text1"/>
          <w:kern w:val="0"/>
          <w:sz w:val="30"/>
          <w:szCs w:val="30"/>
          <w:highlight w:val="none"/>
          <w14:textFill>
            <w14:solidFill>
              <w14:schemeClr w14:val="tx1"/>
            </w14:solidFill>
          </w14:textFill>
        </w:rPr>
        <w:t>原件扫描件</w:t>
      </w:r>
      <w:bookmarkEnd w:id="584"/>
      <w:bookmarkEnd w:id="585"/>
    </w:p>
    <w:p w14:paraId="43EE22E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6B0C3F1">
      <w:pPr>
        <w:tabs>
          <w:tab w:val="left" w:pos="567"/>
        </w:tabs>
        <w:autoSpaceDE w:val="0"/>
        <w:autoSpaceDN w:val="0"/>
        <w:adjustRightInd w:val="0"/>
        <w:spacing w:line="360" w:lineRule="auto"/>
        <w:ind w:firstLine="316" w:firstLineChars="150"/>
        <w:jc w:val="left"/>
        <w:rPr>
          <w:rFonts w:ascii="宋体" w:hAnsi="宋体" w:eastAsia="宋体" w:cs="宋体"/>
          <w:b/>
          <w:color w:val="000000" w:themeColor="text1"/>
          <w:kern w:val="0"/>
          <w:szCs w:val="21"/>
          <w:highlight w:val="none"/>
          <w14:textFill>
            <w14:solidFill>
              <w14:schemeClr w14:val="tx1"/>
            </w14:solidFill>
          </w14:textFill>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p>
    <w:p w14:paraId="5161C2E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87" w:name="_Toc142508371"/>
      <w:bookmarkStart w:id="588" w:name="_Toc140596930"/>
      <w:bookmarkStart w:id="589" w:name="_Toc94107211"/>
      <w:bookmarkStart w:id="590" w:name="_Toc7756"/>
      <w:bookmarkStart w:id="591" w:name="_Toc104991877"/>
      <w:bookmarkStart w:id="592" w:name="_Toc25013"/>
      <w:bookmarkStart w:id="593" w:name="_Toc27861"/>
      <w:bookmarkStart w:id="594" w:name="_Toc102860420"/>
      <w:bookmarkStart w:id="595" w:name="_Toc102860076"/>
      <w:bookmarkStart w:id="596" w:name="_Toc211622208"/>
      <w:bookmarkStart w:id="597" w:name="_Toc27273"/>
      <w:r>
        <w:rPr>
          <w:rFonts w:hint="eastAsia" w:ascii="宋体" w:hAnsi="宋体" w:eastAsia="宋体" w:cs="宋体"/>
          <w:b/>
          <w:color w:val="000000" w:themeColor="text1"/>
          <w:kern w:val="0"/>
          <w:sz w:val="30"/>
          <w:szCs w:val="30"/>
          <w:highlight w:val="none"/>
          <w14:textFill>
            <w14:solidFill>
              <w14:schemeClr w14:val="tx1"/>
            </w14:solidFill>
          </w14:textFill>
        </w:rPr>
        <w:t xml:space="preserve">4.2 </w:t>
      </w:r>
      <w:bookmarkEnd w:id="587"/>
      <w:bookmarkEnd w:id="588"/>
      <w:bookmarkEnd w:id="589"/>
      <w:bookmarkEnd w:id="590"/>
      <w:bookmarkEnd w:id="591"/>
      <w:bookmarkEnd w:id="592"/>
      <w:bookmarkEnd w:id="593"/>
      <w:bookmarkEnd w:id="594"/>
      <w:bookmarkEnd w:id="595"/>
      <w:r>
        <w:rPr>
          <w:rFonts w:hint="eastAsia" w:ascii="宋体" w:hAnsi="宋体" w:eastAsia="宋体" w:cs="宋体"/>
          <w:b/>
          <w:color w:val="000000" w:themeColor="text1"/>
          <w:kern w:val="0"/>
          <w:sz w:val="30"/>
          <w:szCs w:val="30"/>
          <w:highlight w:val="none"/>
          <w14:textFill>
            <w14:solidFill>
              <w14:schemeClr w14:val="tx1"/>
            </w14:solidFill>
          </w14:textFill>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96"/>
      <w:bookmarkEnd w:id="597"/>
    </w:p>
    <w:p w14:paraId="1504A0D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598" w:name="_Toc142508372"/>
      <w:bookmarkStart w:id="599" w:name="_Toc94107212"/>
      <w:bookmarkStart w:id="600" w:name="_Toc102860421"/>
      <w:bookmarkStart w:id="601" w:name="_Toc31343"/>
      <w:bookmarkStart w:id="602" w:name="_Toc9132"/>
      <w:bookmarkStart w:id="603" w:name="_Toc102860077"/>
      <w:bookmarkStart w:id="604" w:name="_Toc7441"/>
      <w:bookmarkStart w:id="605" w:name="_Toc104991878"/>
      <w:bookmarkStart w:id="606" w:name="_Toc211622209"/>
      <w:bookmarkStart w:id="607" w:name="_Toc17499"/>
      <w:bookmarkStart w:id="608" w:name="_Toc140596931"/>
      <w:r>
        <w:rPr>
          <w:rFonts w:hint="eastAsia" w:ascii="宋体" w:hAnsi="宋体" w:eastAsia="宋体" w:cs="宋体"/>
          <w:b/>
          <w:color w:val="000000" w:themeColor="text1"/>
          <w:kern w:val="0"/>
          <w:sz w:val="30"/>
          <w:szCs w:val="30"/>
          <w:highlight w:val="none"/>
          <w14:textFill>
            <w14:solidFill>
              <w14:schemeClr w14:val="tx1"/>
            </w14:solidFill>
          </w14:textFill>
        </w:rPr>
        <w:t>4.3 法定代表人身份证明书、法定代表人授权书格式（法定代表人投标时只需提供法定代表人身份证明书，委托他人为投标代表或签署投标文件时需同时提供法定代表人授权书）</w:t>
      </w:r>
      <w:bookmarkEnd w:id="598"/>
      <w:bookmarkEnd w:id="599"/>
      <w:bookmarkEnd w:id="600"/>
      <w:bookmarkEnd w:id="601"/>
      <w:bookmarkEnd w:id="602"/>
      <w:bookmarkEnd w:id="603"/>
      <w:bookmarkEnd w:id="604"/>
      <w:bookmarkEnd w:id="605"/>
      <w:bookmarkEnd w:id="606"/>
      <w:bookmarkEnd w:id="607"/>
      <w:bookmarkEnd w:id="608"/>
    </w:p>
    <w:p w14:paraId="42BCE110">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572"/>
      <w:bookmarkEnd w:id="573"/>
      <w:bookmarkEnd w:id="574"/>
      <w:bookmarkEnd w:id="586"/>
    </w:p>
    <w:p w14:paraId="07D0333E">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60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610" w:name="_Toc45995270"/>
      <w:bookmarkStart w:id="611"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609"/>
    </w:p>
    <w:bookmarkEnd w:id="610"/>
    <w:bookmarkEnd w:id="611"/>
    <w:p w14:paraId="0FC62A5C">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6E0788C6">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1901EE1">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9B7B7FE">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284683DC">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08E7614E">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09CC510E">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 法定代表人身份证原件扫描件</w:t>
      </w:r>
    </w:p>
    <w:p w14:paraId="5480AF18">
      <w:pPr>
        <w:snapToGrid w:val="0"/>
        <w:spacing w:line="360" w:lineRule="auto"/>
        <w:ind w:firstLine="3465" w:firstLineChars="1650"/>
        <w:rPr>
          <w:rFonts w:ascii="宋体" w:hAnsi="宋体" w:eastAsia="宋体" w:cs="宋体"/>
          <w:color w:val="000000" w:themeColor="text1"/>
          <w:kern w:val="3"/>
          <w:szCs w:val="24"/>
          <w:highlight w:val="none"/>
          <w14:textFill>
            <w14:solidFill>
              <w14:schemeClr w14:val="tx1"/>
            </w14:solidFill>
          </w14:textFill>
        </w:rPr>
      </w:pPr>
    </w:p>
    <w:p w14:paraId="35B1DD2D">
      <w:pPr>
        <w:snapToGrid w:val="0"/>
        <w:spacing w:line="360" w:lineRule="auto"/>
        <w:ind w:firstLine="3465" w:firstLineChars="1650"/>
        <w:rPr>
          <w:rFonts w:ascii="宋体" w:hAnsi="宋体" w:eastAsia="宋体" w:cs="宋体"/>
          <w:color w:val="000000" w:themeColor="text1"/>
          <w:kern w:val="3"/>
          <w:szCs w:val="24"/>
          <w:highlight w:val="none"/>
          <w:u w:val="single"/>
          <w14:textFill>
            <w14:solidFill>
              <w14:schemeClr w14:val="tx1"/>
            </w14:solidFill>
          </w14:textFill>
        </w:rPr>
      </w:pPr>
      <w:r>
        <w:rPr>
          <w:rFonts w:hint="eastAsia" w:ascii="宋体" w:hAnsi="宋体" w:eastAsia="宋体" w:cs="宋体"/>
          <w:color w:val="000000" w:themeColor="text1"/>
          <w:kern w:val="3"/>
          <w:szCs w:val="24"/>
          <w:highlight w:val="none"/>
          <w14:textFill>
            <w14:solidFill>
              <w14:schemeClr w14:val="tx1"/>
            </w14:solidFill>
          </w14:textFill>
        </w:rPr>
        <w:t>投 标 人：</w:t>
      </w:r>
      <w:r>
        <w:rPr>
          <w:rFonts w:hint="eastAsia" w:ascii="宋体" w:hAnsi="宋体" w:eastAsia="宋体" w:cs="宋体"/>
          <w:color w:val="000000" w:themeColor="text1"/>
          <w:kern w:val="3"/>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（企业数字证书电子签名）</w:t>
      </w:r>
    </w:p>
    <w:p w14:paraId="00EC0CC0">
      <w:pPr>
        <w:spacing w:before="120" w:after="120" w:line="360" w:lineRule="auto"/>
        <w:ind w:left="340" w:leftChars="162" w:firstLine="474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3310B2B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4F44F7"/>
                          <w:p w14:paraId="175154C8"/>
                          <w:p w14:paraId="1DF34B52"/>
                          <w:p w14:paraId="372A273F"/>
                          <w:p w14:paraId="149722F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F4F44F7"/>
                    <w:p w14:paraId="175154C8"/>
                    <w:p w14:paraId="1DF34B52"/>
                    <w:p w14:paraId="372A273F"/>
                    <w:p w14:paraId="149722F2">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3C4766"/>
                          <w:p w14:paraId="61AFEBAE"/>
                          <w:p w14:paraId="264B1A61"/>
                          <w:p w14:paraId="330A8783"/>
                          <w:p w14:paraId="79561F0A">
                            <w:pPr>
                              <w:jc w:val="center"/>
                              <w:rPr>
                                <w:szCs w:val="21"/>
                              </w:rPr>
                            </w:pPr>
                            <w:r>
                              <w:rPr>
                                <w:rFonts w:hint="eastAsia"/>
                                <w:szCs w:val="21"/>
                              </w:rPr>
                              <w:t>法定代表人身份证反面</w:t>
                            </w:r>
                          </w:p>
                          <w:p w14:paraId="7C543E1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83C4766"/>
                    <w:p w14:paraId="61AFEBAE"/>
                    <w:p w14:paraId="264B1A61"/>
                    <w:p w14:paraId="330A8783"/>
                    <w:p w14:paraId="79561F0A">
                      <w:pPr>
                        <w:jc w:val="center"/>
                        <w:rPr>
                          <w:szCs w:val="21"/>
                        </w:rPr>
                      </w:pPr>
                      <w:r>
                        <w:rPr>
                          <w:rFonts w:hint="eastAsia"/>
                          <w:szCs w:val="21"/>
                        </w:rPr>
                        <w:t>法定代表人身份证反面</w:t>
                      </w:r>
                    </w:p>
                    <w:p w14:paraId="7C543E10">
                      <w:pPr>
                        <w:jc w:val="center"/>
                        <w:rPr>
                          <w:szCs w:val="21"/>
                        </w:rPr>
                      </w:pPr>
                    </w:p>
                  </w:txbxContent>
                </v:textbox>
              </v:shape>
            </w:pict>
          </mc:Fallback>
        </mc:AlternateContent>
      </w: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570AC66"/>
                          <w:p w14:paraId="0316954C"/>
                          <w:p w14:paraId="6FC98627"/>
                          <w:p w14:paraId="22D1951B"/>
                          <w:p w14:paraId="2D288E7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570AC66"/>
                    <w:p w14:paraId="0316954C"/>
                    <w:p w14:paraId="6FC98627"/>
                    <w:p w14:paraId="22D1951B"/>
                    <w:p w14:paraId="2D288E71">
                      <w:pPr>
                        <w:jc w:val="center"/>
                      </w:pPr>
                      <w:r>
                        <w:rPr>
                          <w:rFonts w:hint="eastAsia"/>
                        </w:rPr>
                        <w:t>身份证正面</w:t>
                      </w:r>
                    </w:p>
                  </w:txbxContent>
                </v:textbox>
              </v:shape>
            </w:pict>
          </mc:Fallback>
        </mc:AlternateContent>
      </w:r>
    </w:p>
    <w:p w14:paraId="29228D3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4A35A6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A9B7CB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01D4E0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59C998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972E7C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7C5FAD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E1A19F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2A7D05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AE4211E">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6E93FE6E">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184D440A">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13ECC884">
      <w:pPr>
        <w:autoSpaceDE w:val="0"/>
        <w:autoSpaceDN w:val="0"/>
        <w:adjustRightInd w:val="0"/>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说明：由投标人使用投标人的企业数字证书电子签名。</w:t>
      </w:r>
    </w:p>
    <w:p w14:paraId="5E33456E">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40D9946F">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531"/>
      <w:bookmarkEnd w:id="532"/>
      <w:bookmarkEnd w:id="533"/>
      <w:bookmarkStart w:id="612" w:name="_Toc1977727"/>
      <w:bookmarkStart w:id="613" w:name="_Toc486167713"/>
      <w:bookmarkStart w:id="614" w:name="_Toc533708125"/>
      <w:bookmarkStart w:id="615" w:name="_Toc6240_WPSOffice_Level2"/>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612"/>
      <w:bookmarkEnd w:id="613"/>
      <w:bookmarkEnd w:id="614"/>
      <w:bookmarkEnd w:id="615"/>
    </w:p>
    <w:p w14:paraId="79993FFB">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7FA22A07">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1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616"/>
    </w:p>
    <w:p w14:paraId="375587E9">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2F2B4596">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致：东莞市众源环境投资有限公司</w:t>
      </w:r>
    </w:p>
    <w:p w14:paraId="66B09B18">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61C95891">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0475A909">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7AE2ED1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（企业数字证书电子签名）</w:t>
      </w:r>
    </w:p>
    <w:p w14:paraId="56E24A1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2CABB95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（电子签名）</w:t>
      </w:r>
    </w:p>
    <w:p w14:paraId="53A9DEC7">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36195BD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（电子签名）</w:t>
      </w:r>
    </w:p>
    <w:p w14:paraId="3F782D51">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43AC9BBB">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26AACDD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4BA8ABAA">
      <w:pPr>
        <w:pStyle w:val="35"/>
        <w:widowControl w:val="0"/>
        <w:snapToGrid w:val="0"/>
        <w:spacing w:before="0" w:beforeAutospacing="0" w:after="0" w:afterAutospacing="0" w:line="360" w:lineRule="auto"/>
        <w:jc w:val="center"/>
        <w:rPr>
          <w:rFonts w:eastAsia="宋体" w:cs="宋体"/>
          <w:b/>
          <w:color w:val="000000" w:themeColor="text1"/>
          <w:sz w:val="21"/>
          <w:szCs w:val="21"/>
          <w:highlight w:val="none"/>
          <w:lang w:bidi="ar"/>
          <w14:textFill>
            <w14:solidFill>
              <w14:schemeClr w14:val="tx1"/>
            </w14:solidFill>
          </w14:textFill>
        </w:rPr>
      </w:pPr>
    </w:p>
    <w:p w14:paraId="53FAB11C">
      <w:pPr>
        <w:widowControl/>
        <w:autoSpaceDE w:val="0"/>
        <w:autoSpaceDN w:val="0"/>
        <w:spacing w:before="120" w:after="120" w:line="360" w:lineRule="auto"/>
        <w:ind w:right="781" w:rightChars="372" w:firstLine="422" w:firstLineChars="200"/>
        <w:jc w:val="center"/>
        <w:textAlignment w:val="bottom"/>
        <w:rPr>
          <w:rFonts w:ascii="宋体" w:hAnsi="宋体" w:eastAsia="宋体" w:cs="宋体"/>
          <w:b/>
          <w:bCs/>
          <w:color w:val="000000" w:themeColor="text1"/>
          <w:szCs w:val="21"/>
          <w:highlight w:val="none"/>
          <w:u w:val="single"/>
          <w:lang w:bidi="ar"/>
          <w14:textFill>
            <w14:solidFill>
              <w14:schemeClr w14:val="tx1"/>
            </w14:solidFill>
          </w14:textFill>
        </w:rPr>
      </w:pPr>
      <w:r>
        <w:rPr>
          <w:rFonts w:hint="eastAsia" w:ascii="宋体" w:hAnsi="宋体" w:eastAsia="宋体" w:cs="宋体"/>
          <w:b/>
          <w:bCs/>
          <w:color w:val="000000" w:themeColor="text1"/>
          <w:szCs w:val="21"/>
          <w:highlight w:val="none"/>
          <w:u w:val="single"/>
          <w:lang w:bidi="ar"/>
          <w14:textFill>
            <w14:solidFill>
              <w14:schemeClr w14:val="tx1"/>
            </w14:solidFill>
          </w14:textFill>
        </w:rPr>
        <w:t>说明：由投标人使用投标人的企业数字证书，法定代表人、其授权代表数字证书电子签名。</w:t>
      </w:r>
    </w:p>
    <w:p w14:paraId="3EF798D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p>
    <w:p w14:paraId="0C85E27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 法定代表人、被授权人身份证扫描件</w:t>
      </w:r>
    </w:p>
    <w:p w14:paraId="5FAF3B6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CAFAEA"/>
                          <w:p w14:paraId="682EF7FB"/>
                          <w:p w14:paraId="503DA463"/>
                          <w:p w14:paraId="58E14CD0"/>
                          <w:p w14:paraId="640876E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2CAFAEA"/>
                    <w:p w14:paraId="682EF7FB"/>
                    <w:p w14:paraId="503DA463"/>
                    <w:p w14:paraId="58E14CD0"/>
                    <w:p w14:paraId="640876E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B60D014"/>
                          <w:p w14:paraId="13470284"/>
                          <w:p w14:paraId="299739DB"/>
                          <w:p w14:paraId="49891C91"/>
                          <w:p w14:paraId="5D350A3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B60D014"/>
                    <w:p w14:paraId="13470284"/>
                    <w:p w14:paraId="299739DB"/>
                    <w:p w14:paraId="49891C91"/>
                    <w:p w14:paraId="5D350A36">
                      <w:pPr>
                        <w:jc w:val="center"/>
                        <w:rPr>
                          <w:rFonts w:hAnsi="宋体"/>
                        </w:rPr>
                      </w:pPr>
                      <w:r>
                        <w:rPr>
                          <w:rFonts w:hint="eastAsia" w:hAnsi="宋体"/>
                        </w:rPr>
                        <w:t>法定代表人身份证正面</w:t>
                      </w:r>
                    </w:p>
                  </w:txbxContent>
                </v:textbox>
              </v:shape>
            </w:pict>
          </mc:Fallback>
        </mc:AlternateContent>
      </w:r>
    </w:p>
    <w:p w14:paraId="2B92D4E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DF3C7A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1C56FF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C85621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2ED80E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F3384C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20FA00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F8EC5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A740FA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8396368"/>
                          <w:p w14:paraId="04FB8D40">
                            <w:pPr>
                              <w:jc w:val="center"/>
                              <w:rPr>
                                <w:rFonts w:hAnsi="宋体"/>
                                <w:color w:val="FF0000"/>
                              </w:rPr>
                            </w:pPr>
                          </w:p>
                          <w:p w14:paraId="3F908BBC">
                            <w:pPr>
                              <w:jc w:val="center"/>
                              <w:rPr>
                                <w:rFonts w:hAnsi="宋体"/>
                                <w:color w:val="FF0000"/>
                              </w:rPr>
                            </w:pPr>
                          </w:p>
                          <w:p w14:paraId="78D6C637">
                            <w:pPr>
                              <w:jc w:val="center"/>
                              <w:rPr>
                                <w:rFonts w:hAnsi="宋体"/>
                                <w:color w:val="FF0000"/>
                              </w:rPr>
                            </w:pPr>
                          </w:p>
                          <w:p w14:paraId="5CD650E5">
                            <w:pPr>
                              <w:jc w:val="center"/>
                            </w:pPr>
                            <w:r>
                              <w:rPr>
                                <w:rFonts w:hint="eastAsia" w:hAnsi="宋体"/>
                              </w:rPr>
                              <w:t>被授权人身份证反面</w:t>
                            </w:r>
                          </w:p>
                          <w:p w14:paraId="2C761887"/>
                          <w:p w14:paraId="687B59C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8396368"/>
                    <w:p w14:paraId="04FB8D40">
                      <w:pPr>
                        <w:jc w:val="center"/>
                        <w:rPr>
                          <w:rFonts w:hAnsi="宋体"/>
                          <w:color w:val="FF0000"/>
                        </w:rPr>
                      </w:pPr>
                    </w:p>
                    <w:p w14:paraId="3F908BBC">
                      <w:pPr>
                        <w:jc w:val="center"/>
                        <w:rPr>
                          <w:rFonts w:hAnsi="宋体"/>
                          <w:color w:val="FF0000"/>
                        </w:rPr>
                      </w:pPr>
                    </w:p>
                    <w:p w14:paraId="78D6C637">
                      <w:pPr>
                        <w:jc w:val="center"/>
                        <w:rPr>
                          <w:rFonts w:hAnsi="宋体"/>
                          <w:color w:val="FF0000"/>
                        </w:rPr>
                      </w:pPr>
                    </w:p>
                    <w:p w14:paraId="5CD650E5">
                      <w:pPr>
                        <w:jc w:val="center"/>
                      </w:pPr>
                      <w:r>
                        <w:rPr>
                          <w:rFonts w:hint="eastAsia" w:hAnsi="宋体"/>
                        </w:rPr>
                        <w:t>被授权人身份证反面</w:t>
                      </w:r>
                    </w:p>
                    <w:p w14:paraId="2C761887"/>
                    <w:p w14:paraId="687B59C8"/>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A3088F8"/>
                          <w:p w14:paraId="20AE722B">
                            <w:pPr>
                              <w:jc w:val="center"/>
                              <w:rPr>
                                <w:rFonts w:hAnsi="宋体"/>
                                <w:color w:val="FF0000"/>
                              </w:rPr>
                            </w:pPr>
                          </w:p>
                          <w:p w14:paraId="740C0E5D">
                            <w:pPr>
                              <w:jc w:val="center"/>
                              <w:rPr>
                                <w:rFonts w:hAnsi="宋体"/>
                                <w:color w:val="FF0000"/>
                              </w:rPr>
                            </w:pPr>
                          </w:p>
                          <w:p w14:paraId="05B140B3">
                            <w:pPr>
                              <w:jc w:val="center"/>
                              <w:rPr>
                                <w:rFonts w:hAnsi="宋体"/>
                                <w:color w:val="FF0000"/>
                              </w:rPr>
                            </w:pPr>
                          </w:p>
                          <w:p w14:paraId="503FE0BB">
                            <w:pPr>
                              <w:jc w:val="center"/>
                            </w:pPr>
                            <w:r>
                              <w:rPr>
                                <w:rFonts w:hint="eastAsia" w:hAnsi="宋体"/>
                              </w:rPr>
                              <w:t>被授权人身份证正面</w:t>
                            </w:r>
                          </w:p>
                          <w:p w14:paraId="5CD94EC6"/>
                          <w:p w14:paraId="5C3434C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A3088F8"/>
                    <w:p w14:paraId="20AE722B">
                      <w:pPr>
                        <w:jc w:val="center"/>
                        <w:rPr>
                          <w:rFonts w:hAnsi="宋体"/>
                          <w:color w:val="FF0000"/>
                        </w:rPr>
                      </w:pPr>
                    </w:p>
                    <w:p w14:paraId="740C0E5D">
                      <w:pPr>
                        <w:jc w:val="center"/>
                        <w:rPr>
                          <w:rFonts w:hAnsi="宋体"/>
                          <w:color w:val="FF0000"/>
                        </w:rPr>
                      </w:pPr>
                    </w:p>
                    <w:p w14:paraId="05B140B3">
                      <w:pPr>
                        <w:jc w:val="center"/>
                        <w:rPr>
                          <w:rFonts w:hAnsi="宋体"/>
                          <w:color w:val="FF0000"/>
                        </w:rPr>
                      </w:pPr>
                    </w:p>
                    <w:p w14:paraId="503FE0BB">
                      <w:pPr>
                        <w:jc w:val="center"/>
                      </w:pPr>
                      <w:r>
                        <w:rPr>
                          <w:rFonts w:hint="eastAsia" w:hAnsi="宋体"/>
                        </w:rPr>
                        <w:t>被授权人身份证正面</w:t>
                      </w:r>
                    </w:p>
                    <w:p w14:paraId="5CD94EC6"/>
                    <w:p w14:paraId="5C3434C5"/>
                  </w:txbxContent>
                </v:textbox>
              </v:shape>
            </w:pict>
          </mc:Fallback>
        </mc:AlternateContent>
      </w:r>
    </w:p>
    <w:p w14:paraId="3C00250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61FC78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CE86D8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736B93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D75565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3B9EF1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1BE205ED">
      <w:pPr>
        <w:rPr>
          <w:color w:val="000000" w:themeColor="text1"/>
          <w:highlight w:val="none"/>
          <w14:textFill>
            <w14:solidFill>
              <w14:schemeClr w14:val="tx1"/>
            </w14:solidFill>
          </w14:textFill>
        </w:rPr>
      </w:pPr>
    </w:p>
    <w:p w14:paraId="711BE9EE">
      <w:pPr>
        <w:pStyle w:val="18"/>
        <w:rPr>
          <w:color w:val="000000" w:themeColor="text1"/>
          <w:highlight w:val="none"/>
          <w14:textFill>
            <w14:solidFill>
              <w14:schemeClr w14:val="tx1"/>
            </w14:solidFill>
          </w14:textFill>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34FAD326">
      <w:pPr>
        <w:pStyle w:val="4"/>
        <w:pageBreakBefore/>
        <w:spacing w:line="360" w:lineRule="auto"/>
        <w:rPr>
          <w:rFonts w:hAnsi="宋体"/>
          <w:b/>
          <w:color w:val="000000" w:themeColor="text1"/>
          <w:sz w:val="30"/>
          <w:szCs w:val="30"/>
          <w:highlight w:val="none"/>
          <w:lang w:val="zh-CN"/>
          <w14:textFill>
            <w14:solidFill>
              <w14:schemeClr w14:val="tx1"/>
            </w14:solidFill>
          </w14:textFill>
        </w:rPr>
      </w:pPr>
      <w:bookmarkStart w:id="617" w:name="_Toc23386"/>
      <w:bookmarkStart w:id="618" w:name="_Toc16718"/>
      <w:bookmarkStart w:id="619" w:name="_Toc21968"/>
      <w:bookmarkStart w:id="620" w:name="_Toc31462"/>
      <w:bookmarkStart w:id="621" w:name="_Toc24618"/>
      <w:bookmarkStart w:id="622" w:name="_Toc211622212"/>
      <w:bookmarkStart w:id="623" w:name="_Toc12400"/>
      <w:bookmarkStart w:id="624" w:name="_Toc32328"/>
      <w:bookmarkStart w:id="625" w:name="_Toc15716"/>
      <w:bookmarkStart w:id="626" w:name="_Toc142508373"/>
      <w:bookmarkStart w:id="627" w:name="_Toc1977730"/>
      <w:bookmarkStart w:id="628" w:name="_Toc104991880"/>
      <w:bookmarkStart w:id="629" w:name="_Toc140596933"/>
      <w:bookmarkStart w:id="630" w:name="_Toc94107214"/>
      <w:r>
        <w:rPr>
          <w:rFonts w:hint="eastAsia" w:hAnsi="宋体" w:cs="宋体"/>
          <w:b/>
          <w:color w:val="000000" w:themeColor="text1"/>
          <w:sz w:val="30"/>
          <w:szCs w:val="30"/>
          <w:highlight w:val="none"/>
          <w14:textFill>
            <w14:solidFill>
              <w14:schemeClr w14:val="tx1"/>
            </w14:solidFill>
          </w14:textFill>
        </w:rPr>
        <w:t>4.</w:t>
      </w:r>
      <w:r>
        <w:rPr>
          <w:rFonts w:hint="eastAsia" w:hAnsi="宋体" w:cs="宋体"/>
          <w:b/>
          <w:color w:val="000000" w:themeColor="text1"/>
          <w:sz w:val="30"/>
          <w:szCs w:val="30"/>
          <w:highlight w:val="none"/>
          <w:lang w:val="en-US" w:eastAsia="zh-CN"/>
          <w14:textFill>
            <w14:solidFill>
              <w14:schemeClr w14:val="tx1"/>
            </w14:solidFill>
          </w14:textFill>
        </w:rPr>
        <w:t>4</w:t>
      </w:r>
      <w:r>
        <w:rPr>
          <w:rFonts w:hAnsi="宋体" w:cs="宋体"/>
          <w:b/>
          <w:color w:val="000000" w:themeColor="text1"/>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hAnsi="宋体"/>
          <w:b/>
          <w:bCs/>
          <w:color w:val="000000" w:themeColor="text1"/>
          <w:sz w:val="32"/>
          <w:szCs w:val="32"/>
          <w:highlight w:val="none"/>
          <w14:textFill>
            <w14:solidFill>
              <w14:schemeClr w14:val="tx1"/>
            </w14:solidFill>
          </w14:textFill>
        </w:rPr>
        <w:t>【</w:t>
      </w:r>
      <w:bookmarkEnd w:id="617"/>
      <w:bookmarkEnd w:id="618"/>
      <w:bookmarkEnd w:id="619"/>
      <w:bookmarkEnd w:id="620"/>
      <w:r>
        <w:rPr>
          <w:rFonts w:hint="eastAsia" w:hAnsi="宋体"/>
          <w:b/>
          <w:bCs/>
          <w:color w:val="000000" w:themeColor="text1"/>
          <w:sz w:val="32"/>
          <w:szCs w:val="32"/>
          <w:highlight w:val="none"/>
          <w14:textFill>
            <w14:solidFill>
              <w14:schemeClr w14:val="tx1"/>
            </w14:solidFill>
          </w14:textFill>
        </w:rPr>
        <w:t>投标人提供一份2022年1月1日以来污泥脱水减量化处理服务或污泥脱水减量配合服务业绩（合同签订日期为2022年1月1日或以后）】</w:t>
      </w:r>
      <w:bookmarkEnd w:id="621"/>
      <w:bookmarkEnd w:id="622"/>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3"/>
        <w:gridCol w:w="1050"/>
        <w:gridCol w:w="1052"/>
        <w:gridCol w:w="1052"/>
        <w:gridCol w:w="1224"/>
        <w:gridCol w:w="1052"/>
        <w:gridCol w:w="1052"/>
        <w:gridCol w:w="1052"/>
        <w:gridCol w:w="869"/>
      </w:tblGrid>
      <w:tr w14:paraId="0C5A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6" w:type="pct"/>
            <w:noWrap w:val="0"/>
            <w:vAlign w:val="center"/>
          </w:tcPr>
          <w:p w14:paraId="5A7E389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5" w:type="pct"/>
            <w:noWrap w:val="0"/>
            <w:vAlign w:val="center"/>
          </w:tcPr>
          <w:p w14:paraId="398DC07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76" w:type="pct"/>
            <w:noWrap w:val="0"/>
            <w:vAlign w:val="center"/>
          </w:tcPr>
          <w:p w14:paraId="17AC8DC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576" w:type="pct"/>
            <w:noWrap w:val="0"/>
            <w:vAlign w:val="center"/>
          </w:tcPr>
          <w:p w14:paraId="3A4763A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670" w:type="pct"/>
            <w:noWrap w:val="0"/>
            <w:vAlign w:val="center"/>
          </w:tcPr>
          <w:p w14:paraId="64E6CED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576" w:type="pct"/>
            <w:noWrap w:val="0"/>
            <w:vAlign w:val="center"/>
          </w:tcPr>
          <w:p w14:paraId="2E0A5DE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576" w:type="pct"/>
            <w:noWrap w:val="0"/>
            <w:vAlign w:val="center"/>
          </w:tcPr>
          <w:p w14:paraId="6D5D3DB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576" w:type="pct"/>
            <w:noWrap w:val="0"/>
            <w:vAlign w:val="center"/>
          </w:tcPr>
          <w:p w14:paraId="211B690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476" w:type="pct"/>
            <w:noWrap w:val="0"/>
            <w:vAlign w:val="center"/>
          </w:tcPr>
          <w:p w14:paraId="1751DF0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3D3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6F7225B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5" w:type="pct"/>
            <w:noWrap w:val="0"/>
            <w:vAlign w:val="center"/>
          </w:tcPr>
          <w:p w14:paraId="62884F4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270089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3B7F97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2B2A139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4821853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681AD53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A11188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noWrap w:val="0"/>
            <w:vAlign w:val="center"/>
          </w:tcPr>
          <w:p w14:paraId="379E9211">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893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3B42F91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5" w:type="pct"/>
            <w:noWrap w:val="0"/>
            <w:vAlign w:val="center"/>
          </w:tcPr>
          <w:p w14:paraId="5120AEB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1DD511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334104C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25C468C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5E2A9AF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DFD78A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207051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noWrap w:val="0"/>
            <w:vAlign w:val="center"/>
          </w:tcPr>
          <w:p w14:paraId="25CF6DE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A1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42F3A3A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5" w:type="pct"/>
            <w:noWrap w:val="0"/>
            <w:vAlign w:val="center"/>
          </w:tcPr>
          <w:p w14:paraId="34D9AB0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4633B5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4176DE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2303C29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3A9A9EB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125C13B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89AB83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noWrap w:val="0"/>
            <w:vAlign w:val="center"/>
          </w:tcPr>
          <w:p w14:paraId="36EAF4BA">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803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2E34047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75" w:type="pct"/>
            <w:noWrap w:val="0"/>
            <w:vAlign w:val="center"/>
          </w:tcPr>
          <w:p w14:paraId="07ED818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B78CAF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C15F4D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34D3EDE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23826C4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331D6F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2EB537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noWrap w:val="0"/>
            <w:vAlign w:val="center"/>
          </w:tcPr>
          <w:p w14:paraId="33F65D16">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4B64060">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112D435E">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12C84C7C">
      <w:pPr>
        <w:snapToGrid w:val="0"/>
        <w:spacing w:line="360" w:lineRule="auto"/>
        <w:ind w:left="399" w:leftChars="-58" w:hanging="521" w:hangingChars="247"/>
        <w:outlineLvl w:val="9"/>
        <w:rPr>
          <w:rFonts w:ascii="宋体" w:hAnsi="宋体" w:eastAsia="宋体" w:cs="宋体"/>
          <w:b/>
          <w:bCs w:val="0"/>
          <w:color w:val="000000" w:themeColor="text1"/>
          <w:szCs w:val="21"/>
          <w:highlight w:val="none"/>
          <w:lang w:val="zh-CN"/>
          <w14:textFill>
            <w14:solidFill>
              <w14:schemeClr w14:val="tx1"/>
            </w14:solidFill>
          </w14:textFill>
        </w:rPr>
      </w:pPr>
      <w:bookmarkStart w:id="631" w:name="_Toc27268"/>
      <w:bookmarkStart w:id="632" w:name="_Toc12802"/>
      <w:r>
        <w:rPr>
          <w:rFonts w:hint="eastAsia" w:ascii="宋体" w:hAnsi="宋体" w:eastAsia="宋体" w:cs="宋体"/>
          <w:b/>
          <w:bCs w:val="0"/>
          <w:color w:val="000000" w:themeColor="text1"/>
          <w:szCs w:val="21"/>
          <w:highlight w:val="none"/>
          <w14:textFill>
            <w14:solidFill>
              <w14:schemeClr w14:val="tx1"/>
            </w14:solidFill>
          </w14:textFill>
        </w:rPr>
        <w:t>（1）作为投标人资格条件证明的业绩放置在此处。</w:t>
      </w:r>
    </w:p>
    <w:p w14:paraId="3E10BF69">
      <w:pPr>
        <w:snapToGrid w:val="0"/>
        <w:spacing w:line="360" w:lineRule="auto"/>
        <w:ind w:left="399" w:leftChars="-58" w:hanging="521" w:hangingChars="247"/>
        <w:outlineLvl w:val="9"/>
        <w:rPr>
          <w:rFonts w:ascii="宋体" w:hAnsi="宋体" w:eastAsia="宋体" w:cs="宋体"/>
          <w:b/>
          <w:bCs w:val="0"/>
          <w:color w:val="000000" w:themeColor="text1"/>
          <w:szCs w:val="21"/>
          <w:highlight w:val="none"/>
          <w:u w:val="none"/>
          <w:lang w:val="zh-CN"/>
          <w14:textFill>
            <w14:solidFill>
              <w14:schemeClr w14:val="tx1"/>
            </w14:solidFill>
          </w14:textFill>
        </w:rPr>
      </w:pPr>
      <w:r>
        <w:rPr>
          <w:rFonts w:hint="eastAsia" w:ascii="宋体" w:hAnsi="宋体" w:eastAsia="宋体" w:cs="宋体"/>
          <w:b/>
          <w:bCs w:val="0"/>
          <w:color w:val="000000" w:themeColor="text1"/>
          <w:szCs w:val="21"/>
          <w:highlight w:val="none"/>
          <w:u w:val="none"/>
          <w14:textFill>
            <w14:solidFill>
              <w14:schemeClr w14:val="tx1"/>
            </w14:solidFill>
          </w14:textFill>
        </w:rPr>
        <w:t>（2）业绩必须附合同</w:t>
      </w:r>
      <w:r>
        <w:rPr>
          <w:rFonts w:hint="eastAsia" w:ascii="宋体" w:hAnsi="宋体" w:eastAsia="宋体" w:cs="宋体"/>
          <w:b/>
          <w:color w:val="000000" w:themeColor="text1"/>
          <w:szCs w:val="21"/>
          <w:highlight w:val="none"/>
          <w14:textFill>
            <w14:solidFill>
              <w14:schemeClr w14:val="tx1"/>
            </w14:solidFill>
          </w14:textFill>
        </w:rPr>
        <w:t>扫描件（合同服务提供方为投标人）</w:t>
      </w:r>
      <w:r>
        <w:rPr>
          <w:rFonts w:hint="eastAsia" w:ascii="宋体" w:hAnsi="宋体" w:eastAsia="宋体" w:cs="宋体"/>
          <w:b/>
          <w:bCs w:val="0"/>
          <w:color w:val="000000" w:themeColor="text1"/>
          <w:szCs w:val="21"/>
          <w:highlight w:val="none"/>
          <w:u w:val="none"/>
          <w14:textFill>
            <w14:solidFill>
              <w14:schemeClr w14:val="tx1"/>
            </w14:solidFill>
          </w14:textFill>
        </w:rPr>
        <w:t>。</w:t>
      </w:r>
      <w:r>
        <w:rPr>
          <w:rFonts w:hint="eastAsia" w:ascii="宋体" w:hAnsi="宋体" w:eastAsia="宋体" w:cs="宋体"/>
          <w:b/>
          <w:bCs w:val="0"/>
          <w:color w:val="000000" w:themeColor="text1"/>
          <w:szCs w:val="21"/>
          <w:highlight w:val="none"/>
          <w:u w:val="none"/>
          <w:lang w:val="zh-CN"/>
          <w14:textFill>
            <w14:solidFill>
              <w14:schemeClr w14:val="tx1"/>
            </w14:solidFill>
          </w14:textFill>
        </w:rPr>
        <w:t>若合同无法反映合同签订时间、合同</w:t>
      </w:r>
      <w:r>
        <w:rPr>
          <w:rFonts w:hint="eastAsia" w:ascii="宋体" w:hAnsi="宋体" w:eastAsia="宋体" w:cs="宋体"/>
          <w:b/>
          <w:bCs w:val="0"/>
          <w:color w:val="000000" w:themeColor="text1"/>
          <w:szCs w:val="21"/>
          <w:highlight w:val="none"/>
          <w:u w:val="none"/>
          <w14:textFill>
            <w14:solidFill>
              <w14:schemeClr w14:val="tx1"/>
            </w14:solidFill>
          </w14:textFill>
        </w:rPr>
        <w:t>服务内容的</w:t>
      </w:r>
      <w:r>
        <w:rPr>
          <w:rFonts w:hint="eastAsia" w:ascii="宋体" w:hAnsi="宋体" w:eastAsia="宋体" w:cs="宋体"/>
          <w:b/>
          <w:bCs w:val="0"/>
          <w:color w:val="000000" w:themeColor="text1"/>
          <w:szCs w:val="21"/>
          <w:highlight w:val="none"/>
          <w:u w:val="none"/>
          <w:lang w:val="zh-CN"/>
          <w14:textFill>
            <w14:solidFill>
              <w14:schemeClr w14:val="tx1"/>
            </w14:solidFill>
          </w14:textFill>
        </w:rPr>
        <w:t>，还需</w:t>
      </w:r>
      <w:r>
        <w:rPr>
          <w:rFonts w:hint="eastAsia" w:ascii="宋体" w:hAnsi="宋体" w:eastAsia="宋体" w:cs="宋体"/>
          <w:b/>
          <w:bCs w:val="0"/>
          <w:color w:val="000000" w:themeColor="text1"/>
          <w:szCs w:val="21"/>
          <w:highlight w:val="none"/>
          <w:u w:val="none"/>
          <w14:textFill>
            <w14:solidFill>
              <w14:schemeClr w14:val="tx1"/>
            </w14:solidFill>
          </w14:textFill>
        </w:rPr>
        <w:t>提供服务购买方出具的书面补充情况说明文件</w:t>
      </w:r>
      <w:r>
        <w:rPr>
          <w:rFonts w:hint="eastAsia" w:ascii="宋体" w:hAnsi="宋体" w:eastAsia="宋体" w:cs="宋体"/>
          <w:b/>
          <w:color w:val="000000" w:themeColor="text1"/>
          <w:szCs w:val="21"/>
          <w:highlight w:val="none"/>
          <w14:textFill>
            <w14:solidFill>
              <w14:schemeClr w14:val="tx1"/>
            </w14:solidFill>
          </w14:textFill>
        </w:rPr>
        <w:t>扫描件（前述扫描件能显示服务购买方公章）</w:t>
      </w:r>
      <w:r>
        <w:rPr>
          <w:rFonts w:hint="eastAsia" w:ascii="宋体" w:hAnsi="宋体" w:eastAsia="宋体" w:cs="宋体"/>
          <w:b/>
          <w:bCs w:val="0"/>
          <w:color w:val="000000" w:themeColor="text1"/>
          <w:szCs w:val="21"/>
          <w:highlight w:val="none"/>
          <w:u w:val="none"/>
          <w:lang w:val="zh-CN"/>
          <w14:textFill>
            <w14:solidFill>
              <w14:schemeClr w14:val="tx1"/>
            </w14:solidFill>
          </w14:textFill>
        </w:rPr>
        <w:t>作为辅助证明。</w:t>
      </w:r>
    </w:p>
    <w:p w14:paraId="534C8B83">
      <w:pPr>
        <w:snapToGrid w:val="0"/>
        <w:spacing w:line="360" w:lineRule="auto"/>
        <w:ind w:left="399" w:leftChars="-58" w:hanging="521" w:hangingChars="247"/>
        <w:outlineLvl w:val="9"/>
        <w:rPr>
          <w:rFonts w:ascii="宋体" w:hAnsi="宋体" w:eastAsia="宋体" w:cs="宋体"/>
          <w:b/>
          <w:bCs w:val="0"/>
          <w:color w:val="000000" w:themeColor="text1"/>
          <w:szCs w:val="21"/>
          <w:highlight w:val="none"/>
          <w:u w:val="none"/>
          <w14:textFill>
            <w14:solidFill>
              <w14:schemeClr w14:val="tx1"/>
            </w14:solidFill>
          </w14:textFill>
        </w:rPr>
      </w:pPr>
      <w:r>
        <w:rPr>
          <w:rFonts w:hint="eastAsia" w:ascii="宋体" w:hAnsi="宋体" w:eastAsia="宋体" w:cs="宋体"/>
          <w:b/>
          <w:bCs w:val="0"/>
          <w:color w:val="000000" w:themeColor="text1"/>
          <w:szCs w:val="21"/>
          <w:highlight w:val="none"/>
          <w:u w:val="none"/>
          <w14:textFill>
            <w14:solidFill>
              <w14:schemeClr w14:val="tx1"/>
            </w14:solidFill>
          </w14:textFill>
        </w:rPr>
        <w:t>（3）上述资料必须能反映资格要求条件：①合同签订日期为202</w:t>
      </w:r>
      <w:r>
        <w:rPr>
          <w:rFonts w:hint="eastAsia" w:ascii="宋体" w:hAnsi="宋体" w:eastAsia="宋体" w:cs="宋体"/>
          <w:b/>
          <w:bCs w:val="0"/>
          <w:color w:val="000000" w:themeColor="text1"/>
          <w:szCs w:val="21"/>
          <w:highlight w:val="none"/>
          <w:u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u w:val="none"/>
          <w14:textFill>
            <w14:solidFill>
              <w14:schemeClr w14:val="tx1"/>
            </w14:solidFill>
          </w14:textFill>
        </w:rPr>
        <w:t>年1月1日或以后；②合同服务内容为污泥脱水减量化处理服务或污泥脱水减量配合服务，其中污泥脱水减量配合服务单项合同业绩的服务内容若为以劳务派遣或劳务外包的方式提供污泥脱水减量化服务人员的，</w:t>
      </w:r>
      <w:r>
        <w:rPr>
          <w:rFonts w:hint="eastAsia" w:ascii="宋体" w:hAnsi="宋体" w:eastAsia="宋体" w:cs="宋体"/>
          <w:b/>
          <w:bCs w:val="0"/>
          <w:color w:val="000000" w:themeColor="text1"/>
          <w:szCs w:val="21"/>
          <w:highlight w:val="none"/>
          <w:u w:val="none"/>
          <w:lang w:val="en-US" w:eastAsia="zh-CN"/>
          <w14:textFill>
            <w14:solidFill>
              <w14:schemeClr w14:val="tx1"/>
            </w14:solidFill>
          </w14:textFill>
        </w:rPr>
        <w:t>服务内容必须包含</w:t>
      </w:r>
      <w:r>
        <w:rPr>
          <w:rFonts w:hint="eastAsia" w:ascii="宋体" w:hAnsi="宋体" w:eastAsia="宋体" w:cs="宋体"/>
          <w:b/>
          <w:bCs w:val="0"/>
          <w:color w:val="000000" w:themeColor="text1"/>
          <w:szCs w:val="21"/>
          <w:highlight w:val="none"/>
          <w:u w:val="none"/>
          <w14:textFill>
            <w14:solidFill>
              <w14:schemeClr w14:val="tx1"/>
            </w14:solidFill>
          </w14:textFill>
        </w:rPr>
        <w:t>提供从事污泥脱水压滤设备的操作技术人员。</w:t>
      </w:r>
    </w:p>
    <w:p w14:paraId="7976C10C">
      <w:pPr>
        <w:snapToGrid w:val="0"/>
        <w:spacing w:line="360" w:lineRule="auto"/>
        <w:ind w:left="399" w:leftChars="-58" w:hanging="521" w:hangingChars="247"/>
        <w:outlineLvl w:val="9"/>
        <w:rPr>
          <w:rFonts w:hint="eastAsia" w:ascii="宋体" w:hAnsi="宋体" w:eastAsia="宋体" w:cs="宋体"/>
          <w:b/>
          <w:bCs w:val="0"/>
          <w:color w:val="000000" w:themeColor="text1"/>
          <w:szCs w:val="21"/>
          <w:highlight w:val="none"/>
          <w:lang w:val="zh-CN"/>
          <w14:textFill>
            <w14:solidFill>
              <w14:schemeClr w14:val="tx1"/>
            </w14:solidFill>
          </w14:textFill>
        </w:rPr>
      </w:pPr>
      <w:bookmarkStart w:id="633" w:name="_Toc20010"/>
      <w:bookmarkStart w:id="634" w:name="_Toc24862"/>
      <w:bookmarkStart w:id="635" w:name="_Toc12931"/>
      <w:r>
        <w:rPr>
          <w:rFonts w:hint="eastAsia" w:ascii="宋体" w:hAnsi="宋体" w:eastAsia="宋体" w:cs="宋体"/>
          <w:b/>
          <w:bCs w:val="0"/>
          <w:color w:val="000000" w:themeColor="text1"/>
          <w:szCs w:val="21"/>
          <w:highlight w:val="none"/>
          <w:lang w:val="zh-CN"/>
          <w14:textFill>
            <w14:solidFill>
              <w14:schemeClr w14:val="tx1"/>
            </w14:solidFill>
          </w14:textFill>
        </w:rPr>
        <w:t>（4）</w:t>
      </w:r>
      <w:bookmarkEnd w:id="633"/>
      <w:bookmarkEnd w:id="634"/>
      <w:bookmarkEnd w:id="635"/>
      <w:r>
        <w:rPr>
          <w:rFonts w:hint="eastAsia" w:ascii="宋体" w:hAnsi="宋体" w:eastAsia="宋体" w:cs="宋体"/>
          <w:b/>
          <w:bCs w:val="0"/>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bookmarkEnd w:id="623"/>
    <w:bookmarkEnd w:id="624"/>
    <w:bookmarkEnd w:id="625"/>
    <w:bookmarkEnd w:id="631"/>
    <w:bookmarkEnd w:id="632"/>
    <w:p w14:paraId="67AB4861">
      <w:pPr>
        <w:spacing w:line="360" w:lineRule="auto"/>
        <w:rPr>
          <w:rFonts w:ascii="宋体" w:hAnsi="宋体" w:eastAsia="宋体" w:cs="宋体"/>
          <w:b/>
          <w:color w:val="000000" w:themeColor="text1"/>
          <w:szCs w:val="21"/>
          <w:highlight w:val="none"/>
          <w:lang w:val="zh-CN"/>
          <w14:textFill>
            <w14:solidFill>
              <w14:schemeClr w14:val="tx1"/>
            </w14:solidFill>
          </w14:textFill>
        </w:rPr>
      </w:pPr>
    </w:p>
    <w:p w14:paraId="521ABB10">
      <w:pPr>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7C519647">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5E0B736A">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6D9759AC">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55716B98">
      <w:pPr>
        <w:spacing w:line="360" w:lineRule="auto"/>
        <w:ind w:left="527" w:hanging="527" w:hangingChars="250"/>
        <w:rPr>
          <w:rFonts w:ascii="宋体" w:hAnsi="宋体" w:eastAsia="宋体" w:cs="宋体"/>
          <w:b/>
          <w:color w:val="000000" w:themeColor="text1"/>
          <w:szCs w:val="21"/>
          <w:highlight w:val="none"/>
          <w:lang w:val="zh-CN"/>
          <w14:textFill>
            <w14:solidFill>
              <w14:schemeClr w14:val="tx1"/>
            </w14:solidFill>
          </w14:textFill>
        </w:rPr>
      </w:pPr>
    </w:p>
    <w:p w14:paraId="128E6A01">
      <w:pPr>
        <w:rPr>
          <w:rFonts w:hint="eastAsia" w:ascii="宋体" w:hAnsi="宋体" w:eastAsia="宋体" w:cs="宋体"/>
          <w:b/>
          <w:color w:val="000000" w:themeColor="text1"/>
          <w:kern w:val="0"/>
          <w:sz w:val="30"/>
          <w:szCs w:val="30"/>
          <w:highlight w:val="none"/>
          <w14:textFill>
            <w14:solidFill>
              <w14:schemeClr w14:val="tx1"/>
            </w14:solidFill>
          </w14:textFill>
        </w:rPr>
      </w:pPr>
      <w:bookmarkStart w:id="636" w:name="_Toc7508"/>
      <w:bookmarkStart w:id="637" w:name="_Toc8121"/>
      <w:bookmarkStart w:id="638" w:name="_Toc21843"/>
      <w:bookmarkStart w:id="639" w:name="_Toc211622213"/>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C2D5803">
      <w:pPr>
        <w:tabs>
          <w:tab w:val="left" w:pos="567"/>
        </w:tabs>
        <w:autoSpaceDE w:val="0"/>
        <w:autoSpaceDN w:val="0"/>
        <w:adjustRightInd w:val="0"/>
        <w:spacing w:line="360" w:lineRule="auto"/>
        <w:jc w:val="left"/>
        <w:outlineLvl w:val="2"/>
        <w:rPr>
          <w:rFonts w:ascii="宋体" w:hAnsi="宋体" w:eastAsia="宋体" w:cs="宋体"/>
          <w:b/>
          <w:bCs/>
          <w:color w:val="000000" w:themeColor="text1"/>
          <w:sz w:val="32"/>
          <w:szCs w:val="32"/>
          <w:highlight w:val="none"/>
          <w:lang w:val="zh-CN"/>
          <w14:textFill>
            <w14:solidFill>
              <w14:schemeClr w14:val="tx1"/>
            </w14:solidFill>
          </w14:textFill>
        </w:rPr>
      </w:pPr>
      <w:bookmarkStart w:id="640" w:name="_Toc7848"/>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最近3年投标人牵涉的其他（失信和违法）处罚说明格式</w:t>
      </w:r>
      <w:bookmarkEnd w:id="626"/>
      <w:bookmarkEnd w:id="627"/>
      <w:bookmarkEnd w:id="628"/>
      <w:bookmarkEnd w:id="629"/>
      <w:bookmarkEnd w:id="630"/>
      <w:bookmarkEnd w:id="636"/>
      <w:bookmarkEnd w:id="637"/>
      <w:bookmarkEnd w:id="638"/>
      <w:bookmarkEnd w:id="639"/>
      <w:bookmarkEnd w:id="640"/>
    </w:p>
    <w:p w14:paraId="031FDEBE">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A84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C48B5B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4873889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2D8B20A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29AA193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504F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E81B779">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6753BE2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51B1A7B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00A51F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8C9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F56568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7D66292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41E830C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DB4274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91A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4A0E23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4A3E5F8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F4C609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4623AD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69434D7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40848B4">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102C2036">
      <w:pPr>
        <w:autoSpaceDE w:val="0"/>
        <w:autoSpaceDN w:val="0"/>
        <w:adjustRightInd w:val="0"/>
        <w:ind w:right="-23" w:rightChars="-11"/>
        <w:jc w:val="left"/>
        <w:rPr>
          <w:rFonts w:ascii="宋体" w:hAnsi="宋体" w:eastAsia="宋体" w:cs="宋体"/>
          <w:b/>
          <w:bCs/>
          <w:color w:val="000000" w:themeColor="text1"/>
          <w:kern w:val="0"/>
          <w:szCs w:val="21"/>
          <w:highlight w:val="none"/>
          <w:lang w:val="zh-CN"/>
          <w14:textFill>
            <w14:solidFill>
              <w14:schemeClr w14:val="tx1"/>
            </w14:solidFill>
          </w14:textFill>
        </w:rPr>
      </w:pPr>
    </w:p>
    <w:p w14:paraId="4A6B0750">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0E07774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D99CA6F">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4C4919B">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2E489535">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bookmarkStart w:id="641" w:name="_Toc102860079"/>
      <w:bookmarkStart w:id="642" w:name="_Toc1977731"/>
      <w:bookmarkStart w:id="643" w:name="_Toc142508374"/>
      <w:bookmarkStart w:id="644" w:name="_Toc104991881"/>
      <w:bookmarkStart w:id="645" w:name="_Toc140596934"/>
      <w:bookmarkStart w:id="646" w:name="_Toc2031_WPSOffice_Level2"/>
      <w:bookmarkStart w:id="647" w:name="_Toc533708126"/>
      <w:bookmarkStart w:id="648" w:name="_Toc94107215"/>
      <w:bookmarkStart w:id="649" w:name="_Toc102860423"/>
      <w:bookmarkStart w:id="650" w:name="_Toc6412"/>
      <w:bookmarkStart w:id="651" w:name="_Toc486167714"/>
      <w:bookmarkStart w:id="652" w:name="_Toc30939"/>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7A605ADF">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3D40D631">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2FE89172">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178B50D9">
      <w:pP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p>
    <w:p w14:paraId="6D08C11A">
      <w:pPr>
        <w:tabs>
          <w:tab w:val="left" w:pos="567"/>
        </w:tabs>
        <w:autoSpaceDE w:val="0"/>
        <w:autoSpaceDN w:val="0"/>
        <w:adjustRightInd w:val="0"/>
        <w:spacing w:line="360" w:lineRule="auto"/>
        <w:jc w:val="left"/>
        <w:outlineLvl w:val="1"/>
        <w:rPr>
          <w:rFonts w:ascii="宋体" w:hAnsi="宋体" w:eastAsia="宋体" w:cs="宋体"/>
          <w:color w:val="000000" w:themeColor="text1"/>
          <w:kern w:val="0"/>
          <w:szCs w:val="21"/>
          <w:highlight w:val="none"/>
          <w:u w:val="single"/>
          <w14:textFill>
            <w14:solidFill>
              <w14:schemeClr w14:val="tx1"/>
            </w14:solidFill>
          </w14:textFill>
        </w:rPr>
      </w:pPr>
      <w:bookmarkStart w:id="653" w:name="_Toc17508"/>
      <w:bookmarkStart w:id="654" w:name="_Toc17490"/>
      <w:bookmarkStart w:id="655" w:name="_Toc211622214"/>
      <w:r>
        <w:rPr>
          <w:rFonts w:hint="eastAsia" w:ascii="宋体" w:hAnsi="宋体" w:eastAsia="宋体" w:cs="宋体"/>
          <w:b/>
          <w:color w:val="000000" w:themeColor="text1"/>
          <w:sz w:val="32"/>
          <w:szCs w:val="32"/>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2FA65D0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56"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656"/>
    </w:p>
    <w:p w14:paraId="77B6B912">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6CEEE96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574A167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2E0F45B9">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7564F79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737FFB8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562B312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0CED788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0F4DDC4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04D06978">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845BD0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9097E7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81669D6">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2DD874E3">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2A8B577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4E676E5F">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672808E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6E71DF95">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1DFB8866">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5C46F8A2">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35D38A1B">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2BC1B76D">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（3）东莞市内设有分支机构情况介绍[应提供该分支机构的多证合一营业执照扫描件等证明材料]（若无前述分支机构的无需介绍）。</w:t>
      </w:r>
    </w:p>
    <w:p w14:paraId="04BAD877">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3CEDD0F8">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417686B7">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4345AEF3">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3CAC32F8">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6B4C5B30">
      <w:pPr>
        <w:autoSpaceDE w:val="0"/>
        <w:autoSpaceDN w:val="0"/>
        <w:adjustRightInd w:val="0"/>
        <w:spacing w:line="360" w:lineRule="auto"/>
        <w:jc w:val="cente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471182A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657" w:name="_Toc140596935"/>
      <w:bookmarkStart w:id="658" w:name="_Toc104991882"/>
      <w:bookmarkStart w:id="659" w:name="_Toc102860424"/>
      <w:bookmarkStart w:id="660" w:name="_Toc29014"/>
      <w:bookmarkStart w:id="661" w:name="_Toc211622215"/>
      <w:bookmarkStart w:id="662" w:name="_Toc102860080"/>
      <w:bookmarkStart w:id="663" w:name="_Toc142508375"/>
      <w:bookmarkStart w:id="664" w:name="_Toc10443"/>
      <w:bookmarkStart w:id="665" w:name="_Toc4023"/>
      <w:bookmarkStart w:id="666" w:name="_Toc24405"/>
      <w:bookmarkStart w:id="667" w:name="_Toc94107216"/>
      <w:bookmarkStart w:id="668" w:name="_Toc533708128"/>
      <w:bookmarkStart w:id="669" w:name="_Toc486167715"/>
      <w:bookmarkStart w:id="670" w:name="_Toc1977733"/>
      <w:bookmarkStart w:id="671" w:name="_Toc9051_WPSOffice_Level2"/>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657"/>
      <w:bookmarkEnd w:id="658"/>
      <w:bookmarkEnd w:id="659"/>
      <w:bookmarkEnd w:id="660"/>
      <w:bookmarkEnd w:id="661"/>
      <w:bookmarkEnd w:id="662"/>
      <w:bookmarkEnd w:id="663"/>
      <w:bookmarkEnd w:id="664"/>
      <w:bookmarkEnd w:id="665"/>
      <w:bookmarkEnd w:id="666"/>
      <w:bookmarkEnd w:id="667"/>
    </w:p>
    <w:p w14:paraId="79FD0F91">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28312F5B">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1837"/>
        <w:gridCol w:w="1839"/>
        <w:gridCol w:w="2563"/>
        <w:gridCol w:w="1947"/>
      </w:tblGrid>
      <w:tr w14:paraId="545D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787C36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989" w:type="pct"/>
            <w:vAlign w:val="center"/>
          </w:tcPr>
          <w:p w14:paraId="0A8338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990" w:type="pct"/>
            <w:vAlign w:val="center"/>
          </w:tcPr>
          <w:p w14:paraId="347A7C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1380" w:type="pct"/>
            <w:vAlign w:val="center"/>
          </w:tcPr>
          <w:p w14:paraId="12815F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1048" w:type="pct"/>
            <w:vAlign w:val="center"/>
          </w:tcPr>
          <w:p w14:paraId="4D8AEB9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5439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3F0BB80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2022</w:t>
            </w:r>
          </w:p>
        </w:tc>
        <w:tc>
          <w:tcPr>
            <w:tcW w:w="989" w:type="pct"/>
            <w:vAlign w:val="center"/>
          </w:tcPr>
          <w:p w14:paraId="1C0951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990" w:type="pct"/>
            <w:vAlign w:val="center"/>
          </w:tcPr>
          <w:p w14:paraId="757D83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380" w:type="pct"/>
            <w:vAlign w:val="center"/>
          </w:tcPr>
          <w:p w14:paraId="39D322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048" w:type="pct"/>
            <w:vAlign w:val="center"/>
          </w:tcPr>
          <w:p w14:paraId="71D3A6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C46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3BACCD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2023</w:t>
            </w:r>
          </w:p>
        </w:tc>
        <w:tc>
          <w:tcPr>
            <w:tcW w:w="989" w:type="pct"/>
            <w:vAlign w:val="center"/>
          </w:tcPr>
          <w:p w14:paraId="506199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990" w:type="pct"/>
            <w:vAlign w:val="center"/>
          </w:tcPr>
          <w:p w14:paraId="584552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380" w:type="pct"/>
          </w:tcPr>
          <w:p w14:paraId="11A58B4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048" w:type="pct"/>
            <w:vAlign w:val="center"/>
          </w:tcPr>
          <w:p w14:paraId="5BF441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8F7D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389F7E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2024</w:t>
            </w:r>
          </w:p>
        </w:tc>
        <w:tc>
          <w:tcPr>
            <w:tcW w:w="989" w:type="pct"/>
            <w:vAlign w:val="center"/>
          </w:tcPr>
          <w:p w14:paraId="390E81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990" w:type="pct"/>
            <w:vAlign w:val="center"/>
          </w:tcPr>
          <w:p w14:paraId="18C073D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380" w:type="pct"/>
          </w:tcPr>
          <w:p w14:paraId="1CC2CB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048" w:type="pct"/>
            <w:vAlign w:val="center"/>
          </w:tcPr>
          <w:p w14:paraId="5F45968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E428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3731F9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1380" w:type="pct"/>
          </w:tcPr>
          <w:p w14:paraId="61E653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048" w:type="pct"/>
            <w:vAlign w:val="center"/>
          </w:tcPr>
          <w:p w14:paraId="5F25BE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272F4DC2">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DF26CAA">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4629C80">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17613625">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p>
    <w:p w14:paraId="2D9A69F7">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3A273819">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22F778BE">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1F0BA3C0">
      <w:pPr>
        <w:autoSpaceDE w:val="0"/>
        <w:autoSpaceDN w:val="0"/>
        <w:adjustRightInd w:val="0"/>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sectPr>
          <w:footerReference r:id="rId10"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bookmarkEnd w:id="668"/>
    <w:bookmarkEnd w:id="669"/>
    <w:bookmarkEnd w:id="670"/>
    <w:bookmarkEnd w:id="671"/>
    <w:p w14:paraId="7990C454">
      <w:pPr>
        <w:tabs>
          <w:tab w:val="left" w:pos="567"/>
        </w:tabs>
        <w:autoSpaceDE w:val="0"/>
        <w:autoSpaceDN w:val="0"/>
        <w:adjustRightInd w:val="0"/>
        <w:spacing w:line="360" w:lineRule="auto"/>
        <w:jc w:val="left"/>
        <w:outlineLvl w:val="9"/>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bookmarkStart w:id="672" w:name="_Toc533708130"/>
      <w:bookmarkStart w:id="673" w:name="_Toc486167716"/>
      <w:bookmarkStart w:id="674" w:name="_Toc102860425"/>
      <w:bookmarkStart w:id="675" w:name="_Toc211622216"/>
      <w:bookmarkStart w:id="676" w:name="_Toc17995"/>
      <w:bookmarkStart w:id="677" w:name="_Toc94107217"/>
      <w:bookmarkStart w:id="678" w:name="_Toc26821"/>
      <w:bookmarkStart w:id="679" w:name="_Toc102860081"/>
      <w:bookmarkStart w:id="680" w:name="_Toc140596936"/>
      <w:bookmarkStart w:id="681" w:name="_Toc333"/>
      <w:bookmarkStart w:id="682" w:name="_Toc104991883"/>
      <w:bookmarkStart w:id="683" w:name="_Toc142508376"/>
      <w:bookmarkStart w:id="684" w:name="_Toc739_WPSOffice_Level2"/>
      <w:bookmarkStart w:id="685" w:name="_Toc197773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kern w:val="0"/>
          <w:sz w:val="32"/>
          <w:szCs w:val="32"/>
          <w:highlight w:val="none"/>
          <w:lang w:val="zh-CN"/>
          <w14:textFill>
            <w14:solidFill>
              <w14:schemeClr w14:val="tx1"/>
            </w14:solidFill>
          </w14:textFill>
        </w:rPr>
        <w:t>、标准化</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体系认证</w:t>
      </w:r>
    </w:p>
    <w:p w14:paraId="6670C3C0">
      <w:pPr>
        <w:tabs>
          <w:tab w:val="left" w:pos="567"/>
        </w:tabs>
        <w:autoSpaceDE w:val="0"/>
        <w:autoSpaceDN w:val="0"/>
        <w:adjustRightInd w:val="0"/>
        <w:spacing w:line="360" w:lineRule="auto"/>
        <w:ind w:firstLine="420" w:firstLineChars="200"/>
        <w:outlineLvl w:val="9"/>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备注：投标人应提供上述证书扫描件及能显示证书有效状态的全国认证认可信息公共服务平台（http://cx.cnca.cn/)查询结果凭证</w:t>
      </w: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Cs w:val="21"/>
          <w:highlight w:val="none"/>
          <w14:textFill>
            <w14:solidFill>
              <w14:schemeClr w14:val="tx1"/>
            </w14:solidFill>
          </w14:textFill>
        </w:rPr>
        <w:t>凭证界面需显示有“全国认证认可信息公共服务平台”或“认证证书（需显示网址cx.cnca.cn）”</w:t>
      </w: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Cs w:val="21"/>
          <w:highlight w:val="none"/>
          <w14:textFill>
            <w14:solidFill>
              <w14:schemeClr w14:val="tx1"/>
            </w14:solidFill>
          </w14:textFill>
        </w:rPr>
        <w:t>。</w:t>
      </w:r>
    </w:p>
    <w:p w14:paraId="7D03E195">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6070737">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2"/>
          <w:szCs w:val="32"/>
          <w:highlight w:val="none"/>
          <w:lang w:val="zh-CN"/>
          <w14:textFill>
            <w14:solidFill>
              <w14:schemeClr w14:val="tx1"/>
            </w14:solidFill>
          </w14:textFill>
        </w:rPr>
      </w:pPr>
      <w:bookmarkStart w:id="686" w:name="_Toc7161"/>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552112E">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687"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东莞市众源环境投资有限公司2026年污泥脱水减量配合服务采购项目合同条款偏离表</w:t>
      </w:r>
      <w:bookmarkEnd w:id="687"/>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28"/>
        <w:gridCol w:w="2857"/>
        <w:gridCol w:w="1248"/>
        <w:gridCol w:w="3298"/>
      </w:tblGrid>
      <w:tr w14:paraId="403F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8" w:type="pct"/>
            <w:vMerge w:val="restart"/>
            <w:vAlign w:val="center"/>
          </w:tcPr>
          <w:p w14:paraId="3B09959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2162" w:type="pct"/>
            <w:gridSpan w:val="2"/>
            <w:vAlign w:val="center"/>
          </w:tcPr>
          <w:p w14:paraId="040EB7E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2349" w:type="pct"/>
            <w:gridSpan w:val="2"/>
            <w:vAlign w:val="center"/>
          </w:tcPr>
          <w:p w14:paraId="2F2F81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70FF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8" w:type="pct"/>
            <w:vMerge w:val="continue"/>
            <w:vAlign w:val="center"/>
          </w:tcPr>
          <w:p w14:paraId="195991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686" w:type="pct"/>
            <w:vAlign w:val="center"/>
          </w:tcPr>
          <w:p w14:paraId="0FEC10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1476" w:type="pct"/>
            <w:vAlign w:val="center"/>
          </w:tcPr>
          <w:p w14:paraId="0FA4FD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645" w:type="pct"/>
            <w:vAlign w:val="center"/>
          </w:tcPr>
          <w:p w14:paraId="259CF5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1703" w:type="pct"/>
            <w:vAlign w:val="center"/>
          </w:tcPr>
          <w:p w14:paraId="1EDAED2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6B25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3B823D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686" w:type="pct"/>
            <w:shd w:val="clear" w:color="auto" w:fill="auto"/>
            <w:vAlign w:val="center"/>
          </w:tcPr>
          <w:p w14:paraId="7D8D648E">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第一条</w:t>
            </w:r>
          </w:p>
        </w:tc>
        <w:tc>
          <w:tcPr>
            <w:tcW w:w="1476" w:type="pct"/>
            <w:shd w:val="clear" w:color="auto" w:fill="auto"/>
            <w:vAlign w:val="center"/>
          </w:tcPr>
          <w:p w14:paraId="0A5FEFC2">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645" w:type="pct"/>
            <w:vAlign w:val="center"/>
          </w:tcPr>
          <w:p w14:paraId="151EA9B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093BAE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F8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BC469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686" w:type="pct"/>
            <w:shd w:val="clear" w:color="auto" w:fill="auto"/>
            <w:vAlign w:val="center"/>
          </w:tcPr>
          <w:p w14:paraId="4111AAD8">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第二条</w:t>
            </w:r>
          </w:p>
        </w:tc>
        <w:tc>
          <w:tcPr>
            <w:tcW w:w="1476" w:type="pct"/>
            <w:shd w:val="clear" w:color="auto" w:fill="auto"/>
            <w:vAlign w:val="center"/>
          </w:tcPr>
          <w:p w14:paraId="3F7E0242">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服务期限、服务费用</w:t>
            </w:r>
          </w:p>
        </w:tc>
        <w:tc>
          <w:tcPr>
            <w:tcW w:w="645" w:type="pct"/>
            <w:vAlign w:val="center"/>
          </w:tcPr>
          <w:p w14:paraId="074992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C4DCC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4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45F9709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686" w:type="pct"/>
            <w:shd w:val="clear" w:color="auto" w:fill="auto"/>
            <w:vAlign w:val="center"/>
          </w:tcPr>
          <w:p w14:paraId="2342D780">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第三条</w:t>
            </w:r>
          </w:p>
        </w:tc>
        <w:tc>
          <w:tcPr>
            <w:tcW w:w="1476" w:type="pct"/>
            <w:shd w:val="clear" w:color="auto" w:fill="auto"/>
            <w:vAlign w:val="center"/>
          </w:tcPr>
          <w:p w14:paraId="1F187D9D">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服务费用计费</w:t>
            </w:r>
          </w:p>
        </w:tc>
        <w:tc>
          <w:tcPr>
            <w:tcW w:w="645" w:type="pct"/>
            <w:vAlign w:val="center"/>
          </w:tcPr>
          <w:p w14:paraId="44A70C3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F2F107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F30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42AA99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686" w:type="pct"/>
            <w:shd w:val="clear" w:color="auto" w:fill="auto"/>
            <w:vAlign w:val="center"/>
          </w:tcPr>
          <w:p w14:paraId="2B908619">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第四条</w:t>
            </w:r>
          </w:p>
        </w:tc>
        <w:tc>
          <w:tcPr>
            <w:tcW w:w="1476" w:type="pct"/>
            <w:shd w:val="clear" w:color="auto" w:fill="auto"/>
            <w:vAlign w:val="center"/>
          </w:tcPr>
          <w:p w14:paraId="0A87254F">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费用支付</w:t>
            </w:r>
          </w:p>
        </w:tc>
        <w:tc>
          <w:tcPr>
            <w:tcW w:w="645" w:type="pct"/>
            <w:vAlign w:val="center"/>
          </w:tcPr>
          <w:p w14:paraId="743A6F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77D017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A08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4F0756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686" w:type="pct"/>
            <w:shd w:val="clear" w:color="auto" w:fill="auto"/>
            <w:vAlign w:val="center"/>
          </w:tcPr>
          <w:p w14:paraId="559A0AEF">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第五条</w:t>
            </w:r>
          </w:p>
        </w:tc>
        <w:tc>
          <w:tcPr>
            <w:tcW w:w="1476" w:type="pct"/>
            <w:shd w:val="clear" w:color="auto" w:fill="auto"/>
            <w:vAlign w:val="center"/>
          </w:tcPr>
          <w:p w14:paraId="0AAFABC5">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服务要求</w:t>
            </w:r>
          </w:p>
        </w:tc>
        <w:tc>
          <w:tcPr>
            <w:tcW w:w="645" w:type="pct"/>
            <w:vAlign w:val="center"/>
          </w:tcPr>
          <w:p w14:paraId="188130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1CA313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078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63A3A19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686" w:type="pct"/>
            <w:shd w:val="clear" w:color="auto" w:fill="auto"/>
            <w:vAlign w:val="center"/>
          </w:tcPr>
          <w:p w14:paraId="44ACDAE6">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第六条</w:t>
            </w:r>
          </w:p>
        </w:tc>
        <w:tc>
          <w:tcPr>
            <w:tcW w:w="1476" w:type="pct"/>
            <w:shd w:val="clear" w:color="auto" w:fill="auto"/>
            <w:vAlign w:val="center"/>
          </w:tcPr>
          <w:p w14:paraId="75276A45">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管理要求</w:t>
            </w:r>
          </w:p>
        </w:tc>
        <w:tc>
          <w:tcPr>
            <w:tcW w:w="645" w:type="pct"/>
            <w:vAlign w:val="center"/>
          </w:tcPr>
          <w:p w14:paraId="4B747E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F13849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8F6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0BEDCC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686" w:type="pct"/>
            <w:shd w:val="clear" w:color="auto" w:fill="auto"/>
            <w:vAlign w:val="center"/>
          </w:tcPr>
          <w:p w14:paraId="64399F31">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第七条</w:t>
            </w:r>
          </w:p>
        </w:tc>
        <w:tc>
          <w:tcPr>
            <w:tcW w:w="1476" w:type="pct"/>
            <w:shd w:val="clear" w:color="auto" w:fill="auto"/>
            <w:vAlign w:val="center"/>
          </w:tcPr>
          <w:p w14:paraId="12131009">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双方的权利与义务</w:t>
            </w:r>
          </w:p>
        </w:tc>
        <w:tc>
          <w:tcPr>
            <w:tcW w:w="645" w:type="pct"/>
            <w:vAlign w:val="center"/>
          </w:tcPr>
          <w:p w14:paraId="52E08B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C61E0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B26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8D4670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686" w:type="pct"/>
            <w:shd w:val="clear" w:color="auto" w:fill="auto"/>
            <w:vAlign w:val="center"/>
          </w:tcPr>
          <w:p w14:paraId="5C0E40C4">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第八条</w:t>
            </w:r>
          </w:p>
        </w:tc>
        <w:tc>
          <w:tcPr>
            <w:tcW w:w="1476" w:type="pct"/>
            <w:shd w:val="clear" w:color="auto" w:fill="auto"/>
            <w:vAlign w:val="center"/>
          </w:tcPr>
          <w:p w14:paraId="14053780">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tc>
        <w:tc>
          <w:tcPr>
            <w:tcW w:w="645" w:type="pct"/>
            <w:vAlign w:val="center"/>
          </w:tcPr>
          <w:p w14:paraId="19C8C79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239849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E1E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D3DA95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686" w:type="pct"/>
            <w:shd w:val="clear" w:color="auto" w:fill="auto"/>
            <w:vAlign w:val="center"/>
          </w:tcPr>
          <w:p w14:paraId="02A3B683">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第九条</w:t>
            </w:r>
          </w:p>
        </w:tc>
        <w:tc>
          <w:tcPr>
            <w:tcW w:w="1476" w:type="pct"/>
            <w:shd w:val="clear" w:color="auto" w:fill="auto"/>
            <w:vAlign w:val="center"/>
          </w:tcPr>
          <w:p w14:paraId="2FCFE3ED">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违约责任</w:t>
            </w:r>
          </w:p>
        </w:tc>
        <w:tc>
          <w:tcPr>
            <w:tcW w:w="645" w:type="pct"/>
            <w:vAlign w:val="center"/>
          </w:tcPr>
          <w:p w14:paraId="15826E1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10BBA5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477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BB90B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686" w:type="pct"/>
            <w:shd w:val="clear" w:color="auto" w:fill="auto"/>
            <w:vAlign w:val="center"/>
          </w:tcPr>
          <w:p w14:paraId="01907777">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第十条</w:t>
            </w:r>
          </w:p>
        </w:tc>
        <w:tc>
          <w:tcPr>
            <w:tcW w:w="1476" w:type="pct"/>
            <w:shd w:val="clear" w:color="auto" w:fill="auto"/>
            <w:vAlign w:val="center"/>
          </w:tcPr>
          <w:p w14:paraId="366E765D">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廉政保证</w:t>
            </w:r>
          </w:p>
        </w:tc>
        <w:tc>
          <w:tcPr>
            <w:tcW w:w="645" w:type="pct"/>
            <w:vAlign w:val="center"/>
          </w:tcPr>
          <w:p w14:paraId="458876C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0D569E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3E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688E3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686" w:type="pct"/>
            <w:vAlign w:val="center"/>
          </w:tcPr>
          <w:p w14:paraId="00F80B38">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第十一条</w:t>
            </w:r>
          </w:p>
        </w:tc>
        <w:tc>
          <w:tcPr>
            <w:tcW w:w="1476" w:type="pct"/>
            <w:vAlign w:val="center"/>
          </w:tcPr>
          <w:p w14:paraId="2A82EF34">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其他约定</w:t>
            </w:r>
          </w:p>
        </w:tc>
        <w:tc>
          <w:tcPr>
            <w:tcW w:w="645" w:type="pct"/>
            <w:vAlign w:val="center"/>
          </w:tcPr>
          <w:p w14:paraId="339FE2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131FB8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6D3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1D4D35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686" w:type="pct"/>
            <w:vAlign w:val="center"/>
          </w:tcPr>
          <w:p w14:paraId="55E7CAE9">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第十二条</w:t>
            </w:r>
          </w:p>
        </w:tc>
        <w:tc>
          <w:tcPr>
            <w:tcW w:w="1476" w:type="pct"/>
            <w:vAlign w:val="center"/>
          </w:tcPr>
          <w:p w14:paraId="45065E66">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保密约定</w:t>
            </w:r>
          </w:p>
        </w:tc>
        <w:tc>
          <w:tcPr>
            <w:tcW w:w="645" w:type="pct"/>
            <w:vAlign w:val="center"/>
          </w:tcPr>
          <w:p w14:paraId="283E83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2BA575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45E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08FCE6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686" w:type="pct"/>
            <w:vAlign w:val="center"/>
          </w:tcPr>
          <w:p w14:paraId="05052A5C">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第十三条</w:t>
            </w:r>
          </w:p>
        </w:tc>
        <w:tc>
          <w:tcPr>
            <w:tcW w:w="1476" w:type="pct"/>
            <w:vAlign w:val="center"/>
          </w:tcPr>
          <w:p w14:paraId="384D8C01">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不可抗力</w:t>
            </w:r>
          </w:p>
        </w:tc>
        <w:tc>
          <w:tcPr>
            <w:tcW w:w="645" w:type="pct"/>
            <w:vAlign w:val="center"/>
          </w:tcPr>
          <w:p w14:paraId="201BFF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51B03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F58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395DF4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686" w:type="pct"/>
            <w:vAlign w:val="center"/>
          </w:tcPr>
          <w:p w14:paraId="47265FC9">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第十四条</w:t>
            </w:r>
          </w:p>
        </w:tc>
        <w:tc>
          <w:tcPr>
            <w:tcW w:w="1476" w:type="pct"/>
            <w:vAlign w:val="center"/>
          </w:tcPr>
          <w:p w14:paraId="3F24F1CD">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争议解决</w:t>
            </w:r>
          </w:p>
        </w:tc>
        <w:tc>
          <w:tcPr>
            <w:tcW w:w="645" w:type="pct"/>
            <w:vAlign w:val="center"/>
          </w:tcPr>
          <w:p w14:paraId="7B26EB7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27EAD6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89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6505A8DD">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686" w:type="pct"/>
            <w:vAlign w:val="center"/>
          </w:tcPr>
          <w:p w14:paraId="76710472">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第十五条</w:t>
            </w:r>
          </w:p>
        </w:tc>
        <w:tc>
          <w:tcPr>
            <w:tcW w:w="1476" w:type="pct"/>
            <w:vAlign w:val="center"/>
          </w:tcPr>
          <w:p w14:paraId="1BBF4342">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p>
        </w:tc>
        <w:tc>
          <w:tcPr>
            <w:tcW w:w="645" w:type="pct"/>
            <w:vAlign w:val="center"/>
          </w:tcPr>
          <w:p w14:paraId="0388C11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1FD2D3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DA8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6DE7C50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686" w:type="pct"/>
            <w:vAlign w:val="center"/>
          </w:tcPr>
          <w:p w14:paraId="0DDF5A62">
            <w:pPr>
              <w:pStyle w:val="65"/>
              <w:spacing w:line="4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76" w:type="pct"/>
            <w:vAlign w:val="center"/>
          </w:tcPr>
          <w:p w14:paraId="5CC2137B">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廉洁协议书</w:t>
            </w:r>
          </w:p>
        </w:tc>
        <w:tc>
          <w:tcPr>
            <w:tcW w:w="645" w:type="pct"/>
            <w:vAlign w:val="center"/>
          </w:tcPr>
          <w:p w14:paraId="33CCD27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2B4245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FD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4B028AD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p>
        </w:tc>
        <w:tc>
          <w:tcPr>
            <w:tcW w:w="686" w:type="pct"/>
            <w:shd w:val="clear" w:color="auto" w:fill="auto"/>
            <w:vAlign w:val="center"/>
          </w:tcPr>
          <w:p w14:paraId="389C63D7">
            <w:pPr>
              <w:pStyle w:val="65"/>
              <w:spacing w:line="4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76" w:type="pct"/>
            <w:shd w:val="clear" w:color="auto" w:fill="auto"/>
            <w:vAlign w:val="center"/>
          </w:tcPr>
          <w:p w14:paraId="632B4A4B">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安全生产管理协议</w:t>
            </w:r>
          </w:p>
        </w:tc>
        <w:tc>
          <w:tcPr>
            <w:tcW w:w="645" w:type="pct"/>
            <w:vAlign w:val="center"/>
          </w:tcPr>
          <w:p w14:paraId="6FF568E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1F69EF9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EF0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79038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686" w:type="pct"/>
            <w:shd w:val="clear" w:color="auto" w:fill="auto"/>
            <w:vAlign w:val="center"/>
          </w:tcPr>
          <w:p w14:paraId="1546D813">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1476" w:type="pct"/>
            <w:shd w:val="clear" w:color="auto" w:fill="auto"/>
            <w:vAlign w:val="center"/>
          </w:tcPr>
          <w:p w14:paraId="6357024D">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不可撤销银行履约保函</w:t>
            </w:r>
          </w:p>
        </w:tc>
        <w:tc>
          <w:tcPr>
            <w:tcW w:w="645" w:type="pct"/>
            <w:vAlign w:val="center"/>
          </w:tcPr>
          <w:p w14:paraId="7768BC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6FDC9FB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34D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040604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686" w:type="pct"/>
            <w:shd w:val="clear" w:color="auto" w:fill="auto"/>
            <w:vAlign w:val="center"/>
          </w:tcPr>
          <w:p w14:paraId="424173F9">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1476" w:type="pct"/>
            <w:shd w:val="clear" w:color="auto" w:fill="auto"/>
            <w:vAlign w:val="center"/>
          </w:tcPr>
          <w:p w14:paraId="5BFDFA77">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履约保证保险凭证</w:t>
            </w:r>
          </w:p>
        </w:tc>
        <w:tc>
          <w:tcPr>
            <w:tcW w:w="645" w:type="pct"/>
            <w:vAlign w:val="center"/>
          </w:tcPr>
          <w:p w14:paraId="6C19431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2FD4E3F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3B9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6656D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686" w:type="pct"/>
            <w:shd w:val="clear" w:color="auto" w:fill="auto"/>
            <w:vAlign w:val="center"/>
          </w:tcPr>
          <w:p w14:paraId="78780622">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1476" w:type="pct"/>
            <w:shd w:val="clear" w:color="auto" w:fill="auto"/>
            <w:vAlign w:val="center"/>
          </w:tcPr>
          <w:p w14:paraId="232CA194">
            <w:pPr>
              <w:pStyle w:val="65"/>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担保公司履约担保书</w:t>
            </w:r>
          </w:p>
        </w:tc>
        <w:tc>
          <w:tcPr>
            <w:tcW w:w="645" w:type="pct"/>
            <w:vAlign w:val="center"/>
          </w:tcPr>
          <w:p w14:paraId="20FB91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703" w:type="pct"/>
            <w:vAlign w:val="center"/>
          </w:tcPr>
          <w:p w14:paraId="580E7E9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64C1248B">
      <w:pPr>
        <w:autoSpaceDE w:val="0"/>
        <w:autoSpaceDN w:val="0"/>
        <w:adjustRightInd w:val="0"/>
        <w:snapToGrid w:val="0"/>
        <w:spacing w:line="360" w:lineRule="auto"/>
        <w:ind w:left="186" w:leftChars="-158" w:hanging="518" w:hangingChars="247"/>
        <w:jc w:val="left"/>
        <w:rPr>
          <w:rFonts w:ascii="宋体" w:hAnsi="宋体" w:eastAsia="宋体" w:cs="宋体"/>
          <w:color w:val="000000" w:themeColor="text1"/>
          <w:szCs w:val="24"/>
          <w:highlight w:val="none"/>
          <w:lang w:val="zh-CN"/>
          <w14:textFill>
            <w14:solidFill>
              <w14:schemeClr w14:val="tx1"/>
            </w14:solidFill>
          </w14:textFill>
        </w:rPr>
      </w:pPr>
    </w:p>
    <w:p w14:paraId="489F7F8B">
      <w:pPr>
        <w:autoSpaceDE w:val="0"/>
        <w:autoSpaceDN w:val="0"/>
        <w:adjustRightInd w:val="0"/>
        <w:snapToGrid w:val="0"/>
        <w:spacing w:line="360" w:lineRule="auto"/>
        <w:ind w:left="166" w:leftChars="-101" w:hanging="378" w:hangingChars="18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41A127E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000000" w:themeColor="text1"/>
          <w:kern w:val="0"/>
          <w:szCs w:val="21"/>
          <w:highlight w:val="none"/>
          <w14:textFill>
            <w14:solidFill>
              <w14:schemeClr w14:val="tx1"/>
            </w14:solidFill>
          </w14:textFill>
        </w:rPr>
        <w:t>。</w:t>
      </w:r>
    </w:p>
    <w:p w14:paraId="51127C51">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2505A59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2BD82A7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（4）如投标人差异内容较多可另附页说明，并在本偏离表“具体偏离内容”项注明其在投标文件中的具体页码。</w:t>
      </w:r>
    </w:p>
    <w:p w14:paraId="181A7020">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CD6A766">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945CD42">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F9FC117">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24EAD201">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3621A4A7">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507C5C7C">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19A178CC">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88" w:name="_Toc102860082"/>
      <w:bookmarkStart w:id="689" w:name="_Toc102860426"/>
      <w:bookmarkStart w:id="690" w:name="_Toc94107218"/>
      <w:bookmarkStart w:id="691" w:name="_Toc211622217"/>
      <w:bookmarkStart w:id="692" w:name="_Toc13179"/>
      <w:bookmarkStart w:id="693" w:name="_Toc140596937"/>
      <w:bookmarkStart w:id="694" w:name="_Toc5473"/>
      <w:bookmarkStart w:id="695" w:name="_Toc26610"/>
      <w:bookmarkStart w:id="696" w:name="_Toc104991884"/>
      <w:bookmarkStart w:id="697" w:name="_Toc142508377"/>
      <w:bookmarkStart w:id="698" w:name="_Toc29505"/>
      <w:bookmarkStart w:id="699" w:name="_Toc27980_WPSOffice_Level2"/>
      <w:bookmarkStart w:id="700"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688"/>
      <w:bookmarkEnd w:id="689"/>
      <w:bookmarkEnd w:id="690"/>
      <w:bookmarkEnd w:id="691"/>
      <w:bookmarkEnd w:id="692"/>
      <w:bookmarkEnd w:id="693"/>
      <w:bookmarkEnd w:id="694"/>
      <w:bookmarkEnd w:id="695"/>
      <w:bookmarkEnd w:id="696"/>
      <w:bookmarkEnd w:id="697"/>
      <w:bookmarkEnd w:id="698"/>
    </w:p>
    <w:p w14:paraId="31AFD3E8">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bookmarkStart w:id="701" w:name="_Toc30603"/>
      <w:bookmarkStart w:id="702" w:name="_Toc13226"/>
      <w:r>
        <w:rPr>
          <w:rFonts w:hint="eastAsia" w:ascii="宋体" w:hAnsi="宋体" w:eastAsia="宋体" w:cs="Times New Roman"/>
          <w:b/>
          <w:bCs/>
          <w:color w:val="000000" w:themeColor="text1"/>
          <w:sz w:val="30"/>
          <w:szCs w:val="30"/>
          <w:highlight w:val="none"/>
          <w14:textFill>
            <w14:solidFill>
              <w14:schemeClr w14:val="tx1"/>
            </w14:solidFill>
          </w14:textFill>
        </w:rPr>
        <w:t>投标人2022年1月1日至今（签订合同的时间为2022年1月1日或以后）承接的污泥脱水减量化处理服务或污泥脱水减量配合服务业绩</w:t>
      </w:r>
      <w:r>
        <w:rPr>
          <w:rFonts w:hint="eastAsia" w:ascii="宋体" w:hAnsi="宋体" w:eastAsia="宋体" w:cs="Times New Roman"/>
          <w:b/>
          <w:bCs/>
          <w:color w:val="000000" w:themeColor="text1"/>
          <w:sz w:val="30"/>
          <w:szCs w:val="30"/>
          <w:highlight w:val="none"/>
          <w:lang w:val="zh-CN"/>
          <w14:textFill>
            <w14:solidFill>
              <w14:schemeClr w14:val="tx1"/>
            </w14:solidFill>
          </w14:textFill>
        </w:rPr>
        <w:t>表</w:t>
      </w:r>
      <w:bookmarkEnd w:id="701"/>
      <w:bookmarkEnd w:id="702"/>
    </w:p>
    <w:p w14:paraId="764038A3">
      <w:pPr>
        <w:autoSpaceDE w:val="0"/>
        <w:autoSpaceDN w:val="0"/>
        <w:adjustRightInd w:val="0"/>
        <w:spacing w:line="360" w:lineRule="auto"/>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1、污泥脱水减量化处理服务业绩表：投标人202</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年1月1日至今（签订合同的时间为202</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年1月1日或以后）承接的污泥脱水减量化处理服务业绩表</w:t>
      </w:r>
    </w:p>
    <w:tbl>
      <w:tblPr>
        <w:tblStyle w:val="3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3"/>
        <w:gridCol w:w="978"/>
        <w:gridCol w:w="982"/>
        <w:gridCol w:w="2098"/>
        <w:gridCol w:w="950"/>
        <w:gridCol w:w="988"/>
        <w:gridCol w:w="786"/>
        <w:gridCol w:w="811"/>
        <w:gridCol w:w="712"/>
        <w:gridCol w:w="541"/>
      </w:tblGrid>
      <w:tr w14:paraId="6A10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007" w:hRule="exact"/>
          <w:jc w:val="center"/>
        </w:trPr>
        <w:tc>
          <w:tcPr>
            <w:tcW w:w="349" w:type="pct"/>
            <w:noWrap w:val="0"/>
            <w:vAlign w:val="center"/>
          </w:tcPr>
          <w:p w14:paraId="11A377D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14" w:type="pct"/>
            <w:noWrap w:val="0"/>
            <w:vAlign w:val="center"/>
          </w:tcPr>
          <w:p w14:paraId="37541D3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16" w:type="pct"/>
            <w:noWrap w:val="0"/>
            <w:vAlign w:val="center"/>
          </w:tcPr>
          <w:p w14:paraId="465DF6A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1102" w:type="pct"/>
            <w:noWrap w:val="0"/>
            <w:vAlign w:val="center"/>
          </w:tcPr>
          <w:p w14:paraId="4E7B7D5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污泥处理规模（按含水率80%计）（单位：吨/天）</w:t>
            </w:r>
            <w:r>
              <w:rPr>
                <w:rFonts w:hint="eastAsia" w:ascii="宋体" w:hAnsi="宋体" w:eastAsia="宋体" w:cs="宋体"/>
                <w:color w:val="000000" w:themeColor="text1"/>
                <w:szCs w:val="21"/>
                <w:highlight w:val="none"/>
                <w:lang w:val="en-US" w:eastAsia="zh-CN"/>
                <w14:textFill>
                  <w14:solidFill>
                    <w14:schemeClr w14:val="tx1"/>
                  </w14:solidFill>
                </w14:textFill>
              </w:rPr>
              <w:t>或提供的污泥减量设备操作技术人员数量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单位：人</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499" w:type="pct"/>
            <w:noWrap w:val="0"/>
            <w:vAlign w:val="center"/>
          </w:tcPr>
          <w:p w14:paraId="35A448F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19" w:type="pct"/>
            <w:noWrap w:val="0"/>
            <w:vAlign w:val="center"/>
          </w:tcPr>
          <w:p w14:paraId="4045151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13" w:type="pct"/>
            <w:noWrap w:val="0"/>
            <w:vAlign w:val="center"/>
          </w:tcPr>
          <w:p w14:paraId="42E0C1B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26" w:type="pct"/>
            <w:noWrap w:val="0"/>
            <w:vAlign w:val="center"/>
          </w:tcPr>
          <w:p w14:paraId="29BBCB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374" w:type="pct"/>
            <w:noWrap w:val="0"/>
            <w:vAlign w:val="center"/>
          </w:tcPr>
          <w:p w14:paraId="269A809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284" w:type="pct"/>
            <w:noWrap w:val="0"/>
            <w:vAlign w:val="center"/>
          </w:tcPr>
          <w:p w14:paraId="35421B1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1828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21DBF8B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7B7404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95C137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4F2D2BD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7C3468B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46660F8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599EDC8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42FF527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1B8545D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6A6A03F2">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6DB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6E66F4F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437065F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8284D4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402286B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1885001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2FA4FFB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0BDF2AD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7DECE7C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0890E12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63401ED3">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34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BF758F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2713803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584416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265854D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02D78B3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2A7F1D1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4FB6413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6084D5C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38CFA6A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12293006">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EB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6985984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5799474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095B1A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163DF67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050DFE2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6568105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4B03573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4E4A53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2E89164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4E7522D5">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56F7731">
      <w:pPr>
        <w:autoSpaceDE w:val="0"/>
        <w:autoSpaceDN w:val="0"/>
        <w:adjustRightIn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p>
    <w:p w14:paraId="7C1F7764">
      <w:pPr>
        <w:autoSpaceDE w:val="0"/>
        <w:autoSpaceDN w:val="0"/>
        <w:adjustRightInd w:val="0"/>
        <w:spacing w:line="360" w:lineRule="auto"/>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、污泥脱水减量配合服务业绩表：投标人202</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年1月1日至今（签订合同的时间为202</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年1月1日或以后）承接的污泥脱水减量配合服务业绩表</w:t>
      </w:r>
    </w:p>
    <w:tbl>
      <w:tblPr>
        <w:tblStyle w:val="3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3"/>
        <w:gridCol w:w="978"/>
        <w:gridCol w:w="982"/>
        <w:gridCol w:w="2098"/>
        <w:gridCol w:w="950"/>
        <w:gridCol w:w="988"/>
        <w:gridCol w:w="786"/>
        <w:gridCol w:w="811"/>
        <w:gridCol w:w="712"/>
        <w:gridCol w:w="541"/>
      </w:tblGrid>
      <w:tr w14:paraId="4E2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007" w:hRule="exact"/>
          <w:jc w:val="center"/>
        </w:trPr>
        <w:tc>
          <w:tcPr>
            <w:tcW w:w="349" w:type="pct"/>
            <w:noWrap w:val="0"/>
            <w:vAlign w:val="center"/>
          </w:tcPr>
          <w:p w14:paraId="6C088E2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14" w:type="pct"/>
            <w:noWrap w:val="0"/>
            <w:vAlign w:val="center"/>
          </w:tcPr>
          <w:p w14:paraId="2E512AC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16" w:type="pct"/>
            <w:noWrap w:val="0"/>
            <w:vAlign w:val="center"/>
          </w:tcPr>
          <w:p w14:paraId="5B6E00C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1102" w:type="pct"/>
            <w:noWrap w:val="0"/>
            <w:vAlign w:val="center"/>
          </w:tcPr>
          <w:p w14:paraId="6C0F47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提供的污泥减量设备操作技术人员数量（单位：人）或污泥处理规模（按含水率80%计）（单位：吨/天）</w:t>
            </w:r>
          </w:p>
        </w:tc>
        <w:tc>
          <w:tcPr>
            <w:tcW w:w="499" w:type="pct"/>
            <w:noWrap w:val="0"/>
            <w:vAlign w:val="center"/>
          </w:tcPr>
          <w:p w14:paraId="2534757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19" w:type="pct"/>
            <w:noWrap w:val="0"/>
            <w:vAlign w:val="center"/>
          </w:tcPr>
          <w:p w14:paraId="3224273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13" w:type="pct"/>
            <w:noWrap w:val="0"/>
            <w:vAlign w:val="center"/>
          </w:tcPr>
          <w:p w14:paraId="7846003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26" w:type="pct"/>
            <w:noWrap w:val="0"/>
            <w:vAlign w:val="center"/>
          </w:tcPr>
          <w:p w14:paraId="505DCC0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374" w:type="pct"/>
            <w:noWrap w:val="0"/>
            <w:vAlign w:val="center"/>
          </w:tcPr>
          <w:p w14:paraId="50513C0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284" w:type="pct"/>
            <w:noWrap w:val="0"/>
            <w:vAlign w:val="center"/>
          </w:tcPr>
          <w:p w14:paraId="45C2329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9F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9E45F3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35E1B8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62B59E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744F1A4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10C56B2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5C4FF13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5887525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6737C38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33A57FF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56201046">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DD2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5D13A7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424D965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FBC81A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302284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480CCA0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46A014F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7054CAF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307500A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79AE753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0CBC027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43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7CCF2AA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4C6DB7E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A345FD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45C923D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66CBA4D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63D2CDA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41F4DF4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177AFC5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7FCAF51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13B3FE8F">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C70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765326E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4" w:type="pct"/>
            <w:noWrap w:val="0"/>
            <w:vAlign w:val="center"/>
          </w:tcPr>
          <w:p w14:paraId="6A77401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424925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2" w:type="pct"/>
            <w:noWrap w:val="0"/>
            <w:vAlign w:val="center"/>
          </w:tcPr>
          <w:p w14:paraId="6E60FD6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99" w:type="pct"/>
            <w:noWrap w:val="0"/>
            <w:vAlign w:val="center"/>
          </w:tcPr>
          <w:p w14:paraId="3E1AF91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9" w:type="pct"/>
            <w:noWrap w:val="0"/>
            <w:vAlign w:val="center"/>
          </w:tcPr>
          <w:p w14:paraId="44B24B1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3" w:type="pct"/>
            <w:noWrap w:val="0"/>
            <w:vAlign w:val="top"/>
          </w:tcPr>
          <w:p w14:paraId="3C927EF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pct"/>
            <w:noWrap w:val="0"/>
            <w:vAlign w:val="center"/>
          </w:tcPr>
          <w:p w14:paraId="4E602C6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74" w:type="pct"/>
            <w:noWrap w:val="0"/>
            <w:vAlign w:val="center"/>
          </w:tcPr>
          <w:p w14:paraId="4599574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4" w:type="pct"/>
            <w:noWrap w:val="0"/>
            <w:vAlign w:val="center"/>
          </w:tcPr>
          <w:p w14:paraId="381AD71A">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48509AC">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p>
    <w:p w14:paraId="0C2D40BD">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1DEF7884">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（1）业绩需按污泥脱水减量化处理服务和污泥脱水减量配合服务两个类别分别填入对应业绩表中；</w:t>
      </w:r>
      <w:r>
        <w:rPr>
          <w:rFonts w:hint="eastAsia" w:ascii="宋体" w:hAnsi="宋体" w:eastAsia="宋体" w:cs="Times New Roman"/>
          <w:b/>
          <w:bCs/>
          <w:color w:val="000000" w:themeColor="text1"/>
          <w:szCs w:val="24"/>
          <w:highlight w:val="none"/>
          <w:lang w:val="zh-CN"/>
          <w14:textFill>
            <w14:solidFill>
              <w14:schemeClr w14:val="tx1"/>
            </w14:solidFill>
          </w14:textFill>
        </w:rPr>
        <w:t>同一个单项合同的业绩可以同时在资格业绩和评分业绩重复放置，作为投标人资格条件证明的业绩放置在“</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4</w:t>
      </w:r>
      <w:r>
        <w:rPr>
          <w:rFonts w:hint="eastAsia" w:ascii="宋体" w:hAnsi="宋体" w:eastAsia="宋体" w:cs="Times New Roman"/>
          <w:b/>
          <w:bCs/>
          <w:color w:val="000000" w:themeColor="text1"/>
          <w:szCs w:val="24"/>
          <w:highlight w:val="none"/>
          <w:lang w:val="zh-CN"/>
          <w14:textFill>
            <w14:solidFill>
              <w14:schemeClr w14:val="tx1"/>
            </w14:solidFill>
          </w14:textFill>
        </w:rPr>
        <w:t>.4资格业绩”</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处</w:t>
      </w:r>
      <w:r>
        <w:rPr>
          <w:rFonts w:hint="eastAsia" w:ascii="宋体" w:hAnsi="宋体" w:eastAsia="宋体" w:cs="Times New Roman"/>
          <w:b/>
          <w:bCs/>
          <w:color w:val="000000" w:themeColor="text1"/>
          <w:szCs w:val="24"/>
          <w:highlight w:val="none"/>
          <w:lang w:val="zh-CN"/>
          <w14:textFill>
            <w14:solidFill>
              <w14:schemeClr w14:val="tx1"/>
            </w14:solidFill>
          </w14:textFill>
        </w:rPr>
        <w:t>；</w:t>
      </w:r>
    </w:p>
    <w:p w14:paraId="79AC09DD">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bookmarkStart w:id="703" w:name="_Toc3876"/>
      <w:bookmarkStart w:id="704" w:name="_Toc23981"/>
      <w:r>
        <w:rPr>
          <w:rFonts w:hint="eastAsia" w:ascii="宋体" w:hAnsi="宋体" w:eastAsia="宋体" w:cs="宋体"/>
          <w:color w:val="000000" w:themeColor="text1"/>
          <w:highlight w:val="none"/>
          <w:lang w:val="zh-CN"/>
          <w14:textFill>
            <w14:solidFill>
              <w14:schemeClr w14:val="tx1"/>
            </w14:solidFill>
          </w14:textFill>
        </w:rPr>
        <w:t>（2）</w:t>
      </w:r>
      <w:r>
        <w:rPr>
          <w:rFonts w:hint="eastAsia" w:ascii="宋体" w:hAnsi="宋体" w:eastAsia="宋体" w:cs="宋体"/>
          <w:b w:val="0"/>
          <w:bCs w:val="0"/>
          <w:color w:val="000000" w:themeColor="text1"/>
          <w:highlight w:val="none"/>
          <w:u w:val="none"/>
          <w14:textFill>
            <w14:solidFill>
              <w14:schemeClr w14:val="tx1"/>
            </w14:solidFill>
          </w14:textFill>
        </w:rPr>
        <w:t>两个类别的业绩分别按污泥处理规模</w:t>
      </w:r>
      <w:r>
        <w:rPr>
          <w:rFonts w:hint="eastAsia" w:ascii="宋体" w:hAnsi="宋体" w:eastAsia="宋体" w:cs="宋体"/>
          <w:color w:val="000000" w:themeColor="text1"/>
          <w:szCs w:val="21"/>
          <w:highlight w:val="none"/>
          <w14:textFill>
            <w14:solidFill>
              <w14:schemeClr w14:val="tx1"/>
            </w14:solidFill>
          </w14:textFill>
        </w:rPr>
        <w:t>（按含水率80%的湿泥计）</w:t>
      </w:r>
      <w:r>
        <w:rPr>
          <w:rFonts w:hint="eastAsia" w:ascii="宋体" w:hAnsi="宋体" w:eastAsia="宋体" w:cs="宋体"/>
          <w:b w:val="0"/>
          <w:bCs w:val="0"/>
          <w:color w:val="000000" w:themeColor="text1"/>
          <w:highlight w:val="none"/>
          <w:u w:val="none"/>
          <w14:textFill>
            <w14:solidFill>
              <w14:schemeClr w14:val="tx1"/>
            </w14:solidFill>
          </w14:textFill>
        </w:rPr>
        <w:t>（日处理量）和提供的污泥减量设备操作技术人员数量</w:t>
      </w:r>
      <w:r>
        <w:rPr>
          <w:rFonts w:hint="eastAsia" w:ascii="宋体" w:hAnsi="宋体" w:eastAsia="宋体" w:cs="宋体"/>
          <w:b w:val="0"/>
          <w:bCs w:val="0"/>
          <w:color w:val="000000" w:themeColor="text1"/>
          <w:highlight w:val="none"/>
          <w:u w:val="none"/>
          <w:lang w:val="zh-CN"/>
          <w14:textFill>
            <w14:solidFill>
              <w14:schemeClr w14:val="tx1"/>
            </w14:solidFill>
          </w14:textFill>
        </w:rPr>
        <w:t>从大到小的顺序排列</w:t>
      </w:r>
      <w:r>
        <w:rPr>
          <w:rFonts w:hint="eastAsia" w:ascii="宋体" w:hAnsi="宋体" w:eastAsia="宋体" w:cs="宋体"/>
          <w:color w:val="000000" w:themeColor="text1"/>
          <w:highlight w:val="none"/>
          <w:lang w:val="zh-CN"/>
          <w14:textFill>
            <w14:solidFill>
              <w14:schemeClr w14:val="tx1"/>
            </w14:solidFill>
          </w14:textFill>
        </w:rPr>
        <w:t>；</w:t>
      </w:r>
    </w:p>
    <w:p w14:paraId="32215789">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highlight w:val="none"/>
          <w:u w:val="single"/>
          <w:lang w:val="zh-CN"/>
          <w14:textFill>
            <w14:solidFill>
              <w14:schemeClr w14:val="tx1"/>
            </w14:solidFill>
          </w14:textFill>
        </w:rPr>
        <w:t>业绩必须附合同</w:t>
      </w:r>
      <w:r>
        <w:rPr>
          <w:rFonts w:hint="eastAsia" w:ascii="宋体" w:hAnsi="宋体" w:eastAsia="宋体" w:cs="宋体"/>
          <w:b/>
          <w:bCs/>
          <w:color w:val="000000" w:themeColor="text1"/>
          <w:highlight w:val="none"/>
          <w:u w:val="single"/>
          <w:lang w:val="en-US" w:eastAsia="zh-CN"/>
          <w14:textFill>
            <w14:solidFill>
              <w14:schemeClr w14:val="tx1"/>
            </w14:solidFill>
          </w14:textFill>
        </w:rPr>
        <w:t>扫描件</w:t>
      </w:r>
      <w:r>
        <w:rPr>
          <w:rFonts w:hint="eastAsia" w:ascii="宋体" w:hAnsi="宋体" w:eastAsia="宋体" w:cs="宋体"/>
          <w:b/>
          <w:bCs/>
          <w:color w:val="000000" w:themeColor="text1"/>
          <w:highlight w:val="none"/>
          <w:u w:val="single"/>
          <w:lang w:val="zh-CN"/>
          <w14:textFill>
            <w14:solidFill>
              <w14:schemeClr w14:val="tx1"/>
            </w14:solidFill>
          </w14:textFill>
        </w:rPr>
        <w:t>（</w:t>
      </w:r>
      <w:r>
        <w:rPr>
          <w:rFonts w:hint="eastAsia" w:ascii="宋体" w:hAnsi="宋体" w:eastAsia="宋体" w:cs="宋体"/>
          <w:b/>
          <w:bCs/>
          <w:color w:val="000000" w:themeColor="text1"/>
          <w:highlight w:val="none"/>
          <w:u w:val="single"/>
          <w14:textFill>
            <w14:solidFill>
              <w14:schemeClr w14:val="tx1"/>
            </w14:solidFill>
          </w14:textFill>
        </w:rPr>
        <w:t>合同服务提供方为投标人</w:t>
      </w:r>
      <w:r>
        <w:rPr>
          <w:rFonts w:hint="eastAsia" w:ascii="宋体" w:hAnsi="宋体" w:eastAsia="宋体" w:cs="宋体"/>
          <w:b/>
          <w:bCs/>
          <w:color w:val="000000" w:themeColor="text1"/>
          <w:highlight w:val="none"/>
          <w:u w:val="single"/>
          <w:lang w:val="zh-CN"/>
          <w14:textFill>
            <w14:solidFill>
              <w14:schemeClr w14:val="tx1"/>
            </w14:solidFill>
          </w14:textFill>
        </w:rPr>
        <w:t>）。合同必须能反映评分条件（</w:t>
      </w:r>
      <w:r>
        <w:rPr>
          <w:rFonts w:hint="eastAsia" w:ascii="宋体" w:hAnsi="宋体" w:eastAsia="宋体" w:cs="宋体"/>
          <w:b/>
          <w:bCs/>
          <w:color w:val="000000" w:themeColor="text1"/>
          <w:highlight w:val="none"/>
          <w:u w:val="single"/>
          <w14:textFill>
            <w14:solidFill>
              <w14:schemeClr w14:val="tx1"/>
            </w14:solidFill>
          </w14:textFill>
        </w:rPr>
        <w:t>合同签订日期、服务内容、污泥处理规模/污泥减量设备操作技术人员数量、合同期限</w:t>
      </w:r>
      <w:r>
        <w:rPr>
          <w:rFonts w:hint="eastAsia" w:ascii="宋体" w:hAnsi="宋体" w:eastAsia="宋体" w:cs="宋体"/>
          <w:b/>
          <w:bCs/>
          <w:color w:val="000000" w:themeColor="text1"/>
          <w:highlight w:val="none"/>
          <w:u w:val="single"/>
          <w:lang w:val="zh-CN"/>
          <w14:textFill>
            <w14:solidFill>
              <w14:schemeClr w14:val="tx1"/>
            </w14:solidFill>
          </w14:textFill>
        </w:rPr>
        <w:t>），否则，需同时提供服务购买方出具的书面补充情况说明文件</w:t>
      </w:r>
      <w:r>
        <w:rPr>
          <w:rFonts w:hint="eastAsia" w:ascii="宋体" w:hAnsi="宋体" w:eastAsia="宋体" w:cs="宋体"/>
          <w:b/>
          <w:bCs/>
          <w:color w:val="000000" w:themeColor="text1"/>
          <w:highlight w:val="none"/>
          <w:u w:val="single"/>
          <w:lang w:val="en-US" w:eastAsia="zh-CN"/>
          <w14:textFill>
            <w14:solidFill>
              <w14:schemeClr w14:val="tx1"/>
            </w14:solidFill>
          </w14:textFill>
        </w:rPr>
        <w:t>扫描件</w:t>
      </w:r>
      <w:r>
        <w:rPr>
          <w:rFonts w:hint="eastAsia" w:ascii="宋体" w:hAnsi="宋体" w:eastAsia="宋体" w:cs="宋体"/>
          <w:b/>
          <w:bCs/>
          <w:color w:val="000000" w:themeColor="text1"/>
          <w:highlight w:val="none"/>
          <w:u w:val="single"/>
          <w:lang w:val="zh-CN"/>
          <w14:textFill>
            <w14:solidFill>
              <w14:schemeClr w14:val="tx1"/>
            </w14:solidFill>
          </w14:textFill>
        </w:rPr>
        <w:t>（</w:t>
      </w:r>
      <w:r>
        <w:rPr>
          <w:rFonts w:hint="eastAsia" w:ascii="宋体" w:hAnsi="宋体" w:eastAsia="宋体" w:cs="宋体"/>
          <w:b/>
          <w:bCs/>
          <w:color w:val="000000" w:themeColor="text1"/>
          <w:highlight w:val="none"/>
          <w:u w:val="single"/>
          <w14:textFill>
            <w14:solidFill>
              <w14:schemeClr w14:val="tx1"/>
            </w14:solidFill>
          </w14:textFill>
        </w:rPr>
        <w:t>前述扫描件能显示服务购买方公章</w:t>
      </w:r>
      <w:r>
        <w:rPr>
          <w:rFonts w:hint="eastAsia" w:ascii="宋体" w:hAnsi="宋体" w:eastAsia="宋体" w:cs="宋体"/>
          <w:b/>
          <w:bCs/>
          <w:color w:val="000000" w:themeColor="text1"/>
          <w:highlight w:val="none"/>
          <w:u w:val="single"/>
          <w:lang w:val="zh-CN"/>
          <w14:textFill>
            <w14:solidFill>
              <w14:schemeClr w14:val="tx1"/>
            </w14:solidFill>
          </w14:textFill>
        </w:rPr>
        <w:t>），</w:t>
      </w:r>
      <w:r>
        <w:rPr>
          <w:rFonts w:hint="eastAsia" w:ascii="宋体" w:hAnsi="宋体" w:eastAsia="宋体" w:cs="宋体"/>
          <w:b/>
          <w:bCs/>
          <w:color w:val="000000" w:themeColor="text1"/>
          <w:highlight w:val="none"/>
          <w:u w:val="single"/>
          <w14:textFill>
            <w14:solidFill>
              <w14:schemeClr w14:val="tx1"/>
            </w14:solidFill>
          </w14:textFill>
        </w:rPr>
        <w:t>否则不得分</w:t>
      </w:r>
      <w:r>
        <w:rPr>
          <w:rFonts w:hint="eastAsia" w:ascii="宋体" w:hAnsi="宋体" w:eastAsia="宋体" w:cs="宋体"/>
          <w:color w:val="000000" w:themeColor="text1"/>
          <w:highlight w:val="none"/>
          <w:lang w:val="zh-CN"/>
          <w14:textFill>
            <w14:solidFill>
              <w14:schemeClr w14:val="tx1"/>
            </w14:solidFill>
          </w14:textFill>
        </w:rPr>
        <w:t>。</w:t>
      </w:r>
    </w:p>
    <w:p w14:paraId="260E9B48">
      <w:pPr>
        <w:snapToGrid w:val="0"/>
        <w:spacing w:line="360" w:lineRule="auto"/>
        <w:ind w:left="396" w:leftChars="-58" w:hanging="518" w:hangingChars="247"/>
        <w:outlineLvl w:val="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val="0"/>
          <w:color w:val="000000" w:themeColor="text1"/>
          <w:szCs w:val="21"/>
          <w:highlight w:val="none"/>
          <w:u w:val="single"/>
          <w14:textFill>
            <w14:solidFill>
              <w14:schemeClr w14:val="tx1"/>
            </w14:solidFill>
          </w14:textFill>
        </w:rPr>
        <w:t>污泥脱水减量化处理服务</w:t>
      </w:r>
      <w:r>
        <w:rPr>
          <w:rFonts w:hint="eastAsia" w:ascii="宋体" w:hAnsi="宋体" w:eastAsia="宋体" w:cs="宋体"/>
          <w:b/>
          <w:bCs w:val="0"/>
          <w:color w:val="000000" w:themeColor="text1"/>
          <w:highlight w:val="none"/>
          <w:u w:val="single"/>
          <w14:textFill>
            <w14:solidFill>
              <w14:schemeClr w14:val="tx1"/>
            </w14:solidFill>
          </w14:textFill>
        </w:rPr>
        <w:t>单项合同业绩的服务内容须</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包含</w:t>
      </w:r>
      <w:r>
        <w:rPr>
          <w:rFonts w:hint="eastAsia" w:ascii="宋体" w:hAnsi="宋体" w:eastAsia="宋体" w:cs="宋体"/>
          <w:b/>
          <w:bCs w:val="0"/>
          <w:color w:val="000000" w:themeColor="text1"/>
          <w:highlight w:val="none"/>
          <w:u w:val="single"/>
          <w14:textFill>
            <w14:solidFill>
              <w14:schemeClr w14:val="tx1"/>
            </w14:solidFill>
          </w14:textFill>
        </w:rPr>
        <w:t>污泥脱水减量化处理服务，如单项合同业绩的服务内容为污泥的全流程处理处置，必须</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包含</w:t>
      </w:r>
      <w:r>
        <w:rPr>
          <w:rFonts w:hint="eastAsia" w:ascii="宋体" w:hAnsi="宋体" w:eastAsia="宋体" w:cs="宋体"/>
          <w:b/>
          <w:bCs w:val="0"/>
          <w:color w:val="000000" w:themeColor="text1"/>
          <w:highlight w:val="none"/>
          <w:u w:val="single"/>
          <w14:textFill>
            <w14:solidFill>
              <w14:schemeClr w14:val="tx1"/>
            </w14:solidFill>
          </w14:textFill>
        </w:rPr>
        <w:t>污泥</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脱水</w:t>
      </w:r>
      <w:r>
        <w:rPr>
          <w:rFonts w:hint="eastAsia" w:ascii="宋体" w:hAnsi="宋体" w:eastAsia="宋体" w:cs="宋体"/>
          <w:b/>
          <w:bCs w:val="0"/>
          <w:color w:val="000000" w:themeColor="text1"/>
          <w:highlight w:val="none"/>
          <w:u w:val="single"/>
          <w14:textFill>
            <w14:solidFill>
              <w14:schemeClr w14:val="tx1"/>
            </w14:solidFill>
          </w14:textFill>
        </w:rPr>
        <w:t>减量化处理</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的</w:t>
      </w:r>
      <w:r>
        <w:rPr>
          <w:rFonts w:hint="eastAsia" w:ascii="宋体" w:hAnsi="宋体" w:eastAsia="宋体" w:cs="宋体"/>
          <w:b/>
          <w:bCs w:val="0"/>
          <w:color w:val="000000" w:themeColor="text1"/>
          <w:highlight w:val="none"/>
          <w:u w:val="single"/>
          <w14:textFill>
            <w14:solidFill>
              <w14:schemeClr w14:val="tx1"/>
            </w14:solidFill>
          </w14:textFill>
        </w:rPr>
        <w:t>服务内容，否则不得分</w:t>
      </w:r>
      <w:r>
        <w:rPr>
          <w:rFonts w:hint="eastAsia" w:ascii="宋体" w:hAnsi="宋体" w:eastAsia="宋体" w:cs="宋体"/>
          <w:color w:val="000000" w:themeColor="text1"/>
          <w:highlight w:val="none"/>
          <w14:textFill>
            <w14:solidFill>
              <w14:schemeClr w14:val="tx1"/>
            </w14:solidFill>
          </w14:textFill>
        </w:rPr>
        <w:t>。</w:t>
      </w:r>
    </w:p>
    <w:p w14:paraId="1AE40343">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b/>
          <w:bCs w:val="0"/>
          <w:color w:val="000000" w:themeColor="text1"/>
          <w:szCs w:val="21"/>
          <w:highlight w:val="none"/>
          <w:u w:val="single"/>
          <w14:textFill>
            <w14:solidFill>
              <w14:schemeClr w14:val="tx1"/>
            </w14:solidFill>
          </w14:textFill>
        </w:rPr>
        <w:t>污泥脱水减量化处理服务</w:t>
      </w:r>
      <w:r>
        <w:rPr>
          <w:rFonts w:hint="eastAsia" w:ascii="宋体" w:hAnsi="宋体" w:eastAsia="宋体" w:cs="宋体"/>
          <w:b/>
          <w:bCs w:val="0"/>
          <w:color w:val="000000" w:themeColor="text1"/>
          <w:highlight w:val="none"/>
          <w:u w:val="single"/>
          <w14:textFill>
            <w14:solidFill>
              <w14:schemeClr w14:val="tx1"/>
            </w14:solidFill>
          </w14:textFill>
        </w:rPr>
        <w:t>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000000" w:themeColor="text1"/>
          <w:highlight w:val="none"/>
          <w:lang w:val="zh-CN"/>
          <w14:textFill>
            <w14:solidFill>
              <w14:schemeClr w14:val="tx1"/>
            </w14:solidFill>
          </w14:textFill>
        </w:rPr>
        <w:t>。</w:t>
      </w:r>
    </w:p>
    <w:p w14:paraId="789ACFD5">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zh-CN"/>
          <w14:textFill>
            <w14:solidFill>
              <w14:schemeClr w14:val="tx1"/>
            </w14:solidFill>
          </w14:textFill>
        </w:rPr>
        <w:t>若</w:t>
      </w:r>
      <w:r>
        <w:rPr>
          <w:rFonts w:hint="eastAsia" w:ascii="宋体" w:hAnsi="宋体" w:eastAsia="宋体" w:cs="宋体"/>
          <w:b/>
          <w:bCs/>
          <w:color w:val="000000" w:themeColor="text1"/>
          <w:highlight w:val="none"/>
          <w:u w:val="single"/>
          <w14:textFill>
            <w14:solidFill>
              <w14:schemeClr w14:val="tx1"/>
            </w14:solidFill>
          </w14:textFill>
        </w:rPr>
        <w:t>业绩</w:t>
      </w:r>
      <w:r>
        <w:rPr>
          <w:rFonts w:hint="eastAsia" w:ascii="宋体" w:hAnsi="宋体" w:eastAsia="宋体" w:cs="宋体"/>
          <w:b/>
          <w:bCs/>
          <w:color w:val="000000" w:themeColor="text1"/>
          <w:szCs w:val="21"/>
          <w:highlight w:val="none"/>
          <w:u w:val="single"/>
          <w:lang w:val="zh-CN"/>
          <w14:textFill>
            <w14:solidFill>
              <w14:schemeClr w14:val="tx1"/>
            </w14:solidFill>
          </w14:textFill>
        </w:rPr>
        <w:t>为无明确</w:t>
      </w:r>
      <w:r>
        <w:rPr>
          <w:rFonts w:hint="eastAsia" w:ascii="宋体" w:hAnsi="宋体" w:eastAsia="宋体" w:cs="宋体"/>
          <w:b/>
          <w:bCs/>
          <w:color w:val="000000" w:themeColor="text1"/>
          <w:szCs w:val="21"/>
          <w:highlight w:val="none"/>
          <w:u w:val="single"/>
          <w14:textFill>
            <w14:solidFill>
              <w14:schemeClr w14:val="tx1"/>
            </w14:solidFill>
          </w14:textFill>
        </w:rPr>
        <w:t>污泥处理规模，</w:t>
      </w:r>
      <w:r>
        <w:rPr>
          <w:rFonts w:hint="eastAsia" w:ascii="宋体" w:hAnsi="宋体" w:eastAsia="宋体" w:cs="宋体"/>
          <w:b/>
          <w:bCs/>
          <w:color w:val="000000" w:themeColor="text1"/>
          <w:szCs w:val="21"/>
          <w:highlight w:val="none"/>
          <w:u w:val="single"/>
          <w:lang w:val="zh-CN"/>
          <w14:textFill>
            <w14:solidFill>
              <w14:schemeClr w14:val="tx1"/>
            </w14:solidFill>
          </w14:textFill>
        </w:rPr>
        <w:t>必须同时提供合同期限内</w:t>
      </w: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单个月份</w:t>
      </w:r>
      <w:r>
        <w:rPr>
          <w:rFonts w:hint="eastAsia" w:ascii="宋体" w:hAnsi="宋体" w:eastAsia="宋体" w:cs="宋体"/>
          <w:b/>
          <w:bCs/>
          <w:color w:val="000000" w:themeColor="text1"/>
          <w:szCs w:val="21"/>
          <w:highlight w:val="none"/>
          <w:u w:val="single"/>
          <w:lang w:val="zh-CN"/>
          <w14:textFill>
            <w14:solidFill>
              <w14:schemeClr w14:val="tx1"/>
            </w14:solidFill>
          </w14:textFill>
        </w:rPr>
        <w:t>已处理的生活污水处理厂污泥处理量统计表和污泥转运联单</w:t>
      </w:r>
      <w:r>
        <w:rPr>
          <w:rFonts w:hint="eastAsia" w:ascii="宋体" w:hAnsi="宋体" w:eastAsia="宋体" w:cs="宋体"/>
          <w:b/>
          <w:bCs/>
          <w:color w:val="000000" w:themeColor="text1"/>
          <w:highlight w:val="none"/>
          <w:u w:val="single"/>
          <w:lang w:val="en-US" w:eastAsia="zh-CN"/>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（无转运联单的，提供服务发票</w:t>
      </w:r>
      <w:r>
        <w:rPr>
          <w:rFonts w:hint="eastAsia" w:ascii="宋体" w:hAnsi="宋体" w:eastAsia="宋体" w:cs="宋体"/>
          <w:b/>
          <w:bCs/>
          <w:color w:val="000000" w:themeColor="text1"/>
          <w:highlight w:val="none"/>
          <w:u w:val="single"/>
          <w:lang w:val="en-US" w:eastAsia="zh-CN"/>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及折算处理量数据或污泥产生单位盖章的证明文件</w:t>
      </w:r>
      <w:r>
        <w:rPr>
          <w:rFonts w:hint="eastAsia" w:ascii="宋体" w:hAnsi="宋体" w:eastAsia="宋体" w:cs="宋体"/>
          <w:b/>
          <w:bCs/>
          <w:color w:val="000000" w:themeColor="text1"/>
          <w:highlight w:val="none"/>
          <w:u w:val="single"/>
          <w:lang w:val="en-US" w:eastAsia="zh-CN"/>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替代）以证明污泥处理规模，日平均生活污水处理厂污泥处理量按合同期限内</w:t>
      </w: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单个月份</w:t>
      </w:r>
      <w:r>
        <w:rPr>
          <w:rFonts w:hint="eastAsia" w:ascii="宋体" w:hAnsi="宋体" w:eastAsia="宋体" w:cs="宋体"/>
          <w:b/>
          <w:bCs/>
          <w:color w:val="000000" w:themeColor="text1"/>
          <w:szCs w:val="21"/>
          <w:highlight w:val="none"/>
          <w:u w:val="single"/>
          <w:lang w:val="zh-CN"/>
          <w14:textFill>
            <w14:solidFill>
              <w14:schemeClr w14:val="tx1"/>
            </w14:solidFill>
          </w14:textFill>
        </w:rPr>
        <w:t>已处理的生活污水处理厂污泥处理量除以</w:t>
      </w: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单个月份自然天数</w:t>
      </w:r>
      <w:r>
        <w:rPr>
          <w:rFonts w:hint="eastAsia" w:ascii="宋体" w:hAnsi="宋体" w:eastAsia="宋体" w:cs="宋体"/>
          <w:b/>
          <w:bCs/>
          <w:color w:val="000000" w:themeColor="text1"/>
          <w:szCs w:val="21"/>
          <w:highlight w:val="none"/>
          <w:u w:val="single"/>
          <w:lang w:val="zh-CN"/>
          <w14:textFill>
            <w14:solidFill>
              <w14:schemeClr w14:val="tx1"/>
            </w14:solidFill>
          </w14:textFill>
        </w:rPr>
        <w:t>进行计算，并以此作为污泥处理规模进行评审</w:t>
      </w:r>
      <w:r>
        <w:rPr>
          <w:rFonts w:hint="eastAsia" w:ascii="宋体" w:hAnsi="宋体" w:eastAsia="宋体" w:cs="宋体"/>
          <w:color w:val="000000" w:themeColor="text1"/>
          <w:szCs w:val="21"/>
          <w:highlight w:val="none"/>
          <w:lang w:val="zh-CN"/>
          <w14:textFill>
            <w14:solidFill>
              <w14:schemeClr w14:val="tx1"/>
            </w14:solidFill>
          </w14:textFill>
        </w:rPr>
        <w:t>。</w:t>
      </w:r>
    </w:p>
    <w:p w14:paraId="5AA9C15F">
      <w:pPr>
        <w:snapToGrid w:val="0"/>
        <w:spacing w:line="360" w:lineRule="auto"/>
        <w:ind w:left="396" w:leftChars="-58" w:hanging="518" w:hangingChars="247"/>
        <w:outlineLvl w:val="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highlight w:val="none"/>
          <w:u w:val="single"/>
          <w:lang w:val="zh-CN"/>
          <w14:textFill>
            <w14:solidFill>
              <w14:schemeClr w14:val="tx1"/>
            </w14:solidFill>
          </w14:textFill>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b/>
          <w:bCs/>
          <w:color w:val="000000" w:themeColor="text1"/>
          <w:highlight w:val="none"/>
          <w:u w:val="single"/>
          <w:lang w:val="zh-CN" w:eastAsia="zh-CN"/>
          <w14:textFill>
            <w14:solidFill>
              <w14:schemeClr w14:val="tx1"/>
            </w14:solidFill>
          </w14:textFill>
        </w:rPr>
        <w:t>的污泥</w:t>
      </w:r>
      <w:r>
        <w:rPr>
          <w:rFonts w:hint="eastAsia" w:ascii="宋体" w:hAnsi="宋体" w:eastAsia="宋体" w:cs="宋体"/>
          <w:b/>
          <w:bCs/>
          <w:color w:val="000000" w:themeColor="text1"/>
          <w:highlight w:val="none"/>
          <w:u w:val="single"/>
          <w:lang w:val="zh-CN"/>
          <w14:textFill>
            <w14:solidFill>
              <w14:schemeClr w14:val="tx1"/>
            </w14:solidFill>
          </w14:textFill>
        </w:rPr>
        <w:t>处理规模/污泥减量设备操作技术人员数量的累加值计算得分</w:t>
      </w:r>
      <w:r>
        <w:rPr>
          <w:rFonts w:hint="eastAsia" w:ascii="宋体" w:hAnsi="宋体" w:eastAsia="宋体" w:cs="宋体"/>
          <w:color w:val="000000" w:themeColor="text1"/>
          <w:highlight w:val="none"/>
          <w:lang w:val="zh-CN"/>
          <w14:textFill>
            <w14:solidFill>
              <w14:schemeClr w14:val="tx1"/>
            </w14:solidFill>
          </w14:textFill>
        </w:rPr>
        <w:t>。</w:t>
      </w:r>
    </w:p>
    <w:p w14:paraId="6E65D5A4">
      <w:pPr>
        <w:snapToGrid w:val="0"/>
        <w:spacing w:line="360" w:lineRule="auto"/>
        <w:ind w:left="396" w:leftChars="-58" w:hanging="518" w:hangingChars="247"/>
        <w:outlineLvl w:val="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val="0"/>
          <w:color w:val="000000" w:themeColor="text1"/>
          <w:szCs w:val="21"/>
          <w:highlight w:val="none"/>
          <w:u w:val="single"/>
          <w14:textFill>
            <w14:solidFill>
              <w14:schemeClr w14:val="tx1"/>
            </w14:solidFill>
          </w14:textFill>
        </w:rPr>
        <w:t>污泥脱水减量配合服务单项合同业绩的服务内容若为以劳务派遣或劳务外包的方式提供污泥脱水减量化服务人员的，</w:t>
      </w:r>
      <w:r>
        <w:rPr>
          <w:rFonts w:hint="eastAsia" w:ascii="宋体" w:hAnsi="宋体" w:eastAsia="宋体" w:cs="宋体"/>
          <w:b/>
          <w:bCs w:val="0"/>
          <w:color w:val="000000" w:themeColor="text1"/>
          <w:szCs w:val="21"/>
          <w:highlight w:val="none"/>
          <w:u w:val="single"/>
          <w:lang w:val="en-US" w:eastAsia="zh-CN"/>
          <w14:textFill>
            <w14:solidFill>
              <w14:schemeClr w14:val="tx1"/>
            </w14:solidFill>
          </w14:textFill>
        </w:rPr>
        <w:t>服务内容</w:t>
      </w:r>
      <w:r>
        <w:rPr>
          <w:rFonts w:hint="eastAsia" w:ascii="宋体" w:hAnsi="宋体" w:eastAsia="宋体" w:cs="宋体"/>
          <w:b/>
          <w:bCs w:val="0"/>
          <w:color w:val="000000" w:themeColor="text1"/>
          <w:szCs w:val="21"/>
          <w:highlight w:val="none"/>
          <w:u w:val="single"/>
          <w14:textFill>
            <w14:solidFill>
              <w14:schemeClr w14:val="tx1"/>
            </w14:solidFill>
          </w14:textFill>
        </w:rPr>
        <w:t>必须</w:t>
      </w:r>
      <w:r>
        <w:rPr>
          <w:rFonts w:hint="eastAsia" w:ascii="宋体" w:hAnsi="宋体" w:eastAsia="宋体" w:cs="宋体"/>
          <w:b/>
          <w:bCs w:val="0"/>
          <w:color w:val="000000" w:themeColor="text1"/>
          <w:szCs w:val="21"/>
          <w:highlight w:val="none"/>
          <w:u w:val="single"/>
          <w:lang w:val="en-US" w:eastAsia="zh-CN"/>
          <w14:textFill>
            <w14:solidFill>
              <w14:schemeClr w14:val="tx1"/>
            </w14:solidFill>
          </w14:textFill>
        </w:rPr>
        <w:t>包含提供从事污泥脱水压滤设备的操作技术人员</w:t>
      </w:r>
      <w:r>
        <w:rPr>
          <w:rFonts w:hint="eastAsia" w:ascii="宋体" w:hAnsi="宋体" w:eastAsia="宋体" w:cs="宋体"/>
          <w:b/>
          <w:bCs w:val="0"/>
          <w:color w:val="000000" w:themeColor="text1"/>
          <w:szCs w:val="21"/>
          <w:highlight w:val="none"/>
          <w:u w:val="single"/>
          <w14:textFill>
            <w14:solidFill>
              <w14:schemeClr w14:val="tx1"/>
            </w14:solidFill>
          </w14:textFill>
        </w:rPr>
        <w:t>，否则不得分</w:t>
      </w:r>
      <w:r>
        <w:rPr>
          <w:rFonts w:hint="eastAsia" w:ascii="宋体" w:hAnsi="宋体" w:eastAsia="宋体" w:cs="宋体"/>
          <w:bCs/>
          <w:color w:val="000000" w:themeColor="text1"/>
          <w:szCs w:val="21"/>
          <w:highlight w:val="none"/>
          <w14:textFill>
            <w14:solidFill>
              <w14:schemeClr w14:val="tx1"/>
            </w14:solidFill>
          </w14:textFill>
        </w:rPr>
        <w:t>。</w:t>
      </w:r>
    </w:p>
    <w:p w14:paraId="609A8FFA">
      <w:pPr>
        <w:snapToGrid w:val="0"/>
        <w:spacing w:line="360" w:lineRule="auto"/>
        <w:ind w:left="396" w:leftChars="-58" w:hanging="518" w:hangingChars="247"/>
        <w:outlineLvl w:val="9"/>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highlight w:val="none"/>
          <w:u w:val="single"/>
          <w:lang w:val="en-US" w:eastAsia="zh-CN"/>
          <w14:textFill>
            <w14:solidFill>
              <w14:schemeClr w14:val="tx1"/>
            </w14:solidFill>
          </w14:textFill>
        </w:rPr>
        <w:t>若单项合同业绩中既有</w:t>
      </w:r>
      <w:r>
        <w:rPr>
          <w:rFonts w:hint="eastAsia" w:ascii="宋体" w:hAnsi="宋体" w:eastAsia="宋体" w:cs="宋体"/>
          <w:b/>
          <w:bCs/>
          <w:color w:val="000000" w:themeColor="text1"/>
          <w:szCs w:val="21"/>
          <w:highlight w:val="none"/>
          <w:u w:val="single"/>
          <w14:textFill>
            <w14:solidFill>
              <w14:schemeClr w14:val="tx1"/>
            </w14:solidFill>
          </w14:textFill>
        </w:rPr>
        <w:t>污泥处理规模</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又有</w:t>
      </w:r>
      <w:r>
        <w:rPr>
          <w:rFonts w:hint="eastAsia" w:ascii="宋体" w:hAnsi="宋体" w:eastAsia="宋体" w:cs="宋体"/>
          <w:b/>
          <w:bCs/>
          <w:color w:val="000000" w:themeColor="text1"/>
          <w:szCs w:val="21"/>
          <w:highlight w:val="none"/>
          <w:u w:val="single"/>
          <w14:textFill>
            <w14:solidFill>
              <w14:schemeClr w14:val="tx1"/>
            </w14:solidFill>
          </w14:textFill>
        </w:rPr>
        <w:t>污泥减量设备操作技术人员数量</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的，不重复得分，按较高得分标准计分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06E4984A">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highlight w:val="none"/>
          <w:u w:val="single"/>
          <w14:textFill>
            <w14:solidFill>
              <w14:schemeClr w14:val="tx1"/>
            </w14:solidFill>
          </w14:textFill>
        </w:rPr>
        <w:t>单项合同业绩的</w:t>
      </w:r>
      <w:r>
        <w:rPr>
          <w:rFonts w:hint="eastAsia" w:ascii="宋体" w:hAnsi="宋体" w:eastAsia="宋体" w:cs="宋体"/>
          <w:b/>
          <w:bCs/>
          <w:color w:val="000000" w:themeColor="text1"/>
          <w:highlight w:val="none"/>
          <w:u w:val="single"/>
          <w:lang w:val="zh-CN"/>
          <w14:textFill>
            <w14:solidFill>
              <w14:schemeClr w14:val="tx1"/>
            </w14:solidFill>
          </w14:textFill>
        </w:rPr>
        <w:t>合同服务期限要求大于或等于</w:t>
      </w:r>
      <w:r>
        <w:rPr>
          <w:rFonts w:hint="eastAsia" w:ascii="宋体" w:hAnsi="宋体" w:eastAsia="宋体" w:cs="宋体"/>
          <w:b/>
          <w:bCs/>
          <w:color w:val="000000" w:themeColor="text1"/>
          <w:highlight w:val="none"/>
          <w:u w:val="single"/>
          <w:lang w:val="zh-CN" w:eastAsia="zh-CN"/>
          <w14:textFill>
            <w14:solidFill>
              <w14:schemeClr w14:val="tx1"/>
            </w14:solidFill>
          </w14:textFill>
        </w:rPr>
        <w:t>1年</w:t>
      </w:r>
      <w:r>
        <w:rPr>
          <w:rFonts w:hint="eastAsia" w:ascii="宋体" w:hAnsi="宋体" w:eastAsia="宋体" w:cs="宋体"/>
          <w:b/>
          <w:bCs/>
          <w:color w:val="000000" w:themeColor="text1"/>
          <w:highlight w:val="none"/>
          <w:u w:val="single"/>
          <w:lang w:val="zh-CN"/>
          <w14:textFill>
            <w14:solidFill>
              <w14:schemeClr w14:val="tx1"/>
            </w14:solidFill>
          </w14:textFill>
        </w:rPr>
        <w:t>，小于</w:t>
      </w:r>
      <w:r>
        <w:rPr>
          <w:rFonts w:hint="eastAsia" w:ascii="宋体" w:hAnsi="宋体" w:eastAsia="宋体" w:cs="宋体"/>
          <w:b/>
          <w:bCs/>
          <w:color w:val="000000" w:themeColor="text1"/>
          <w:highlight w:val="none"/>
          <w:u w:val="single"/>
          <w:lang w:val="zh-CN" w:eastAsia="zh-CN"/>
          <w14:textFill>
            <w14:solidFill>
              <w14:schemeClr w14:val="tx1"/>
            </w14:solidFill>
          </w14:textFill>
        </w:rPr>
        <w:t>1年</w:t>
      </w:r>
      <w:r>
        <w:rPr>
          <w:rFonts w:hint="eastAsia" w:ascii="宋体" w:hAnsi="宋体" w:eastAsia="宋体" w:cs="宋体"/>
          <w:b/>
          <w:bCs/>
          <w:color w:val="000000" w:themeColor="text1"/>
          <w:highlight w:val="none"/>
          <w:u w:val="single"/>
          <w:lang w:val="zh-CN"/>
          <w14:textFill>
            <w14:solidFill>
              <w14:schemeClr w14:val="tx1"/>
            </w14:solidFill>
          </w14:textFill>
        </w:rPr>
        <w:t>的业绩合同在评标时不予考虑</w:t>
      </w:r>
      <w:r>
        <w:rPr>
          <w:rFonts w:hint="eastAsia" w:ascii="宋体" w:hAnsi="宋体" w:eastAsia="宋体" w:cs="宋体"/>
          <w:color w:val="000000" w:themeColor="text1"/>
          <w:highlight w:val="none"/>
          <w:lang w:val="zh-CN"/>
          <w14:textFill>
            <w14:solidFill>
              <w14:schemeClr w14:val="tx1"/>
            </w14:solidFill>
          </w14:textFill>
        </w:rPr>
        <w:t>。</w:t>
      </w:r>
    </w:p>
    <w:p w14:paraId="144813DC">
      <w:pPr>
        <w:snapToGrid w:val="0"/>
        <w:spacing w:line="360" w:lineRule="auto"/>
        <w:ind w:left="396" w:leftChars="-58" w:hanging="518" w:hangingChars="247"/>
        <w:outlineLvl w:val="9"/>
        <w:rPr>
          <w:rFonts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u w:val="single"/>
          <w:lang w:val="zh-CN"/>
          <w14:textFill>
            <w14:solidFill>
              <w14:schemeClr w14:val="tx1"/>
            </w14:solidFill>
          </w14:textFill>
        </w:rPr>
        <w:t>未按上述要求</w:t>
      </w:r>
      <w:r>
        <w:rPr>
          <w:rFonts w:hint="eastAsia" w:ascii="宋体" w:hAnsi="宋体" w:eastAsia="宋体" w:cs="宋体"/>
          <w:b/>
          <w:bCs/>
          <w:color w:val="000000" w:themeColor="text1"/>
          <w:highlight w:val="none"/>
          <w:u w:val="single"/>
          <w:lang w:val="en-US" w:eastAsia="zh-CN"/>
          <w14:textFill>
            <w14:solidFill>
              <w14:schemeClr w14:val="tx1"/>
            </w14:solidFill>
          </w14:textFill>
        </w:rPr>
        <w:t>在此格式下</w:t>
      </w:r>
      <w:r>
        <w:rPr>
          <w:rFonts w:hint="eastAsia" w:ascii="宋体" w:hAnsi="宋体" w:eastAsia="宋体" w:cs="宋体"/>
          <w:b/>
          <w:bCs/>
          <w:color w:val="000000" w:themeColor="text1"/>
          <w:highlight w:val="none"/>
          <w:u w:val="single"/>
          <w:lang w:val="zh-CN"/>
          <w14:textFill>
            <w14:solidFill>
              <w14:schemeClr w14:val="tx1"/>
            </w14:solidFill>
          </w14:textFill>
        </w:rPr>
        <w:t>提供证明材料的业绩，或</w:t>
      </w:r>
      <w:r>
        <w:rPr>
          <w:rFonts w:hint="eastAsia" w:ascii="宋体" w:hAnsi="宋体" w:eastAsia="宋体" w:cs="宋体"/>
          <w:b/>
          <w:bCs/>
          <w:color w:val="000000" w:themeColor="text1"/>
          <w:highlight w:val="none"/>
          <w:u w:val="single"/>
          <w:lang w:val="en-US" w:eastAsia="zh-CN"/>
          <w14:textFill>
            <w14:solidFill>
              <w14:schemeClr w14:val="tx1"/>
            </w14:solidFill>
          </w14:textFill>
        </w:rPr>
        <w:t>在此格式下</w:t>
      </w:r>
      <w:r>
        <w:rPr>
          <w:rFonts w:hint="eastAsia" w:ascii="宋体" w:hAnsi="宋体" w:eastAsia="宋体" w:cs="宋体"/>
          <w:b/>
          <w:bCs/>
          <w:color w:val="000000" w:themeColor="text1"/>
          <w:highlight w:val="none"/>
          <w:u w:val="single"/>
          <w:lang w:val="zh-CN"/>
          <w14:textFill>
            <w14:solidFill>
              <w14:schemeClr w14:val="tx1"/>
            </w14:solidFill>
          </w14:textFill>
        </w:rPr>
        <w:t>所附材料无法证明填报项目属投标人完成的或不符合本项评分要求的业绩，在评标时将不予考虑</w:t>
      </w:r>
      <w:r>
        <w:rPr>
          <w:rFonts w:hint="eastAsia" w:ascii="宋体" w:hAnsi="宋体" w:eastAsia="宋体" w:cs="宋体"/>
          <w:color w:val="000000" w:themeColor="text1"/>
          <w:highlight w:val="none"/>
          <w:lang w:val="zh-CN"/>
          <w14:textFill>
            <w14:solidFill>
              <w14:schemeClr w14:val="tx1"/>
            </w14:solidFill>
          </w14:textFill>
        </w:rPr>
        <w:t>。</w:t>
      </w:r>
    </w:p>
    <w:bookmarkEnd w:id="703"/>
    <w:bookmarkEnd w:id="704"/>
    <w:p w14:paraId="4E204234">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p>
    <w:p w14:paraId="7B2FD5B5">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646A3A14">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6FC153AD">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2546217F">
      <w:pPr>
        <w:autoSpaceDE w:val="0"/>
        <w:autoSpaceDN w:val="0"/>
        <w:adjustRightInd w:val="0"/>
        <w:spacing w:line="360" w:lineRule="auto"/>
        <w:jc w:val="center"/>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2FCED6A8">
      <w:pPr>
        <w:widowControl/>
        <w:jc w:val="left"/>
        <w:rPr>
          <w:rFonts w:ascii="宋体" w:hAnsi="宋体" w:eastAsia="宋体" w:cs="宋体"/>
          <w:b/>
          <w:color w:val="000000" w:themeColor="text1"/>
          <w:kern w:val="0"/>
          <w:sz w:val="32"/>
          <w:szCs w:val="32"/>
          <w:highlight w:val="none"/>
          <w:lang w:val="zh-CN"/>
          <w14:textFill>
            <w14:solidFill>
              <w14:schemeClr w14:val="tx1"/>
            </w14:solidFill>
          </w14:textFill>
        </w:rPr>
      </w:pPr>
      <w:bookmarkStart w:id="705" w:name="_Toc10033"/>
      <w:r>
        <w:rPr>
          <w:rFonts w:ascii="宋体" w:hAnsi="宋体" w:eastAsia="宋体" w:cs="宋体"/>
          <w:b/>
          <w:color w:val="000000" w:themeColor="text1"/>
          <w:kern w:val="0"/>
          <w:sz w:val="32"/>
          <w:szCs w:val="32"/>
          <w:highlight w:val="none"/>
          <w:lang w:val="zh-CN"/>
          <w14:textFill>
            <w14:solidFill>
              <w14:schemeClr w14:val="tx1"/>
            </w14:solidFill>
          </w14:textFill>
        </w:rPr>
        <w:br w:type="page"/>
      </w:r>
    </w:p>
    <w:bookmarkEnd w:id="699"/>
    <w:bookmarkEnd w:id="700"/>
    <w:bookmarkEnd w:id="705"/>
    <w:p w14:paraId="03323D4D">
      <w:pPr>
        <w:pStyle w:val="205"/>
        <w:pageBreakBefore/>
        <w:spacing w:line="360" w:lineRule="auto"/>
        <w:jc w:val="left"/>
        <w:outlineLvl w:val="9"/>
        <w:rPr>
          <w:rFonts w:ascii="宋体" w:hAnsi="宋体" w:eastAsia="宋体" w:cs="宋体"/>
          <w:color w:val="000000" w:themeColor="text1"/>
          <w:sz w:val="28"/>
          <w:szCs w:val="28"/>
          <w:highlight w:val="none"/>
          <w14:textFill>
            <w14:solidFill>
              <w14:schemeClr w14:val="tx1"/>
            </w14:solidFill>
          </w14:textFill>
        </w:rPr>
      </w:pPr>
      <w:bookmarkStart w:id="706" w:name="_Toc177203325"/>
      <w:bookmarkStart w:id="707" w:name="_Toc176453454"/>
      <w:bookmarkStart w:id="708" w:name="_Toc85553401"/>
      <w:bookmarkStart w:id="709" w:name="_Toc117668212"/>
      <w:bookmarkStart w:id="710" w:name="_Toc211622218"/>
      <w:bookmarkStart w:id="711" w:name="_Toc3795"/>
      <w:bookmarkStart w:id="712" w:name="_Toc24616"/>
      <w:bookmarkStart w:id="713" w:name="_Toc1977738"/>
      <w:bookmarkStart w:id="714" w:name="_Toc94107221"/>
      <w:bookmarkStart w:id="715" w:name="_Toc140596939"/>
      <w:bookmarkStart w:id="716" w:name="_Toc29652"/>
      <w:bookmarkStart w:id="717" w:name="_Toc102860428"/>
      <w:bookmarkStart w:id="718" w:name="_Toc104991886"/>
      <w:bookmarkStart w:id="719" w:name="_Toc2007"/>
      <w:bookmarkStart w:id="720" w:name="_Toc102860084"/>
      <w:bookmarkStart w:id="721" w:name="_Toc142508379"/>
      <w:bookmarkStart w:id="722" w:name="_Toc533708134"/>
      <w:bookmarkStart w:id="723" w:name="_Toc486167721"/>
      <w:r>
        <w:rPr>
          <w:rFonts w:hint="eastAsia" w:ascii="宋体" w:hAnsi="宋体" w:eastAsia="宋体" w:cs="宋体"/>
          <w:color w:val="000000" w:themeColor="text1"/>
          <w:sz w:val="28"/>
          <w:szCs w:val="28"/>
          <w:highlight w:val="none"/>
          <w14:textFill>
            <w14:solidFill>
              <w14:schemeClr w14:val="tx1"/>
            </w14:solidFill>
          </w14:textFill>
        </w:rPr>
        <w:t>附表：污泥脱水减量化处理服务单项合同业绩</w:t>
      </w: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服务期内单个月份</w:t>
      </w:r>
      <w:r>
        <w:rPr>
          <w:rFonts w:hint="eastAsia" w:ascii="宋体" w:hAnsi="宋体" w:eastAsia="宋体" w:cs="宋体"/>
          <w:color w:val="000000" w:themeColor="text1"/>
          <w:sz w:val="28"/>
          <w:szCs w:val="28"/>
          <w:highlight w:val="none"/>
          <w14:textFill>
            <w14:solidFill>
              <w14:schemeClr w14:val="tx1"/>
            </w14:solidFill>
          </w14:textFill>
        </w:rPr>
        <w:t>已完成的污泥处理量统计表</w:t>
      </w:r>
    </w:p>
    <w:tbl>
      <w:tblPr>
        <w:tblStyle w:val="38"/>
        <w:tblW w:w="46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0"/>
        <w:gridCol w:w="2355"/>
        <w:gridCol w:w="2363"/>
        <w:gridCol w:w="1306"/>
        <w:gridCol w:w="2094"/>
      </w:tblGrid>
      <w:tr w14:paraId="11FB8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42F0AFAA">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序号</w:t>
            </w:r>
          </w:p>
        </w:tc>
        <w:tc>
          <w:tcPr>
            <w:tcW w:w="1297" w:type="pct"/>
            <w:tcBorders>
              <w:top w:val="single" w:color="auto" w:sz="4" w:space="0"/>
              <w:left w:val="single" w:color="auto" w:sz="4" w:space="0"/>
              <w:bottom w:val="single" w:color="auto" w:sz="4" w:space="0"/>
              <w:right w:val="single" w:color="auto" w:sz="4" w:space="0"/>
            </w:tcBorders>
            <w:vAlign w:val="center"/>
          </w:tcPr>
          <w:p w14:paraId="06E73FDB">
            <w:pPr>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tc>
        <w:tc>
          <w:tcPr>
            <w:tcW w:w="1300" w:type="pct"/>
            <w:tcBorders>
              <w:top w:val="single" w:color="auto" w:sz="4" w:space="0"/>
              <w:left w:val="single" w:color="auto" w:sz="4" w:space="0"/>
              <w:bottom w:val="single" w:color="auto" w:sz="4" w:space="0"/>
              <w:right w:val="single" w:color="auto" w:sz="4" w:space="0"/>
            </w:tcBorders>
            <w:vAlign w:val="center"/>
          </w:tcPr>
          <w:p w14:paraId="51A62C03">
            <w:pPr>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污泥量</w:t>
            </w:r>
          </w:p>
        </w:tc>
        <w:tc>
          <w:tcPr>
            <w:tcW w:w="719" w:type="pct"/>
            <w:tcBorders>
              <w:top w:val="single" w:color="auto" w:sz="4" w:space="0"/>
              <w:left w:val="single" w:color="auto" w:sz="4" w:space="0"/>
              <w:bottom w:val="single" w:color="auto" w:sz="4" w:space="0"/>
              <w:right w:val="single" w:color="auto" w:sz="4" w:space="0"/>
            </w:tcBorders>
            <w:vAlign w:val="center"/>
          </w:tcPr>
          <w:p w14:paraId="31145477">
            <w:pPr>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含水率（%）</w:t>
            </w:r>
          </w:p>
        </w:tc>
        <w:tc>
          <w:tcPr>
            <w:tcW w:w="1152" w:type="pct"/>
            <w:tcBorders>
              <w:top w:val="single" w:color="auto" w:sz="4" w:space="0"/>
              <w:left w:val="single" w:color="auto" w:sz="4" w:space="0"/>
              <w:bottom w:val="single" w:color="auto" w:sz="4" w:space="0"/>
              <w:right w:val="single" w:color="auto" w:sz="4" w:space="0"/>
            </w:tcBorders>
            <w:vAlign w:val="center"/>
          </w:tcPr>
          <w:p w14:paraId="2BAD3EF0">
            <w:pPr>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污泥转运联单编号</w:t>
            </w:r>
          </w:p>
        </w:tc>
      </w:tr>
      <w:tr w14:paraId="15E81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47CF759A">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p>
        </w:tc>
        <w:tc>
          <w:tcPr>
            <w:tcW w:w="1297" w:type="pct"/>
            <w:tcBorders>
              <w:top w:val="single" w:color="auto" w:sz="4" w:space="0"/>
              <w:left w:val="single" w:color="auto" w:sz="4" w:space="0"/>
              <w:bottom w:val="single" w:color="auto" w:sz="4" w:space="0"/>
              <w:right w:val="single" w:color="auto" w:sz="4" w:space="0"/>
            </w:tcBorders>
            <w:vAlign w:val="center"/>
          </w:tcPr>
          <w:p w14:paraId="50A65064">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300" w:type="pct"/>
            <w:tcBorders>
              <w:top w:val="single" w:color="auto" w:sz="4" w:space="0"/>
              <w:left w:val="single" w:color="auto" w:sz="4" w:space="0"/>
              <w:bottom w:val="single" w:color="auto" w:sz="4" w:space="0"/>
              <w:right w:val="single" w:color="auto" w:sz="4" w:space="0"/>
            </w:tcBorders>
            <w:vAlign w:val="center"/>
          </w:tcPr>
          <w:p w14:paraId="5D0A72CD">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719" w:type="pct"/>
            <w:tcBorders>
              <w:top w:val="single" w:color="auto" w:sz="4" w:space="0"/>
              <w:left w:val="single" w:color="auto" w:sz="4" w:space="0"/>
              <w:bottom w:val="single" w:color="auto" w:sz="4" w:space="0"/>
              <w:right w:val="single" w:color="auto" w:sz="4" w:space="0"/>
            </w:tcBorders>
            <w:vAlign w:val="center"/>
          </w:tcPr>
          <w:p w14:paraId="3F113CC3">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152" w:type="pct"/>
            <w:tcBorders>
              <w:top w:val="single" w:color="auto" w:sz="4" w:space="0"/>
              <w:left w:val="single" w:color="auto" w:sz="4" w:space="0"/>
              <w:bottom w:val="single" w:color="auto" w:sz="4" w:space="0"/>
              <w:right w:val="single" w:color="auto" w:sz="4" w:space="0"/>
            </w:tcBorders>
            <w:vAlign w:val="center"/>
          </w:tcPr>
          <w:p w14:paraId="0FAF52D4">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r w14:paraId="7FBA1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608B5A0C">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p>
        </w:tc>
        <w:tc>
          <w:tcPr>
            <w:tcW w:w="1297" w:type="pct"/>
            <w:tcBorders>
              <w:top w:val="single" w:color="auto" w:sz="4" w:space="0"/>
              <w:left w:val="single" w:color="auto" w:sz="4" w:space="0"/>
              <w:bottom w:val="single" w:color="auto" w:sz="4" w:space="0"/>
              <w:right w:val="single" w:color="auto" w:sz="4" w:space="0"/>
            </w:tcBorders>
            <w:vAlign w:val="center"/>
          </w:tcPr>
          <w:p w14:paraId="3FECC61F">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300" w:type="pct"/>
            <w:tcBorders>
              <w:top w:val="single" w:color="auto" w:sz="4" w:space="0"/>
              <w:left w:val="single" w:color="auto" w:sz="4" w:space="0"/>
              <w:bottom w:val="single" w:color="auto" w:sz="4" w:space="0"/>
              <w:right w:val="single" w:color="auto" w:sz="4" w:space="0"/>
            </w:tcBorders>
            <w:vAlign w:val="center"/>
          </w:tcPr>
          <w:p w14:paraId="6575B02E">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719" w:type="pct"/>
            <w:tcBorders>
              <w:top w:val="single" w:color="auto" w:sz="4" w:space="0"/>
              <w:left w:val="single" w:color="auto" w:sz="4" w:space="0"/>
              <w:bottom w:val="single" w:color="auto" w:sz="4" w:space="0"/>
              <w:right w:val="single" w:color="auto" w:sz="4" w:space="0"/>
            </w:tcBorders>
            <w:vAlign w:val="center"/>
          </w:tcPr>
          <w:p w14:paraId="36BE15C9">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152" w:type="pct"/>
            <w:tcBorders>
              <w:top w:val="single" w:color="auto" w:sz="4" w:space="0"/>
              <w:left w:val="single" w:color="auto" w:sz="4" w:space="0"/>
              <w:bottom w:val="single" w:color="auto" w:sz="4" w:space="0"/>
              <w:right w:val="single" w:color="auto" w:sz="4" w:space="0"/>
            </w:tcBorders>
            <w:vAlign w:val="center"/>
          </w:tcPr>
          <w:p w14:paraId="3AF91E87">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r w14:paraId="0C38E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731A32A6">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p>
        </w:tc>
        <w:tc>
          <w:tcPr>
            <w:tcW w:w="1297" w:type="pct"/>
            <w:tcBorders>
              <w:top w:val="single" w:color="auto" w:sz="4" w:space="0"/>
              <w:left w:val="single" w:color="auto" w:sz="4" w:space="0"/>
              <w:bottom w:val="single" w:color="auto" w:sz="4" w:space="0"/>
              <w:right w:val="single" w:color="auto" w:sz="4" w:space="0"/>
            </w:tcBorders>
            <w:vAlign w:val="center"/>
          </w:tcPr>
          <w:p w14:paraId="02340EC8">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300" w:type="pct"/>
            <w:tcBorders>
              <w:top w:val="single" w:color="auto" w:sz="4" w:space="0"/>
              <w:left w:val="single" w:color="auto" w:sz="4" w:space="0"/>
              <w:bottom w:val="single" w:color="auto" w:sz="4" w:space="0"/>
              <w:right w:val="single" w:color="auto" w:sz="4" w:space="0"/>
            </w:tcBorders>
            <w:vAlign w:val="center"/>
          </w:tcPr>
          <w:p w14:paraId="2B06FD4A">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719" w:type="pct"/>
            <w:tcBorders>
              <w:top w:val="single" w:color="auto" w:sz="4" w:space="0"/>
              <w:left w:val="single" w:color="auto" w:sz="4" w:space="0"/>
              <w:bottom w:val="single" w:color="auto" w:sz="4" w:space="0"/>
              <w:right w:val="single" w:color="auto" w:sz="4" w:space="0"/>
            </w:tcBorders>
            <w:vAlign w:val="center"/>
          </w:tcPr>
          <w:p w14:paraId="170A5C73">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152" w:type="pct"/>
            <w:tcBorders>
              <w:top w:val="single" w:color="auto" w:sz="4" w:space="0"/>
              <w:left w:val="single" w:color="auto" w:sz="4" w:space="0"/>
              <w:bottom w:val="single" w:color="auto" w:sz="4" w:space="0"/>
              <w:right w:val="single" w:color="auto" w:sz="4" w:space="0"/>
            </w:tcBorders>
            <w:vAlign w:val="center"/>
          </w:tcPr>
          <w:p w14:paraId="3050FD43">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r w14:paraId="28A56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461940A8">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p>
        </w:tc>
        <w:tc>
          <w:tcPr>
            <w:tcW w:w="1297" w:type="pct"/>
            <w:tcBorders>
              <w:top w:val="single" w:color="auto" w:sz="4" w:space="0"/>
              <w:left w:val="single" w:color="auto" w:sz="4" w:space="0"/>
              <w:bottom w:val="single" w:color="auto" w:sz="4" w:space="0"/>
              <w:right w:val="single" w:color="auto" w:sz="4" w:space="0"/>
            </w:tcBorders>
            <w:vAlign w:val="center"/>
          </w:tcPr>
          <w:p w14:paraId="0BAB8708">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300" w:type="pct"/>
            <w:tcBorders>
              <w:top w:val="single" w:color="auto" w:sz="4" w:space="0"/>
              <w:left w:val="single" w:color="auto" w:sz="4" w:space="0"/>
              <w:bottom w:val="single" w:color="auto" w:sz="4" w:space="0"/>
              <w:right w:val="single" w:color="auto" w:sz="4" w:space="0"/>
            </w:tcBorders>
            <w:vAlign w:val="center"/>
          </w:tcPr>
          <w:p w14:paraId="50668165">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719" w:type="pct"/>
            <w:tcBorders>
              <w:top w:val="single" w:color="auto" w:sz="4" w:space="0"/>
              <w:left w:val="single" w:color="auto" w:sz="4" w:space="0"/>
              <w:bottom w:val="single" w:color="auto" w:sz="4" w:space="0"/>
              <w:right w:val="single" w:color="auto" w:sz="4" w:space="0"/>
            </w:tcBorders>
            <w:vAlign w:val="center"/>
          </w:tcPr>
          <w:p w14:paraId="4FF5094F">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152" w:type="pct"/>
            <w:tcBorders>
              <w:top w:val="single" w:color="auto" w:sz="4" w:space="0"/>
              <w:left w:val="single" w:color="auto" w:sz="4" w:space="0"/>
              <w:bottom w:val="single" w:color="auto" w:sz="4" w:space="0"/>
              <w:right w:val="single" w:color="auto" w:sz="4" w:space="0"/>
            </w:tcBorders>
            <w:vAlign w:val="center"/>
          </w:tcPr>
          <w:p w14:paraId="7ECF6DBD">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r w14:paraId="5641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27" w:type="pct"/>
            <w:gridSpan w:val="3"/>
            <w:tcBorders>
              <w:top w:val="single" w:color="auto" w:sz="4" w:space="0"/>
              <w:left w:val="single" w:color="auto" w:sz="4" w:space="0"/>
              <w:bottom w:val="single" w:color="auto" w:sz="4" w:space="0"/>
              <w:right w:val="single" w:color="auto" w:sz="4" w:space="0"/>
            </w:tcBorders>
            <w:vAlign w:val="center"/>
          </w:tcPr>
          <w:p w14:paraId="5531B060">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日平均污泥处理量（按含水率80%计）（单位：吨/天）</w:t>
            </w:r>
          </w:p>
        </w:tc>
        <w:tc>
          <w:tcPr>
            <w:tcW w:w="1872" w:type="pct"/>
            <w:gridSpan w:val="2"/>
            <w:tcBorders>
              <w:top w:val="single" w:color="auto" w:sz="4" w:space="0"/>
              <w:left w:val="single" w:color="auto" w:sz="4" w:space="0"/>
              <w:bottom w:val="single" w:color="auto" w:sz="4" w:space="0"/>
              <w:right w:val="single" w:color="auto" w:sz="4" w:space="0"/>
            </w:tcBorders>
            <w:vAlign w:val="center"/>
          </w:tcPr>
          <w:p w14:paraId="1EF7CF6B">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bl>
    <w:p w14:paraId="44FA6F97">
      <w:pPr>
        <w:snapToGrid w:val="0"/>
        <w:spacing w:line="360" w:lineRule="auto"/>
        <w:ind w:left="491" w:leftChars="-57" w:hanging="611" w:hangingChars="291"/>
        <w:outlineLvl w:val="9"/>
        <w:rPr>
          <w:rFonts w:ascii="宋体" w:hAnsi="宋体" w:eastAsia="宋体" w:cs="宋体"/>
          <w:color w:val="000000" w:themeColor="text1"/>
          <w:szCs w:val="21"/>
          <w:highlight w:val="none"/>
          <w14:textFill>
            <w14:solidFill>
              <w14:schemeClr w14:val="tx1"/>
            </w14:solidFill>
          </w14:textFill>
        </w:rPr>
      </w:pPr>
    </w:p>
    <w:p w14:paraId="5830D7FF">
      <w:pPr>
        <w:snapToGrid w:val="0"/>
        <w:spacing w:line="360" w:lineRule="auto"/>
        <w:ind w:left="491" w:leftChars="-57" w:hanging="611" w:hangingChars="291"/>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F380510">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（1）投标人提供无明确污泥处理规模的合同时，必须同时提供合同期限内</w:t>
      </w:r>
      <w:r>
        <w:rPr>
          <w:rFonts w:hint="eastAsia" w:ascii="宋体" w:hAnsi="宋体" w:eastAsia="宋体" w:cs="宋体"/>
          <w:color w:val="000000" w:themeColor="text1"/>
          <w:szCs w:val="21"/>
          <w:highlight w:val="none"/>
          <w:lang w:val="en-US" w:eastAsia="zh-CN"/>
          <w14:textFill>
            <w14:solidFill>
              <w14:schemeClr w14:val="tx1"/>
            </w14:solidFill>
          </w14:textFill>
        </w:rPr>
        <w:t>单个月份</w:t>
      </w:r>
      <w:r>
        <w:rPr>
          <w:rFonts w:hint="eastAsia" w:ascii="宋体" w:hAnsi="宋体" w:eastAsia="宋体" w:cs="宋体"/>
          <w:color w:val="000000" w:themeColor="text1"/>
          <w:szCs w:val="21"/>
          <w:highlight w:val="none"/>
          <w:lang w:val="zh-CN"/>
          <w14:textFill>
            <w14:solidFill>
              <w14:schemeClr w14:val="tx1"/>
            </w14:solidFill>
          </w14:textFill>
        </w:rPr>
        <w:t>已处理的生活污水处理厂污泥处理量统计表和污泥转运联单</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（无转运联单的，提供服务发票</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及折算处理量数据或污泥产生单位盖章的证明文件</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替代）以证明污泥处理规模，本统计表及污泥转运联单</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（无转运联单的，提供服务发票</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及折算处理量数据或污泥产生单位盖章的证明文件</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替代）应后附于合同</w:t>
      </w:r>
      <w:r>
        <w:rPr>
          <w:rFonts w:hint="eastAsia" w:ascii="宋体" w:hAnsi="宋体" w:eastAsia="宋体" w:cs="宋体"/>
          <w:color w:val="000000" w:themeColor="text1"/>
          <w:szCs w:val="21"/>
          <w:highlight w:val="none"/>
          <w:lang w:val="en-US" w:eastAsia="zh-CN"/>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w:t>
      </w:r>
    </w:p>
    <w:p w14:paraId="60DEBA76">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（2）污泥转运联单的接</w:t>
      </w:r>
      <w:r>
        <w:rPr>
          <w:rFonts w:hint="eastAsia" w:ascii="宋体" w:hAnsi="宋体" w:eastAsia="宋体" w:cs="宋体"/>
          <w:color w:val="000000" w:themeColor="text1"/>
          <w:szCs w:val="21"/>
          <w:highlight w:val="none"/>
          <w:lang w:val="en-US" w:eastAsia="zh-CN"/>
          <w14:textFill>
            <w14:solidFill>
              <w14:schemeClr w14:val="tx1"/>
            </w14:solidFill>
          </w14:textFill>
        </w:rPr>
        <w:t>收</w:t>
      </w:r>
      <w:r>
        <w:rPr>
          <w:rFonts w:hint="eastAsia" w:ascii="宋体" w:hAnsi="宋体" w:eastAsia="宋体" w:cs="宋体"/>
          <w:color w:val="000000" w:themeColor="text1"/>
          <w:szCs w:val="21"/>
          <w:highlight w:val="none"/>
          <w:lang w:val="zh-CN"/>
          <w14:textFill>
            <w14:solidFill>
              <w14:schemeClr w14:val="tx1"/>
            </w14:solidFill>
          </w14:textFill>
        </w:rPr>
        <w:t>单位应为投标人，且污水处理厂名称、日期应与合同约定内容一致，否则不计分。</w:t>
      </w:r>
    </w:p>
    <w:p w14:paraId="2B76A496">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（3）污泥处理规模按含水率80%的湿泥计，其他含水率需按下列公式折算为含水率80%的湿泥进行评审，不同含水率污泥量的折算公式：（1-Y%）/（1-80%）×A，Y为污泥实际含水率，A为实际含水率对应的污泥量。</w:t>
      </w:r>
    </w:p>
    <w:p w14:paraId="3B389198">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（4）日平均污泥处理量按合同期限内</w:t>
      </w:r>
      <w:r>
        <w:rPr>
          <w:rFonts w:hint="eastAsia" w:ascii="宋体" w:hAnsi="宋体" w:eastAsia="宋体" w:cs="宋体"/>
          <w:color w:val="000000" w:themeColor="text1"/>
          <w:szCs w:val="21"/>
          <w:highlight w:val="none"/>
          <w:lang w:val="en-US" w:eastAsia="zh-CN"/>
          <w14:textFill>
            <w14:solidFill>
              <w14:schemeClr w14:val="tx1"/>
            </w14:solidFill>
          </w14:textFill>
        </w:rPr>
        <w:t>单个月份</w:t>
      </w:r>
      <w:r>
        <w:rPr>
          <w:rFonts w:hint="eastAsia" w:ascii="宋体" w:hAnsi="宋体" w:eastAsia="宋体" w:cs="宋体"/>
          <w:color w:val="000000" w:themeColor="text1"/>
          <w:szCs w:val="21"/>
          <w:highlight w:val="none"/>
          <w:lang w:val="zh-CN"/>
          <w14:textFill>
            <w14:solidFill>
              <w14:schemeClr w14:val="tx1"/>
            </w14:solidFill>
          </w14:textFill>
        </w:rPr>
        <w:t>已处理的生活污水处理厂污泥处理量除以</w:t>
      </w:r>
      <w:r>
        <w:rPr>
          <w:rFonts w:hint="eastAsia" w:ascii="宋体" w:hAnsi="宋体" w:eastAsia="宋体" w:cs="宋体"/>
          <w:color w:val="000000" w:themeColor="text1"/>
          <w:szCs w:val="21"/>
          <w:highlight w:val="none"/>
          <w:lang w:val="en-US" w:eastAsia="zh-CN"/>
          <w14:textFill>
            <w14:solidFill>
              <w14:schemeClr w14:val="tx1"/>
            </w14:solidFill>
          </w14:textFill>
        </w:rPr>
        <w:t>单个月份自然天数</w:t>
      </w:r>
      <w:r>
        <w:rPr>
          <w:rFonts w:hint="eastAsia" w:ascii="宋体" w:hAnsi="宋体" w:eastAsia="宋体" w:cs="宋体"/>
          <w:color w:val="000000" w:themeColor="text1"/>
          <w:szCs w:val="21"/>
          <w:highlight w:val="none"/>
          <w:lang w:val="zh-CN"/>
          <w14:textFill>
            <w14:solidFill>
              <w14:schemeClr w14:val="tx1"/>
            </w14:solidFill>
          </w14:textFill>
        </w:rPr>
        <w:t>进行计算，并以此作为污泥处理规模进行评审。</w:t>
      </w:r>
    </w:p>
    <w:bookmarkEnd w:id="706"/>
    <w:bookmarkEnd w:id="707"/>
    <w:bookmarkEnd w:id="708"/>
    <w:bookmarkEnd w:id="709"/>
    <w:bookmarkEnd w:id="710"/>
    <w:bookmarkEnd w:id="711"/>
    <w:p w14:paraId="24360B7E">
      <w:pPr>
        <w:tabs>
          <w:tab w:val="left" w:pos="567"/>
        </w:tabs>
        <w:jc w:val="left"/>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000000" w:themeColor="text1"/>
          <w:kern w:val="0"/>
          <w:sz w:val="32"/>
          <w:szCs w:val="32"/>
          <w:highlight w:val="none"/>
          <w14:textFill>
            <w14:solidFill>
              <w14:schemeClr w14:val="tx1"/>
            </w14:solidFill>
          </w14:textFill>
        </w:rPr>
        <w:br w:type="page"/>
      </w:r>
      <w:r>
        <w:rPr>
          <w:rFonts w:hint="eastAsia" w:ascii="宋体" w:hAnsi="宋体" w:eastAsia="宋体" w:cs="宋体"/>
          <w:b/>
          <w:bCs/>
          <w:color w:val="000000" w:themeColor="text1"/>
          <w:kern w:val="0"/>
          <w:sz w:val="32"/>
          <w:szCs w:val="32"/>
          <w:highlight w:val="none"/>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color w:val="000000" w:themeColor="text1"/>
          <w:sz w:val="32"/>
          <w:szCs w:val="32"/>
          <w:highlight w:val="none"/>
          <w:lang w:val="zh-CN"/>
          <w14:textFill>
            <w14:solidFill>
              <w14:schemeClr w14:val="tx1"/>
            </w14:solidFill>
          </w14:textFill>
        </w:rPr>
        <w:t>提供服务能力</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的有关其它商务文件（不做强制要求）</w:t>
      </w:r>
      <w:bookmarkEnd w:id="712"/>
      <w:bookmarkEnd w:id="713"/>
      <w:bookmarkEnd w:id="714"/>
      <w:bookmarkEnd w:id="715"/>
      <w:bookmarkEnd w:id="716"/>
      <w:bookmarkEnd w:id="717"/>
      <w:bookmarkEnd w:id="718"/>
      <w:bookmarkEnd w:id="719"/>
      <w:bookmarkEnd w:id="720"/>
      <w:bookmarkEnd w:id="721"/>
    </w:p>
    <w:p w14:paraId="0AA5BCB2">
      <w:pPr>
        <w:jc w:val="center"/>
        <w:outlineLvl w:val="1"/>
        <w:rPr>
          <w:rFonts w:ascii="宋体" w:hAnsi="宋体" w:eastAsia="宋体" w:cs="宋体"/>
          <w:b/>
          <w:color w:val="000000" w:themeColor="text1"/>
          <w:kern w:val="0"/>
          <w:sz w:val="32"/>
          <w:szCs w:val="32"/>
          <w:highlight w:val="none"/>
          <w14:textFill>
            <w14:solidFill>
              <w14:schemeClr w14:val="tx1"/>
            </w14:solidFill>
          </w14:textFill>
        </w:rPr>
      </w:pPr>
      <w:bookmarkStart w:id="724" w:name="_Toc13776"/>
      <w:bookmarkStart w:id="725" w:name="_Toc4972"/>
      <w:bookmarkStart w:id="726" w:name="_Toc27993"/>
      <w:bookmarkStart w:id="727" w:name="_Toc195714399"/>
      <w:bookmarkStart w:id="728" w:name="_Toc211622219"/>
      <w:bookmarkStart w:id="729" w:name="_Toc32650"/>
      <w:bookmarkStart w:id="730" w:name="_Toc15749"/>
      <w:bookmarkStart w:id="731" w:name="_Toc14997"/>
      <w:bookmarkStart w:id="732" w:name="_Toc102860085"/>
      <w:bookmarkStart w:id="733" w:name="_Toc27482"/>
      <w:bookmarkStart w:id="734" w:name="_Toc142508380"/>
      <w:bookmarkStart w:id="735" w:name="_Toc94107222"/>
      <w:bookmarkStart w:id="736" w:name="_Toc102860429"/>
      <w:bookmarkStart w:id="737" w:name="_Toc31916"/>
      <w:bookmarkStart w:id="738" w:name="_Toc18038"/>
      <w:bookmarkStart w:id="739" w:name="_Toc1977739"/>
      <w:bookmarkStart w:id="740" w:name="_Toc104991887"/>
      <w:bookmarkStart w:id="741" w:name="_Toc140596940"/>
      <w:r>
        <w:rPr>
          <w:rFonts w:hint="eastAsia" w:ascii="宋体" w:hAnsi="宋体" w:eastAsia="宋体" w:cs="宋体"/>
          <w:b/>
          <w:color w:val="000000" w:themeColor="text1"/>
          <w:kern w:val="0"/>
          <w:sz w:val="32"/>
          <w:szCs w:val="32"/>
          <w:highlight w:val="none"/>
          <w14:textFill>
            <w14:solidFill>
              <w14:schemeClr w14:val="tx1"/>
            </w14:solidFill>
          </w14:textFill>
        </w:rPr>
        <w:t>二  技术标格式</w:t>
      </w:r>
      <w:bookmarkEnd w:id="724"/>
      <w:bookmarkEnd w:id="725"/>
      <w:bookmarkEnd w:id="726"/>
      <w:bookmarkEnd w:id="727"/>
      <w:bookmarkEnd w:id="728"/>
      <w:bookmarkEnd w:id="729"/>
      <w:bookmarkEnd w:id="730"/>
      <w:bookmarkEnd w:id="731"/>
    </w:p>
    <w:bookmarkEnd w:id="722"/>
    <w:bookmarkEnd w:id="732"/>
    <w:bookmarkEnd w:id="733"/>
    <w:bookmarkEnd w:id="734"/>
    <w:bookmarkEnd w:id="735"/>
    <w:bookmarkEnd w:id="736"/>
    <w:bookmarkEnd w:id="737"/>
    <w:bookmarkEnd w:id="738"/>
    <w:bookmarkEnd w:id="739"/>
    <w:bookmarkEnd w:id="740"/>
    <w:bookmarkEnd w:id="741"/>
    <w:p w14:paraId="1F78A88A">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br w:type="page"/>
      </w:r>
      <w:bookmarkEnd w:id="723"/>
      <w:bookmarkStart w:id="742" w:name="_Toc104991888"/>
      <w:bookmarkStart w:id="743" w:name="_Toc533708135"/>
      <w:bookmarkStart w:id="744" w:name="_Toc142508381"/>
      <w:bookmarkStart w:id="745" w:name="_Toc102860086"/>
      <w:bookmarkStart w:id="746" w:name="_Toc1977740"/>
      <w:bookmarkStart w:id="747" w:name="_Toc94107223"/>
      <w:bookmarkStart w:id="748" w:name="_Toc102860430"/>
      <w:bookmarkStart w:id="749" w:name="_Toc140596941"/>
    </w:p>
    <w:p w14:paraId="060FD953">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13DB139F">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3DF7BCB3">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238E648">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5F91DD15">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404F3293">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7154976D">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FC559A1">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34FCA93B">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6342F0C3">
      <w:pPr>
        <w:pStyle w:val="21"/>
        <w:spacing w:line="360" w:lineRule="auto"/>
        <w:rPr>
          <w:rFonts w:ascii="宋体" w:hAnsi="宋体" w:cs="宋体"/>
          <w:color w:val="000000" w:themeColor="text1"/>
          <w:highlight w:val="none"/>
          <w14:textFill>
            <w14:solidFill>
              <w14:schemeClr w14:val="tx1"/>
            </w14:solidFill>
          </w14:textFill>
        </w:rPr>
      </w:pPr>
    </w:p>
    <w:p w14:paraId="7097C958">
      <w:pPr>
        <w:pStyle w:val="21"/>
        <w:spacing w:line="360" w:lineRule="auto"/>
        <w:rPr>
          <w:rFonts w:ascii="宋体" w:hAnsi="宋体" w:cs="宋体"/>
          <w:color w:val="000000" w:themeColor="text1"/>
          <w:highlight w:val="none"/>
          <w14:textFill>
            <w14:solidFill>
              <w14:schemeClr w14:val="tx1"/>
            </w14:solidFill>
          </w14:textFill>
        </w:rPr>
      </w:pPr>
    </w:p>
    <w:p w14:paraId="342B924C">
      <w:pPr>
        <w:pStyle w:val="21"/>
        <w:spacing w:line="360" w:lineRule="auto"/>
        <w:rPr>
          <w:rFonts w:ascii="宋体" w:hAnsi="宋体" w:cs="宋体"/>
          <w:color w:val="000000" w:themeColor="text1"/>
          <w:highlight w:val="none"/>
          <w14:textFill>
            <w14:solidFill>
              <w14:schemeClr w14:val="tx1"/>
            </w14:solidFill>
          </w14:textFill>
        </w:rPr>
      </w:pPr>
    </w:p>
    <w:p w14:paraId="12947584">
      <w:pPr>
        <w:pStyle w:val="21"/>
        <w:spacing w:line="360" w:lineRule="auto"/>
        <w:rPr>
          <w:rFonts w:ascii="宋体" w:hAnsi="宋体" w:cs="宋体"/>
          <w:color w:val="000000" w:themeColor="text1"/>
          <w:highlight w:val="none"/>
          <w14:textFill>
            <w14:solidFill>
              <w14:schemeClr w14:val="tx1"/>
            </w14:solidFill>
          </w14:textFill>
        </w:rPr>
      </w:pPr>
    </w:p>
    <w:p w14:paraId="0F4F5889">
      <w:pPr>
        <w:pStyle w:val="21"/>
        <w:spacing w:line="360" w:lineRule="auto"/>
        <w:rPr>
          <w:rFonts w:ascii="宋体" w:hAnsi="宋体" w:cs="宋体"/>
          <w:color w:val="000000" w:themeColor="text1"/>
          <w:highlight w:val="none"/>
          <w14:textFill>
            <w14:solidFill>
              <w14:schemeClr w14:val="tx1"/>
            </w14:solidFill>
          </w14:textFill>
        </w:rPr>
      </w:pPr>
    </w:p>
    <w:p w14:paraId="278903EC">
      <w:pPr>
        <w:pStyle w:val="21"/>
        <w:spacing w:line="360" w:lineRule="auto"/>
        <w:rPr>
          <w:rFonts w:ascii="宋体" w:hAnsi="宋体" w:cs="宋体"/>
          <w:color w:val="000000" w:themeColor="text1"/>
          <w:highlight w:val="none"/>
          <w14:textFill>
            <w14:solidFill>
              <w14:schemeClr w14:val="tx1"/>
            </w14:solidFill>
          </w14:textFill>
        </w:rPr>
      </w:pPr>
    </w:p>
    <w:p w14:paraId="6547C9B1">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3E634E61">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489ED2C9">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投标文件技术标 </w:t>
      </w:r>
    </w:p>
    <w:p w14:paraId="56A67738">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5839C03C">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（企业数字证书电子签名）   </w:t>
      </w:r>
    </w:p>
    <w:p w14:paraId="36C72BB3">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0F225FC4">
      <w:pPr>
        <w:pStyle w:val="21"/>
        <w:spacing w:line="360" w:lineRule="auto"/>
        <w:rPr>
          <w:rFonts w:ascii="宋体" w:hAnsi="宋体" w:cs="宋体"/>
          <w:color w:val="000000" w:themeColor="text1"/>
          <w:highlight w:val="none"/>
          <w14:textFill>
            <w14:solidFill>
              <w14:schemeClr w14:val="tx1"/>
            </w14:solidFill>
          </w14:textFill>
        </w:rPr>
      </w:pPr>
    </w:p>
    <w:p w14:paraId="3F532357">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4330252">
      <w:pPr>
        <w:tabs>
          <w:tab w:val="left" w:pos="567"/>
        </w:tabs>
        <w:autoSpaceDE w:val="0"/>
        <w:autoSpaceDN w:val="0"/>
        <w:adjustRightInd w:val="0"/>
        <w:spacing w:line="360" w:lineRule="auto"/>
        <w:ind w:left="357" w:leftChars="-100" w:hanging="567"/>
        <w:jc w:val="center"/>
        <w:outlineLvl w:val="1"/>
        <w:rPr>
          <w:rFonts w:ascii="宋体" w:hAnsi="宋体" w:eastAsia="宋体" w:cs="宋体"/>
          <w:b/>
          <w:color w:val="000000" w:themeColor="text1"/>
          <w:kern w:val="0"/>
          <w:sz w:val="24"/>
          <w:szCs w:val="24"/>
          <w:highlight w:val="none"/>
          <w14:textFill>
            <w14:solidFill>
              <w14:schemeClr w14:val="tx1"/>
            </w14:solidFill>
          </w14:textFill>
        </w:rPr>
      </w:pPr>
      <w:bookmarkStart w:id="750" w:name="_Toc31565"/>
      <w:bookmarkStart w:id="751" w:name="_Toc23902"/>
      <w:bookmarkStart w:id="752" w:name="_Toc195714400"/>
      <w:bookmarkStart w:id="753" w:name="_Toc4804"/>
      <w:bookmarkStart w:id="754" w:name="_Toc11390"/>
      <w:bookmarkStart w:id="755" w:name="_Toc211622220"/>
      <w:bookmarkStart w:id="756" w:name="_Toc8004"/>
      <w:bookmarkStart w:id="757" w:name="_Toc14054"/>
      <w:r>
        <w:rPr>
          <w:rFonts w:hint="eastAsia" w:ascii="宋体" w:hAnsi="宋体" w:eastAsia="宋体" w:cs="宋体"/>
          <w:b/>
          <w:color w:val="000000" w:themeColor="text1"/>
          <w:kern w:val="0"/>
          <w:sz w:val="24"/>
          <w:szCs w:val="24"/>
          <w:highlight w:val="none"/>
          <w14:textFill>
            <w14:solidFill>
              <w14:schemeClr w14:val="tx1"/>
            </w14:solidFill>
          </w14:textFill>
        </w:rPr>
        <w:t>目录</w:t>
      </w:r>
      <w:bookmarkEnd w:id="750"/>
      <w:bookmarkEnd w:id="751"/>
      <w:bookmarkEnd w:id="752"/>
      <w:bookmarkEnd w:id="753"/>
      <w:bookmarkEnd w:id="754"/>
      <w:bookmarkEnd w:id="755"/>
      <w:bookmarkEnd w:id="756"/>
      <w:bookmarkEnd w:id="757"/>
    </w:p>
    <w:p w14:paraId="3E3F7342">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p>
    <w:p w14:paraId="0833CB04">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1、用户需求响应程度（即用户需求偏离表）；</w:t>
      </w:r>
    </w:p>
    <w:p w14:paraId="545697F0">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2、总体服务方案；</w:t>
      </w:r>
    </w:p>
    <w:p w14:paraId="1D910E9A">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3、服务团队情况；</w:t>
      </w:r>
    </w:p>
    <w:p w14:paraId="23DCFFE1">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4、应急预案和保障措施；</w:t>
      </w:r>
    </w:p>
    <w:p w14:paraId="4F9F92D6">
      <w:pPr>
        <w:spacing w:line="360" w:lineRule="auto"/>
        <w:ind w:left="444" w:leftChars="77" w:hanging="282" w:hangingChars="134"/>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0"/>
          <w:szCs w:val="21"/>
          <w:highlight w:val="none"/>
          <w14:textFill>
            <w14:solidFill>
              <w14:schemeClr w14:val="tx1"/>
            </w14:solidFill>
          </w14:textFill>
        </w:rPr>
        <w:t>、投标人认为有必要提供的其它材料（不做强制要求）。</w:t>
      </w:r>
    </w:p>
    <w:p w14:paraId="35E9E66B">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2F983FED">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0"/>
          <w:szCs w:val="30"/>
          <w:highlight w:val="none"/>
          <w14:textFill>
            <w14:solidFill>
              <w14:schemeClr w14:val="tx1"/>
            </w14:solidFill>
          </w14:textFill>
        </w:rPr>
      </w:pPr>
      <w:bookmarkStart w:id="758" w:name="_Toc18899"/>
      <w:bookmarkStart w:id="759" w:name="_Toc211622221"/>
      <w:bookmarkStart w:id="760" w:name="_Toc30448"/>
      <w:bookmarkStart w:id="761" w:name="_Toc27934"/>
      <w:bookmarkStart w:id="762" w:name="_Toc18999"/>
      <w:r>
        <w:rPr>
          <w:rFonts w:hint="eastAsia" w:ascii="宋体" w:hAnsi="宋体" w:eastAsia="宋体" w:cs="宋体"/>
          <w:b/>
          <w:color w:val="000000" w:themeColor="text1"/>
          <w:kern w:val="0"/>
          <w:sz w:val="30"/>
          <w:szCs w:val="30"/>
          <w:highlight w:val="none"/>
          <w14:textFill>
            <w14:solidFill>
              <w14:schemeClr w14:val="tx1"/>
            </w14:solidFill>
          </w14:textFill>
        </w:rPr>
        <w:t>一、用户需求偏离表格式</w:t>
      </w:r>
      <w:bookmarkEnd w:id="742"/>
      <w:bookmarkEnd w:id="743"/>
      <w:bookmarkEnd w:id="744"/>
      <w:bookmarkEnd w:id="745"/>
      <w:bookmarkEnd w:id="746"/>
      <w:bookmarkEnd w:id="747"/>
      <w:bookmarkEnd w:id="748"/>
      <w:bookmarkEnd w:id="749"/>
      <w:bookmarkEnd w:id="758"/>
      <w:bookmarkEnd w:id="759"/>
      <w:bookmarkEnd w:id="760"/>
      <w:bookmarkEnd w:id="761"/>
      <w:bookmarkEnd w:id="762"/>
    </w:p>
    <w:p w14:paraId="5FD849BF">
      <w:pPr>
        <w:spacing w:before="120" w:after="120" w:line="360" w:lineRule="auto"/>
        <w:jc w:val="center"/>
        <w:rPr>
          <w:rFonts w:ascii="宋体" w:hAnsi="宋体" w:eastAsia="宋体" w:cs="宋体"/>
          <w:color w:val="000000" w:themeColor="text1"/>
          <w:kern w:val="0"/>
          <w:szCs w:val="21"/>
          <w:highlight w:val="none"/>
          <w14:textFill>
            <w14:solidFill>
              <w14:schemeClr w14:val="tx1"/>
            </w14:solidFill>
          </w14:textFill>
        </w:rPr>
      </w:pPr>
      <w:bookmarkStart w:id="763"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763"/>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81"/>
        <w:gridCol w:w="5989"/>
        <w:gridCol w:w="672"/>
        <w:gridCol w:w="811"/>
        <w:gridCol w:w="778"/>
      </w:tblGrid>
      <w:tr w14:paraId="0FF5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vAlign w:val="center"/>
          </w:tcPr>
          <w:p w14:paraId="73E6BAD4">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3550" w:type="pct"/>
            <w:gridSpan w:val="2"/>
            <w:vAlign w:val="center"/>
          </w:tcPr>
          <w:p w14:paraId="4256C2FD">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1168" w:type="pct"/>
            <w:gridSpan w:val="3"/>
            <w:vAlign w:val="center"/>
          </w:tcPr>
          <w:p w14:paraId="31A4CDE3">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07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vAlign w:val="center"/>
          </w:tcPr>
          <w:p w14:paraId="6F3B76A5">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55" w:type="pct"/>
            <w:vAlign w:val="center"/>
          </w:tcPr>
          <w:p w14:paraId="283B8997">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94" w:type="pct"/>
            <w:vAlign w:val="center"/>
          </w:tcPr>
          <w:p w14:paraId="1E39D348">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347" w:type="pct"/>
            <w:vAlign w:val="center"/>
          </w:tcPr>
          <w:p w14:paraId="409D3301">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419" w:type="pct"/>
            <w:vAlign w:val="center"/>
          </w:tcPr>
          <w:p w14:paraId="14DD103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实质性响应的具体内容</w:t>
            </w:r>
          </w:p>
        </w:tc>
        <w:tc>
          <w:tcPr>
            <w:tcW w:w="402" w:type="pct"/>
            <w:vAlign w:val="center"/>
          </w:tcPr>
          <w:p w14:paraId="17ED932F">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对应证明材料页码</w:t>
            </w:r>
          </w:p>
        </w:tc>
      </w:tr>
      <w:tr w14:paraId="2F6C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1" w:type="pct"/>
            <w:vAlign w:val="center"/>
          </w:tcPr>
          <w:p w14:paraId="294ACD9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455" w:type="pct"/>
            <w:vAlign w:val="center"/>
          </w:tcPr>
          <w:p w14:paraId="07CACA7C">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一</w:t>
            </w:r>
          </w:p>
        </w:tc>
        <w:tc>
          <w:tcPr>
            <w:tcW w:w="3094" w:type="pct"/>
            <w:vAlign w:val="center"/>
          </w:tcPr>
          <w:p w14:paraId="2D2A96A7">
            <w:pPr>
              <w:spacing w:line="400" w:lineRule="exac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项目概况</w:t>
            </w:r>
          </w:p>
        </w:tc>
        <w:tc>
          <w:tcPr>
            <w:tcW w:w="347" w:type="pct"/>
            <w:vAlign w:val="center"/>
          </w:tcPr>
          <w:p w14:paraId="1E283B43">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6700D055">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317E8449">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9B9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5F12F140">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55" w:type="pct"/>
            <w:shd w:val="clear" w:color="auto" w:fill="auto"/>
            <w:vAlign w:val="center"/>
          </w:tcPr>
          <w:p w14:paraId="1F24C805">
            <w:pPr>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p>
        </w:tc>
        <w:tc>
          <w:tcPr>
            <w:tcW w:w="3094" w:type="pct"/>
            <w:shd w:val="clear" w:color="auto" w:fill="auto"/>
            <w:vAlign w:val="center"/>
          </w:tcPr>
          <w:p w14:paraId="6268759A">
            <w:pPr>
              <w:spacing w:line="400" w:lineRule="exac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采购范围、服务期限及处理量</w:t>
            </w:r>
          </w:p>
        </w:tc>
        <w:tc>
          <w:tcPr>
            <w:tcW w:w="347" w:type="pct"/>
            <w:vAlign w:val="center"/>
          </w:tcPr>
          <w:p w14:paraId="3C3D19C4">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67F17F02">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7DB7A2E3">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E9B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6A48DBD9">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455" w:type="pct"/>
            <w:shd w:val="clear" w:color="auto" w:fill="auto"/>
            <w:vAlign w:val="center"/>
          </w:tcPr>
          <w:p w14:paraId="31FF09BB">
            <w:pPr>
              <w:spacing w:line="400" w:lineRule="exact"/>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w:t>
            </w:r>
          </w:p>
        </w:tc>
        <w:tc>
          <w:tcPr>
            <w:tcW w:w="3094" w:type="pct"/>
            <w:shd w:val="clear" w:color="auto" w:fill="auto"/>
            <w:vAlign w:val="center"/>
          </w:tcPr>
          <w:p w14:paraId="4BD5EADC">
            <w:pPr>
              <w:numPr>
                <w:ilvl w:val="255"/>
                <w:numId w:val="0"/>
              </w:numPr>
              <w:spacing w:line="400" w:lineRule="exac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服务费支付及考核标准</w:t>
            </w:r>
          </w:p>
        </w:tc>
        <w:tc>
          <w:tcPr>
            <w:tcW w:w="347" w:type="pct"/>
            <w:vAlign w:val="center"/>
          </w:tcPr>
          <w:p w14:paraId="3A421395">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20E44D76">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640FCB9F">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5B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7EEAA71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455" w:type="pct"/>
            <w:shd w:val="clear" w:color="auto" w:fill="auto"/>
            <w:vAlign w:val="center"/>
          </w:tcPr>
          <w:p w14:paraId="7150D6CD">
            <w:pPr>
              <w:spacing w:line="400" w:lineRule="exact"/>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w:t>
            </w:r>
          </w:p>
        </w:tc>
        <w:tc>
          <w:tcPr>
            <w:tcW w:w="3094" w:type="pct"/>
            <w:shd w:val="clear" w:color="auto" w:fill="auto"/>
            <w:vAlign w:val="center"/>
          </w:tcPr>
          <w:p w14:paraId="5281AB31">
            <w:pPr>
              <w:spacing w:line="400" w:lineRule="exac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服务内容</w:t>
            </w:r>
          </w:p>
        </w:tc>
        <w:tc>
          <w:tcPr>
            <w:tcW w:w="347" w:type="pct"/>
            <w:vAlign w:val="center"/>
          </w:tcPr>
          <w:p w14:paraId="42A2430D">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738EDC2B">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5F1B454E">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566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4CE32933">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455" w:type="pct"/>
            <w:shd w:val="clear" w:color="auto" w:fill="auto"/>
            <w:vAlign w:val="center"/>
          </w:tcPr>
          <w:p w14:paraId="646D2503">
            <w:pPr>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w:t>
            </w:r>
          </w:p>
        </w:tc>
        <w:tc>
          <w:tcPr>
            <w:tcW w:w="3094" w:type="pct"/>
            <w:shd w:val="clear" w:color="auto" w:fill="auto"/>
            <w:vAlign w:val="center"/>
          </w:tcPr>
          <w:p w14:paraId="7E4973B7">
            <w:pPr>
              <w:spacing w:line="400" w:lineRule="exac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管理要求</w:t>
            </w:r>
          </w:p>
        </w:tc>
        <w:tc>
          <w:tcPr>
            <w:tcW w:w="347" w:type="pct"/>
            <w:vAlign w:val="center"/>
          </w:tcPr>
          <w:p w14:paraId="49FEA076">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4F3D688A">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105F7933">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5C0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5A6B7620">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455" w:type="pct"/>
            <w:shd w:val="clear" w:color="auto" w:fill="auto"/>
            <w:vAlign w:val="center"/>
          </w:tcPr>
          <w:p w14:paraId="79CC0ADC">
            <w:pPr>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w:t>
            </w:r>
          </w:p>
        </w:tc>
        <w:tc>
          <w:tcPr>
            <w:tcW w:w="3094" w:type="pct"/>
            <w:shd w:val="clear" w:color="auto" w:fill="auto"/>
            <w:vAlign w:val="center"/>
          </w:tcPr>
          <w:p w14:paraId="7A734A0E">
            <w:pPr>
              <w:spacing w:line="400" w:lineRule="exact"/>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污泥脱水减量配合服务项目信息表</w:t>
            </w:r>
          </w:p>
        </w:tc>
        <w:tc>
          <w:tcPr>
            <w:tcW w:w="347" w:type="pct"/>
            <w:vAlign w:val="center"/>
          </w:tcPr>
          <w:p w14:paraId="6A7F82C6">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698D6E6C">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0CC0251F">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D14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6FBD3D86">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p>
        </w:tc>
        <w:tc>
          <w:tcPr>
            <w:tcW w:w="455" w:type="pct"/>
            <w:shd w:val="clear" w:color="auto" w:fill="auto"/>
            <w:vAlign w:val="center"/>
          </w:tcPr>
          <w:p w14:paraId="4E3E4E9C">
            <w:pPr>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附件2</w:t>
            </w:r>
          </w:p>
        </w:tc>
        <w:tc>
          <w:tcPr>
            <w:tcW w:w="3094" w:type="pct"/>
            <w:shd w:val="clear" w:color="auto" w:fill="auto"/>
            <w:vAlign w:val="center"/>
          </w:tcPr>
          <w:p w14:paraId="437ED4D5">
            <w:pPr>
              <w:spacing w:line="400" w:lineRule="exact"/>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设备类型及操作主体</w:t>
            </w:r>
          </w:p>
        </w:tc>
        <w:tc>
          <w:tcPr>
            <w:tcW w:w="347" w:type="pct"/>
            <w:vAlign w:val="center"/>
          </w:tcPr>
          <w:p w14:paraId="2E40AEA6">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300AB9D2">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6F15FA2B">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D41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14:paraId="79498B04">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p>
        </w:tc>
        <w:tc>
          <w:tcPr>
            <w:tcW w:w="455" w:type="pct"/>
            <w:shd w:val="clear" w:color="auto" w:fill="auto"/>
            <w:vAlign w:val="center"/>
          </w:tcPr>
          <w:p w14:paraId="278E2BB5">
            <w:pPr>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附件3</w:t>
            </w:r>
          </w:p>
        </w:tc>
        <w:tc>
          <w:tcPr>
            <w:tcW w:w="3094" w:type="pct"/>
            <w:shd w:val="clear" w:color="auto" w:fill="auto"/>
            <w:vAlign w:val="center"/>
          </w:tcPr>
          <w:p w14:paraId="3617437C">
            <w:pPr>
              <w:spacing w:line="400" w:lineRule="exact"/>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履约评价表</w:t>
            </w:r>
          </w:p>
        </w:tc>
        <w:tc>
          <w:tcPr>
            <w:tcW w:w="347" w:type="pct"/>
            <w:vAlign w:val="center"/>
          </w:tcPr>
          <w:p w14:paraId="1B8E3168">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19" w:type="pct"/>
            <w:vAlign w:val="center"/>
          </w:tcPr>
          <w:p w14:paraId="25C90975">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02" w:type="pct"/>
            <w:vAlign w:val="center"/>
          </w:tcPr>
          <w:p w14:paraId="24A75164">
            <w:pPr>
              <w:keepNext/>
              <w:keepLines/>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7048B3D5">
      <w:pPr>
        <w:spacing w:line="360" w:lineRule="auto"/>
        <w:rPr>
          <w:rFonts w:ascii="宋体" w:hAnsi="宋体" w:eastAsia="宋体" w:cs="宋体"/>
          <w:color w:val="000000" w:themeColor="text1"/>
          <w:szCs w:val="21"/>
          <w:highlight w:val="none"/>
          <w14:textFill>
            <w14:solidFill>
              <w14:schemeClr w14:val="tx1"/>
            </w14:solidFill>
          </w14:textFill>
        </w:rPr>
      </w:pPr>
    </w:p>
    <w:p w14:paraId="2682CEF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FAE3AC6">
      <w:pPr>
        <w:spacing w:line="360" w:lineRule="auto"/>
        <w:ind w:left="605" w:leftChars="18" w:hanging="567" w:hangingChars="270"/>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宋体"/>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5E5DD0E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CAB5B1C">
      <w:pPr>
        <w:spacing w:line="360" w:lineRule="auto"/>
        <w:ind w:left="607" w:leftChars="18" w:hanging="569" w:hangingChars="270"/>
        <w:rPr>
          <w:rFonts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宋体"/>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4E2BAD31">
      <w:pPr>
        <w:spacing w:line="360" w:lineRule="auto"/>
        <w:ind w:left="607" w:leftChars="18" w:hanging="569" w:hangingChars="270"/>
        <w:rPr>
          <w:rFonts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u w:val="single"/>
          <w14:textFill>
            <w14:solidFill>
              <w14:schemeClr w14:val="tx1"/>
            </w14:solidFill>
          </w14:textFill>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000000" w:themeColor="text1"/>
          <w:kern w:val="0"/>
          <w:sz w:val="24"/>
          <w:szCs w:val="21"/>
          <w:highlight w:val="none"/>
          <w:u w:val="single"/>
          <w:lang w:val="zh-CN"/>
          <w14:textFill>
            <w14:solidFill>
              <w14:schemeClr w14:val="tx1"/>
            </w14:solidFill>
          </w14:textFill>
        </w:rPr>
        <w:t>。</w:t>
      </w:r>
    </w:p>
    <w:p w14:paraId="0EFA03D1">
      <w:pPr>
        <w:spacing w:line="360" w:lineRule="auto"/>
        <w:rPr>
          <w:rFonts w:ascii="宋体" w:hAnsi="宋体" w:eastAsia="宋体" w:cs="宋体"/>
          <w:color w:val="000000" w:themeColor="text1"/>
          <w:szCs w:val="21"/>
          <w:highlight w:val="none"/>
          <w14:textFill>
            <w14:solidFill>
              <w14:schemeClr w14:val="tx1"/>
            </w14:solidFill>
          </w14:textFill>
        </w:rPr>
      </w:pPr>
    </w:p>
    <w:p w14:paraId="1A959B6E">
      <w:pPr>
        <w:autoSpaceDE w:val="0"/>
        <w:autoSpaceDN w:val="0"/>
        <w:adjustRightInd w:val="0"/>
        <w:spacing w:line="360" w:lineRule="auto"/>
        <w:ind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（企业数字证书电子签名）</w:t>
      </w:r>
    </w:p>
    <w:p w14:paraId="4349C356">
      <w:pPr>
        <w:autoSpaceDE w:val="0"/>
        <w:autoSpaceDN w:val="0"/>
        <w:adjustRightInd w:val="0"/>
        <w:spacing w:line="360" w:lineRule="auto"/>
        <w:ind w:firstLine="3780" w:firstLineChars="18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0690C70B">
      <w:pPr>
        <w:autoSpaceDE w:val="0"/>
        <w:autoSpaceDN w:val="0"/>
        <w:adjustRightInd w:val="0"/>
        <w:spacing w:line="360" w:lineRule="auto"/>
        <w:jc w:val="center"/>
        <w:rPr>
          <w:rFonts w:ascii="宋体" w:hAnsi="宋体" w:eastAsia="宋体" w:cs="宋体"/>
          <w:b/>
          <w:bCs/>
          <w:color w:val="000000" w:themeColor="text1"/>
          <w:szCs w:val="24"/>
          <w:highlight w:val="none"/>
          <w:lang w:val="zh-CN"/>
          <w14:textFill>
            <w14:solidFill>
              <w14:schemeClr w14:val="tx1"/>
            </w14:solidFill>
          </w14:textFill>
        </w:rPr>
      </w:pPr>
    </w:p>
    <w:p w14:paraId="1EDBBAE5">
      <w:pPr>
        <w:widowControl/>
        <w:autoSpaceDE w:val="0"/>
        <w:autoSpaceDN w:val="0"/>
        <w:adjustRightIn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说明：由投标人使用投标人的企业数字证书电子签名。</w:t>
      </w:r>
    </w:p>
    <w:p w14:paraId="334EB1CB">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68764CF4">
      <w:pPr>
        <w:jc w:val="left"/>
        <w:outlineLvl w:val="1"/>
        <w:rPr>
          <w:rFonts w:ascii="宋体" w:hAnsi="宋体" w:eastAsia="宋体" w:cs="宋体"/>
          <w:b/>
          <w:color w:val="000000" w:themeColor="text1"/>
          <w:kern w:val="0"/>
          <w:sz w:val="30"/>
          <w:szCs w:val="30"/>
          <w:highlight w:val="none"/>
          <w14:textFill>
            <w14:solidFill>
              <w14:schemeClr w14:val="tx1"/>
            </w14:solidFill>
          </w14:textFill>
        </w:rPr>
      </w:pPr>
      <w:bookmarkStart w:id="764" w:name="_Toc211622222"/>
      <w:bookmarkStart w:id="765" w:name="_Toc5681"/>
      <w:r>
        <w:rPr>
          <w:rFonts w:hint="eastAsia" w:ascii="宋体" w:hAnsi="宋体" w:eastAsia="宋体" w:cs="宋体"/>
          <w:b/>
          <w:color w:val="000000" w:themeColor="text1"/>
          <w:kern w:val="0"/>
          <w:sz w:val="30"/>
          <w:szCs w:val="30"/>
          <w:highlight w:val="none"/>
          <w14:textFill>
            <w14:solidFill>
              <w14:schemeClr w14:val="tx1"/>
            </w14:solidFill>
          </w14:textFill>
        </w:rPr>
        <w:t>二、</w:t>
      </w:r>
      <w:bookmarkEnd w:id="764"/>
      <w:r>
        <w:rPr>
          <w:rFonts w:hint="eastAsia" w:ascii="宋体" w:hAnsi="宋体" w:eastAsia="宋体" w:cs="宋体"/>
          <w:b/>
          <w:color w:val="000000" w:themeColor="text1"/>
          <w:kern w:val="0"/>
          <w:sz w:val="30"/>
          <w:szCs w:val="30"/>
          <w:highlight w:val="none"/>
          <w14:textFill>
            <w14:solidFill>
              <w14:schemeClr w14:val="tx1"/>
            </w14:solidFill>
          </w14:textFill>
        </w:rPr>
        <w:t>总体服务方案</w:t>
      </w:r>
      <w:bookmarkEnd w:id="765"/>
    </w:p>
    <w:p w14:paraId="795FC83C">
      <w:pPr>
        <w:spacing w:before="120" w:beforeLines="50" w:line="360" w:lineRule="auto"/>
        <w:outlineLvl w:val="9"/>
        <w:rPr>
          <w:rFonts w:ascii="宋体" w:hAnsi="宋体" w:eastAsia="宋体" w:cs="宋体"/>
          <w:color w:val="000000" w:themeColor="text1"/>
          <w:szCs w:val="21"/>
          <w:highlight w:val="none"/>
          <w14:textFill>
            <w14:solidFill>
              <w14:schemeClr w14:val="tx1"/>
            </w14:solidFill>
          </w14:textFill>
        </w:rPr>
      </w:pPr>
      <w:bookmarkStart w:id="766" w:name="_Toc94107225"/>
      <w:r>
        <w:rPr>
          <w:rFonts w:hint="eastAsia" w:ascii="宋体" w:hAnsi="宋体" w:eastAsia="宋体" w:cs="宋体"/>
          <w:color w:val="000000" w:themeColor="text1"/>
          <w:szCs w:val="21"/>
          <w:highlight w:val="none"/>
          <w14:textFill>
            <w14:solidFill>
              <w14:schemeClr w14:val="tx1"/>
            </w14:solidFill>
          </w14:textFill>
        </w:rPr>
        <w:t>说明：投标人应根据本项目采购内容和评标工作大纲技术评审细则的要求，自行编制，总体服务方案主要包括但不限于以下内容：</w:t>
      </w:r>
    </w:p>
    <w:p w14:paraId="00A76126">
      <w:pPr>
        <w:spacing w:before="120" w:beforeLines="50"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（1）针对本项目服务的组织实施方案、响应速度及保障措施；</w:t>
      </w:r>
    </w:p>
    <w:p w14:paraId="54597141">
      <w:pPr>
        <w:spacing w:before="120" w:beforeLines="50"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（格式自拟，包括对项目的理解、服务的重点及难点，详细实施计划、进度计划和保证项目完成的具体措施等内容。）</w:t>
      </w:r>
    </w:p>
    <w:p w14:paraId="3B9011E4">
      <w:pPr>
        <w:spacing w:before="120" w:beforeLines="50"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（2）技术人员情况、污泥脱水设备操作经验；</w:t>
      </w:r>
    </w:p>
    <w:p w14:paraId="7D34D45B">
      <w:pPr>
        <w:spacing w:before="120" w:beforeLines="50"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（格式自拟，包括技术人员的情况、污泥脱水设备操作经验、配合服务人员安排等内容）</w:t>
      </w:r>
    </w:p>
    <w:p w14:paraId="070F3625">
      <w:pPr>
        <w:spacing w:before="120" w:beforeLines="50"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（3）项目的管理方案、服务方案；</w:t>
      </w:r>
    </w:p>
    <w:p w14:paraId="555A2818">
      <w:pPr>
        <w:spacing w:before="120" w:beforeLines="50"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（格式自拟，包括设立的组织机构、人员管理方案、服务质量管理方案及与之配套的管理制度等内容。）</w:t>
      </w:r>
    </w:p>
    <w:p w14:paraId="552F605E">
      <w:pPr>
        <w:spacing w:before="120" w:beforeLines="50"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（4）人员培训方案、经验；</w:t>
      </w:r>
    </w:p>
    <w:p w14:paraId="6B37CD2A">
      <w:pPr>
        <w:spacing w:before="120" w:beforeLines="50"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（格式自拟，包括培训计划、培训渠道、培训经验、同类案例等内容。）</w:t>
      </w:r>
    </w:p>
    <w:p w14:paraId="5E68883F">
      <w:pPr>
        <w:widowControl/>
        <w:jc w:val="left"/>
        <w:rPr>
          <w:rFonts w:ascii="宋体" w:hAnsi="宋体" w:eastAsia="宋体" w:cs="宋体"/>
          <w:color w:val="000000" w:themeColor="text1"/>
          <w:kern w:val="0"/>
          <w:szCs w:val="21"/>
          <w:highlight w:val="none"/>
          <w14:textFill>
            <w14:solidFill>
              <w14:schemeClr w14:val="tx1"/>
            </w14:solidFill>
          </w14:textFill>
        </w:rPr>
      </w:pPr>
    </w:p>
    <w:bookmarkEnd w:id="766"/>
    <w:p w14:paraId="74A932A0">
      <w:pPr>
        <w:pageBreakBefore/>
        <w:outlineLvl w:val="1"/>
        <w:rPr>
          <w:rFonts w:ascii="宋体" w:hAnsi="宋体" w:eastAsia="宋体" w:cs="宋体"/>
          <w:b/>
          <w:color w:val="000000" w:themeColor="text1"/>
          <w:kern w:val="0"/>
          <w:sz w:val="30"/>
          <w:szCs w:val="30"/>
          <w:highlight w:val="none"/>
          <w14:textFill>
            <w14:solidFill>
              <w14:schemeClr w14:val="tx1"/>
            </w14:solidFill>
          </w14:textFill>
        </w:rPr>
      </w:pPr>
      <w:bookmarkStart w:id="767" w:name="_Toc211622223"/>
      <w:bookmarkStart w:id="768" w:name="_Toc23208"/>
      <w:bookmarkStart w:id="769" w:name="_Toc102860094"/>
      <w:bookmarkStart w:id="770" w:name="_Toc102860438"/>
      <w:bookmarkStart w:id="771" w:name="_Toc142508389"/>
      <w:bookmarkStart w:id="772" w:name="_Toc104991896"/>
      <w:bookmarkStart w:id="773" w:name="_Toc140596949"/>
      <w:bookmarkStart w:id="774" w:name="_Toc533708139"/>
      <w:r>
        <w:rPr>
          <w:rFonts w:hint="eastAsia" w:ascii="宋体" w:hAnsi="宋体" w:eastAsia="宋体" w:cs="宋体"/>
          <w:b/>
          <w:color w:val="000000" w:themeColor="text1"/>
          <w:kern w:val="0"/>
          <w:sz w:val="30"/>
          <w:szCs w:val="30"/>
          <w:highlight w:val="none"/>
          <w14:textFill>
            <w14:solidFill>
              <w14:schemeClr w14:val="tx1"/>
            </w14:solidFill>
          </w14:textFill>
        </w:rPr>
        <w:t>三、</w:t>
      </w:r>
      <w:bookmarkEnd w:id="767"/>
      <w:r>
        <w:rPr>
          <w:rFonts w:hint="eastAsia" w:ascii="宋体" w:hAnsi="宋体" w:eastAsia="宋体" w:cs="宋体"/>
          <w:b/>
          <w:color w:val="000000" w:themeColor="text1"/>
          <w:kern w:val="0"/>
          <w:sz w:val="30"/>
          <w:szCs w:val="30"/>
          <w:highlight w:val="none"/>
          <w14:textFill>
            <w14:solidFill>
              <w14:schemeClr w14:val="tx1"/>
            </w14:solidFill>
          </w14:textFill>
        </w:rPr>
        <w:t>服务团队情况表格式</w:t>
      </w:r>
      <w:bookmarkEnd w:id="768"/>
    </w:p>
    <w:p w14:paraId="09ED230F">
      <w:pPr>
        <w:pStyle w:val="65"/>
        <w:spacing w:before="240" w:beforeLines="100" w:line="360" w:lineRule="auto"/>
        <w:ind w:firstLine="0" w:firstLineChars="0"/>
        <w:jc w:val="center"/>
        <w:outlineLvl w:val="9"/>
        <w:rPr>
          <w:rFonts w:ascii="宋体" w:eastAsia="宋体" w:cs="宋体"/>
          <w:b/>
          <w:color w:val="000000" w:themeColor="text1"/>
          <w:sz w:val="30"/>
          <w:szCs w:val="30"/>
          <w:highlight w:val="none"/>
          <w14:textFill>
            <w14:solidFill>
              <w14:schemeClr w14:val="tx1"/>
            </w14:solidFill>
          </w14:textFill>
        </w:rPr>
      </w:pPr>
      <w:r>
        <w:rPr>
          <w:rFonts w:hint="eastAsia" w:ascii="宋体" w:eastAsia="宋体" w:cs="宋体"/>
          <w:b/>
          <w:color w:val="000000" w:themeColor="text1"/>
          <w:sz w:val="30"/>
          <w:szCs w:val="30"/>
          <w:highlight w:val="none"/>
          <w:lang w:val="en-US" w:eastAsia="zh-CN"/>
          <w14:textFill>
            <w14:solidFill>
              <w14:schemeClr w14:val="tx1"/>
            </w14:solidFill>
          </w14:textFill>
        </w:rPr>
        <w:t>服务团队</w:t>
      </w:r>
      <w:r>
        <w:rPr>
          <w:rFonts w:hint="eastAsia" w:ascii="宋体" w:eastAsia="宋体" w:cs="宋体"/>
          <w:b/>
          <w:color w:val="000000" w:themeColor="text1"/>
          <w:sz w:val="30"/>
          <w:szCs w:val="30"/>
          <w:highlight w:val="none"/>
          <w14:textFill>
            <w14:solidFill>
              <w14:schemeClr w14:val="tx1"/>
            </w14:solidFill>
          </w14:textFill>
        </w:rPr>
        <w:t>清单表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541"/>
        <w:gridCol w:w="720"/>
        <w:gridCol w:w="720"/>
        <w:gridCol w:w="857"/>
        <w:gridCol w:w="1210"/>
        <w:gridCol w:w="747"/>
        <w:gridCol w:w="1156"/>
        <w:gridCol w:w="2027"/>
      </w:tblGrid>
      <w:tr w14:paraId="7E8E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155456C">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序号</w:t>
            </w:r>
          </w:p>
        </w:tc>
        <w:tc>
          <w:tcPr>
            <w:tcW w:w="796" w:type="pct"/>
            <w:tcBorders>
              <w:top w:val="single" w:color="auto" w:sz="4" w:space="0"/>
              <w:left w:val="single" w:color="auto" w:sz="4" w:space="0"/>
              <w:bottom w:val="single" w:color="auto" w:sz="4" w:space="0"/>
              <w:right w:val="single" w:color="auto" w:sz="4" w:space="0"/>
            </w:tcBorders>
            <w:vAlign w:val="center"/>
          </w:tcPr>
          <w:p w14:paraId="0316784B">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姓名</w:t>
            </w:r>
          </w:p>
        </w:tc>
        <w:tc>
          <w:tcPr>
            <w:tcW w:w="372" w:type="pct"/>
            <w:tcBorders>
              <w:top w:val="single" w:color="auto" w:sz="4" w:space="0"/>
              <w:left w:val="single" w:color="auto" w:sz="4" w:space="0"/>
              <w:bottom w:val="single" w:color="auto" w:sz="4" w:space="0"/>
              <w:right w:val="single" w:color="auto" w:sz="4" w:space="0"/>
            </w:tcBorders>
            <w:vAlign w:val="center"/>
          </w:tcPr>
          <w:p w14:paraId="29DE2DCB">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性别</w:t>
            </w:r>
          </w:p>
        </w:tc>
        <w:tc>
          <w:tcPr>
            <w:tcW w:w="372" w:type="pct"/>
            <w:tcBorders>
              <w:top w:val="single" w:color="auto" w:sz="4" w:space="0"/>
              <w:left w:val="single" w:color="auto" w:sz="4" w:space="0"/>
              <w:bottom w:val="single" w:color="auto" w:sz="4" w:space="0"/>
              <w:right w:val="single" w:color="auto" w:sz="4" w:space="0"/>
            </w:tcBorders>
            <w:vAlign w:val="center"/>
          </w:tcPr>
          <w:p w14:paraId="2BF12866">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年龄</w:t>
            </w:r>
          </w:p>
        </w:tc>
        <w:tc>
          <w:tcPr>
            <w:tcW w:w="443" w:type="pct"/>
            <w:tcBorders>
              <w:top w:val="single" w:color="auto" w:sz="4" w:space="0"/>
              <w:left w:val="single" w:color="auto" w:sz="4" w:space="0"/>
              <w:bottom w:val="single" w:color="auto" w:sz="4" w:space="0"/>
              <w:right w:val="single" w:color="auto" w:sz="4" w:space="0"/>
            </w:tcBorders>
            <w:vAlign w:val="center"/>
          </w:tcPr>
          <w:p w14:paraId="50128A37">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学历</w:t>
            </w:r>
          </w:p>
        </w:tc>
        <w:tc>
          <w:tcPr>
            <w:tcW w:w="625" w:type="pct"/>
            <w:tcBorders>
              <w:top w:val="single" w:color="auto" w:sz="4" w:space="0"/>
              <w:left w:val="single" w:color="auto" w:sz="4" w:space="0"/>
              <w:bottom w:val="single" w:color="auto" w:sz="4" w:space="0"/>
              <w:right w:val="single" w:color="auto" w:sz="4" w:space="0"/>
            </w:tcBorders>
            <w:vAlign w:val="center"/>
          </w:tcPr>
          <w:p w14:paraId="771B1705">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资格</w:t>
            </w:r>
            <w:r>
              <w:rPr>
                <w:rFonts w:hint="eastAsia" w:ascii="宋体" w:hAnsi="宋体" w:eastAsia="宋体" w:cs="宋体"/>
                <w:color w:val="000000" w:themeColor="text1"/>
                <w:szCs w:val="21"/>
                <w:highlight w:val="none"/>
                <w14:textFill>
                  <w14:solidFill>
                    <w14:schemeClr w14:val="tx1"/>
                  </w14:solidFill>
                </w14:textFill>
              </w:rPr>
              <w:t>/职称</w:t>
            </w:r>
            <w:r>
              <w:rPr>
                <w:rFonts w:hint="eastAsia" w:ascii="宋体" w:hAnsi="宋体" w:eastAsia="宋体" w:cs="宋体"/>
                <w:color w:val="000000" w:themeColor="text1"/>
                <w:szCs w:val="21"/>
                <w:highlight w:val="none"/>
                <w:lang w:val="zh-CN"/>
                <w14:textFill>
                  <w14:solidFill>
                    <w14:schemeClr w14:val="tx1"/>
                  </w14:solidFill>
                </w14:textFill>
              </w:rPr>
              <w:t>证书</w:t>
            </w:r>
          </w:p>
        </w:tc>
        <w:tc>
          <w:tcPr>
            <w:tcW w:w="386" w:type="pct"/>
            <w:tcBorders>
              <w:top w:val="single" w:color="auto" w:sz="4" w:space="0"/>
              <w:left w:val="single" w:color="auto" w:sz="4" w:space="0"/>
              <w:bottom w:val="single" w:color="auto" w:sz="4" w:space="0"/>
              <w:right w:val="single" w:color="auto" w:sz="4" w:space="0"/>
            </w:tcBorders>
            <w:vAlign w:val="center"/>
          </w:tcPr>
          <w:p w14:paraId="06DDE8D8">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拟任职务</w:t>
            </w:r>
          </w:p>
        </w:tc>
        <w:tc>
          <w:tcPr>
            <w:tcW w:w="597" w:type="pct"/>
            <w:tcBorders>
              <w:top w:val="single" w:color="auto" w:sz="4" w:space="0"/>
              <w:left w:val="single" w:color="auto" w:sz="4" w:space="0"/>
              <w:bottom w:val="single" w:color="auto" w:sz="4" w:space="0"/>
              <w:right w:val="single" w:color="auto" w:sz="4" w:space="0"/>
            </w:tcBorders>
            <w:vAlign w:val="center"/>
          </w:tcPr>
          <w:p w14:paraId="6BEA46D6">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从事</w:t>
            </w:r>
            <w:r>
              <w:rPr>
                <w:rFonts w:hint="eastAsia" w:ascii="宋体" w:hAnsi="宋体" w:eastAsia="宋体" w:cs="宋体"/>
                <w:color w:val="000000" w:themeColor="text1"/>
                <w:szCs w:val="21"/>
                <w:highlight w:val="none"/>
                <w14:textFill>
                  <w14:solidFill>
                    <w14:schemeClr w14:val="tx1"/>
                  </w14:solidFill>
                </w14:textFill>
              </w:rPr>
              <w:t>污泥脱水设备操作</w:t>
            </w:r>
            <w:r>
              <w:rPr>
                <w:rFonts w:hint="eastAsia" w:ascii="宋体" w:hAnsi="宋体" w:eastAsia="宋体" w:cs="宋体"/>
                <w:color w:val="000000" w:themeColor="text1"/>
                <w:szCs w:val="21"/>
                <w:highlight w:val="none"/>
                <w:lang w:val="zh-CN"/>
                <w14:textFill>
                  <w14:solidFill>
                    <w14:schemeClr w14:val="tx1"/>
                  </w14:solidFill>
                </w14:textFill>
              </w:rPr>
              <w:t>年限</w:t>
            </w:r>
          </w:p>
        </w:tc>
        <w:tc>
          <w:tcPr>
            <w:tcW w:w="1047" w:type="pct"/>
            <w:tcBorders>
              <w:top w:val="single" w:color="auto" w:sz="4" w:space="0"/>
              <w:left w:val="single" w:color="auto" w:sz="4" w:space="0"/>
              <w:bottom w:val="single" w:color="auto" w:sz="4" w:space="0"/>
              <w:right w:val="single" w:color="auto" w:sz="4" w:space="0"/>
            </w:tcBorders>
            <w:vAlign w:val="center"/>
          </w:tcPr>
          <w:p w14:paraId="427DE74D">
            <w:pPr>
              <w:jc w:val="center"/>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tc>
      </w:tr>
      <w:tr w14:paraId="38ED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E00AC11">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4AFAD05E">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4E53BA0F">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43D8D4D5">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594587A8">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28809EEA">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5FDB8271">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70051966">
            <w:pPr>
              <w:jc w:val="center"/>
              <w:outlineLvl w:val="9"/>
              <w:rPr>
                <w:rFonts w:ascii="宋体" w:hAnsi="宋体" w:eastAsia="宋体" w:cs="宋体"/>
                <w:color w:val="000000" w:themeColor="text1"/>
                <w:szCs w:val="21"/>
                <w:highlight w:val="none"/>
                <w:lang w:val="zh-CN"/>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123AED00">
            <w:pPr>
              <w:jc w:val="center"/>
              <w:outlineLvl w:val="9"/>
              <w:rPr>
                <w:rFonts w:ascii="宋体" w:hAnsi="宋体" w:eastAsia="宋体" w:cs="宋体"/>
                <w:color w:val="000000" w:themeColor="text1"/>
                <w:szCs w:val="21"/>
                <w:highlight w:val="none"/>
                <w:lang w:val="zh-CN"/>
                <w14:textFill>
                  <w14:solidFill>
                    <w14:schemeClr w14:val="tx1"/>
                  </w14:solidFill>
                </w14:textFill>
              </w:rPr>
            </w:pPr>
          </w:p>
        </w:tc>
      </w:tr>
      <w:tr w14:paraId="6F8B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1D6E5E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614131BE">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980D0B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8D395E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60478DC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61413F7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7C9AB3F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124DAE0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456A6E9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203C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7E10B0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5026FC4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4BB7DFB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2E65220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2834B5E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74FCCD8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66D74FC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22CC455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56D991B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3631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EA3994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7938998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6977975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842354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6D85FDBF">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46DEDB3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3F54CAA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1122E7F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1B9AD8F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4B2B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FDA57B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2BBEB36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1006D67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054387C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6740195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5F76B7F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388E002E">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7F204B3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2CAB90A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4A9C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9321BE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61152E0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1E87F3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653D4D1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5CB336B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1564B18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4FFCFD6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66DFE4C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1E4B380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0C8A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10FE00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34FFA98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0DE4C53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1E2D46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132DF0BF">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09A5B45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2FA3776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75C0085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2504512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74BC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910376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0016D52F">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C22536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52ADE33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4BDA8F8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3008381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5E5855C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7A7D2F5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5BBF915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7AD1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99C32B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631EC83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4966CD1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0511F55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67DA827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25799A6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11454A3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3EF0BB9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6D52169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078A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062BD0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96" w:type="pct"/>
            <w:tcBorders>
              <w:top w:val="single" w:color="auto" w:sz="4" w:space="0"/>
              <w:left w:val="single" w:color="auto" w:sz="4" w:space="0"/>
              <w:bottom w:val="single" w:color="auto" w:sz="4" w:space="0"/>
              <w:right w:val="single" w:color="auto" w:sz="4" w:space="0"/>
            </w:tcBorders>
            <w:vAlign w:val="center"/>
          </w:tcPr>
          <w:p w14:paraId="5CED203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4C077E0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72" w:type="pct"/>
            <w:tcBorders>
              <w:top w:val="single" w:color="auto" w:sz="4" w:space="0"/>
              <w:left w:val="single" w:color="auto" w:sz="4" w:space="0"/>
              <w:bottom w:val="single" w:color="auto" w:sz="4" w:space="0"/>
              <w:right w:val="single" w:color="auto" w:sz="4" w:space="0"/>
            </w:tcBorders>
            <w:vAlign w:val="center"/>
          </w:tcPr>
          <w:p w14:paraId="6B0E981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443" w:type="pct"/>
            <w:tcBorders>
              <w:top w:val="single" w:color="auto" w:sz="4" w:space="0"/>
              <w:left w:val="single" w:color="auto" w:sz="4" w:space="0"/>
              <w:bottom w:val="single" w:color="auto" w:sz="4" w:space="0"/>
              <w:right w:val="single" w:color="auto" w:sz="4" w:space="0"/>
            </w:tcBorders>
            <w:vAlign w:val="center"/>
          </w:tcPr>
          <w:p w14:paraId="6092F6E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vAlign w:val="center"/>
          </w:tcPr>
          <w:p w14:paraId="3FCCC32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32BD1FD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vAlign w:val="center"/>
          </w:tcPr>
          <w:p w14:paraId="11B6932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3666018E">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bl>
    <w:p w14:paraId="337C497C">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7044F138">
      <w:pPr>
        <w:spacing w:line="360" w:lineRule="auto"/>
        <w:ind w:firstLine="283" w:firstLineChars="135"/>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14:paraId="18664EBC">
      <w:pPr>
        <w:spacing w:line="360" w:lineRule="auto"/>
        <w:ind w:firstLine="283" w:firstLineChars="135"/>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）拟投入本项目的</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Cs w:val="21"/>
          <w:highlight w:val="none"/>
          <w14:textFill>
            <w14:solidFill>
              <w14:schemeClr w14:val="tx1"/>
            </w14:solidFill>
          </w14:textFill>
        </w:rPr>
        <w:t>需提供简历表。</w:t>
      </w:r>
    </w:p>
    <w:p w14:paraId="07131C5F">
      <w:pPr>
        <w:pStyle w:val="65"/>
        <w:pageBreakBefore/>
        <w:spacing w:line="360" w:lineRule="auto"/>
        <w:ind w:firstLine="0" w:firstLineChars="0"/>
        <w:jc w:val="center"/>
        <w:outlineLvl w:val="9"/>
        <w:rPr>
          <w:rFonts w:ascii="宋体" w:eastAsia="宋体" w:cs="宋体"/>
          <w:b/>
          <w:color w:val="000000" w:themeColor="text1"/>
          <w:sz w:val="30"/>
          <w:szCs w:val="30"/>
          <w:highlight w:val="none"/>
          <w14:textFill>
            <w14:solidFill>
              <w14:schemeClr w14:val="tx1"/>
            </w14:solidFill>
          </w14:textFill>
        </w:rPr>
      </w:pPr>
      <w:bookmarkStart w:id="775" w:name="_Toc35338204"/>
      <w:bookmarkStart w:id="776" w:name="_Toc37323112"/>
      <w:r>
        <w:rPr>
          <w:rFonts w:hint="eastAsia" w:ascii="宋体" w:eastAsia="宋体" w:cs="宋体"/>
          <w:b/>
          <w:color w:val="000000" w:themeColor="text1"/>
          <w:sz w:val="30"/>
          <w:szCs w:val="30"/>
          <w:highlight w:val="none"/>
          <w14:textFill>
            <w14:solidFill>
              <w14:schemeClr w14:val="tx1"/>
            </w14:solidFill>
          </w14:textFill>
        </w:rPr>
        <w:t>简历表格式</w:t>
      </w:r>
      <w:bookmarkEnd w:id="775"/>
      <w:bookmarkEnd w:id="776"/>
    </w:p>
    <w:p w14:paraId="3123ADB3">
      <w:pPr>
        <w:spacing w:line="360" w:lineRule="auto"/>
        <w:jc w:val="center"/>
        <w:outlineLvl w:val="9"/>
        <w:rPr>
          <w:rFonts w:ascii="宋体" w:hAnsi="宋体" w:eastAsia="宋体" w:cs="宋体"/>
          <w:b/>
          <w:color w:val="000000" w:themeColor="text1"/>
          <w:sz w:val="30"/>
          <w:szCs w:val="30"/>
          <w:highlight w:val="none"/>
          <w14:textFill>
            <w14:solidFill>
              <w14:schemeClr w14:val="tx1"/>
            </w14:solidFill>
          </w14:textFill>
        </w:rPr>
      </w:pPr>
    </w:p>
    <w:p w14:paraId="0594CDC3">
      <w:pPr>
        <w:spacing w:line="360" w:lineRule="auto"/>
        <w:jc w:val="center"/>
        <w:outlineLvl w:val="9"/>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拟担任本项目</w:t>
      </w:r>
      <w:r>
        <w:rPr>
          <w:rFonts w:hint="eastAsia" w:ascii="宋体" w:hAnsi="宋体" w:eastAsia="宋体" w:cs="宋体"/>
          <w:b/>
          <w:color w:val="000000" w:themeColor="text1"/>
          <w:sz w:val="30"/>
          <w:szCs w:val="30"/>
          <w:highlight w:val="none"/>
          <w:u w:val="single"/>
          <w14:textFill>
            <w14:solidFill>
              <w14:schemeClr w14:val="tx1"/>
            </w14:solidFill>
          </w14:textFill>
        </w:rPr>
        <w:t xml:space="preserve">     （职位名称）  </w:t>
      </w:r>
      <w:r>
        <w:rPr>
          <w:rFonts w:hint="eastAsia" w:ascii="宋体" w:hAnsi="宋体" w:eastAsia="宋体" w:cs="宋体"/>
          <w:b/>
          <w:color w:val="000000" w:themeColor="text1"/>
          <w:sz w:val="30"/>
          <w:szCs w:val="30"/>
          <w:highlight w:val="none"/>
          <w14:textFill>
            <w14:solidFill>
              <w14:schemeClr w14:val="tx1"/>
            </w14:solidFill>
          </w14:textFill>
        </w:rPr>
        <w:t>人员简历表</w:t>
      </w: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41"/>
        <w:gridCol w:w="759"/>
        <w:gridCol w:w="510"/>
        <w:gridCol w:w="840"/>
        <w:gridCol w:w="540"/>
        <w:gridCol w:w="1065"/>
        <w:gridCol w:w="75"/>
        <w:gridCol w:w="772"/>
        <w:gridCol w:w="308"/>
        <w:gridCol w:w="43"/>
        <w:gridCol w:w="422"/>
        <w:gridCol w:w="1335"/>
      </w:tblGrid>
      <w:tr w14:paraId="7565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9C7DB0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2610" w:type="dxa"/>
            <w:gridSpan w:val="3"/>
            <w:tcBorders>
              <w:top w:val="single" w:color="auto" w:sz="4" w:space="0"/>
              <w:left w:val="single" w:color="auto" w:sz="4" w:space="0"/>
              <w:bottom w:val="single" w:color="auto" w:sz="4" w:space="0"/>
              <w:right w:val="single" w:color="auto" w:sz="4" w:space="0"/>
            </w:tcBorders>
            <w:vAlign w:val="center"/>
          </w:tcPr>
          <w:p w14:paraId="079EDD0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14:paraId="6A1E250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765B80C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ABBE84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133AD32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601C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F8FDA5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2610" w:type="dxa"/>
            <w:gridSpan w:val="3"/>
            <w:tcBorders>
              <w:top w:val="single" w:color="auto" w:sz="4" w:space="0"/>
              <w:left w:val="single" w:color="auto" w:sz="4" w:space="0"/>
              <w:bottom w:val="single" w:color="auto" w:sz="4" w:space="0"/>
              <w:right w:val="single" w:color="auto" w:sz="4" w:space="0"/>
            </w:tcBorders>
            <w:vAlign w:val="center"/>
          </w:tcPr>
          <w:p w14:paraId="6BA9E64E">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14:paraId="0988F1C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资格或职称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1DB0336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8F8627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6648709C">
            <w:pPr>
              <w:spacing w:line="360" w:lineRule="auto"/>
              <w:outlineLvl w:val="9"/>
              <w:rPr>
                <w:rFonts w:ascii="宋体" w:hAnsi="宋体" w:eastAsia="宋体" w:cs="宋体"/>
                <w:color w:val="000000" w:themeColor="text1"/>
                <w:szCs w:val="21"/>
                <w:highlight w:val="none"/>
                <w14:textFill>
                  <w14:solidFill>
                    <w14:schemeClr w14:val="tx1"/>
                  </w14:solidFill>
                </w14:textFill>
              </w:rPr>
            </w:pPr>
          </w:p>
          <w:p w14:paraId="5B213C6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75BF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14:paraId="183D11C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参加工作时间</w:t>
            </w:r>
          </w:p>
        </w:tc>
        <w:tc>
          <w:tcPr>
            <w:tcW w:w="1890" w:type="dxa"/>
            <w:gridSpan w:val="3"/>
            <w:tcBorders>
              <w:top w:val="single" w:color="auto" w:sz="4" w:space="0"/>
              <w:left w:val="single" w:color="auto" w:sz="4" w:space="0"/>
              <w:bottom w:val="single" w:color="auto" w:sz="4" w:space="0"/>
              <w:right w:val="single" w:color="auto" w:sz="4" w:space="0"/>
            </w:tcBorders>
            <w:vAlign w:val="center"/>
          </w:tcPr>
          <w:p w14:paraId="734C75E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263" w:type="dxa"/>
            <w:gridSpan w:val="5"/>
            <w:tcBorders>
              <w:top w:val="single" w:color="auto" w:sz="4" w:space="0"/>
              <w:left w:val="single" w:color="auto" w:sz="4" w:space="0"/>
              <w:bottom w:val="single" w:color="auto" w:sz="4" w:space="0"/>
              <w:right w:val="single" w:color="auto" w:sz="4" w:space="0"/>
            </w:tcBorders>
            <w:vAlign w:val="center"/>
          </w:tcPr>
          <w:p w14:paraId="2C0458F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担任</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（职位名称）</w:t>
            </w:r>
            <w:r>
              <w:rPr>
                <w:rFonts w:hint="eastAsia" w:ascii="宋体" w:hAnsi="宋体" w:eastAsia="宋体" w:cs="宋体"/>
                <w:color w:val="000000" w:themeColor="text1"/>
                <w:szCs w:val="21"/>
                <w:highlight w:val="none"/>
                <w14:textFill>
                  <w14:solidFill>
                    <w14:schemeClr w14:val="tx1"/>
                  </w14:solidFill>
                </w14:textFill>
              </w:rPr>
              <w:t>年限</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33EDF8E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76E0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14:paraId="2FB9E3B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资格证书编号</w:t>
            </w:r>
          </w:p>
        </w:tc>
        <w:tc>
          <w:tcPr>
            <w:tcW w:w="2955" w:type="dxa"/>
            <w:gridSpan w:val="4"/>
            <w:tcBorders>
              <w:top w:val="single" w:color="auto" w:sz="4" w:space="0"/>
              <w:left w:val="single" w:color="auto" w:sz="4" w:space="0"/>
              <w:bottom w:val="single" w:color="auto" w:sz="4" w:space="0"/>
              <w:right w:val="single" w:color="auto" w:sz="4" w:space="0"/>
            </w:tcBorders>
            <w:vAlign w:val="center"/>
          </w:tcPr>
          <w:p w14:paraId="117CCA1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198" w:type="dxa"/>
            <w:gridSpan w:val="4"/>
            <w:tcBorders>
              <w:top w:val="single" w:color="auto" w:sz="4" w:space="0"/>
              <w:left w:val="single" w:color="auto" w:sz="4" w:space="0"/>
              <w:bottom w:val="single" w:color="auto" w:sz="4" w:space="0"/>
              <w:right w:val="single" w:color="auto" w:sz="4" w:space="0"/>
            </w:tcBorders>
            <w:vAlign w:val="center"/>
          </w:tcPr>
          <w:p w14:paraId="6ED9C33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203EFC3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2C64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14:paraId="3F2D8D5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目前在任及以往服务项目情况</w:t>
            </w:r>
          </w:p>
        </w:tc>
      </w:tr>
      <w:tr w14:paraId="41E2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14:paraId="23E6100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1、污泥脱水减量化处理服务项目</w:t>
            </w:r>
          </w:p>
        </w:tc>
      </w:tr>
      <w:tr w14:paraId="122C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1AC9B20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负责/参与过的污泥脱水减量化处理服务项目的项目名称</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45BF65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主要服务内容</w:t>
            </w: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43002BAE">
            <w:pPr>
              <w:spacing w:line="360" w:lineRule="auto"/>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污泥处理规模（按含水率80%计）（单位：吨/天）</w:t>
            </w:r>
            <w:r>
              <w:rPr>
                <w:rFonts w:hint="eastAsia" w:ascii="宋体" w:hAnsi="宋体" w:eastAsia="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污泥减量设备操作技术人员数量（单位：人）</w:t>
            </w:r>
          </w:p>
        </w:tc>
        <w:tc>
          <w:tcPr>
            <w:tcW w:w="772" w:type="dxa"/>
            <w:tcBorders>
              <w:top w:val="single" w:color="auto" w:sz="4" w:space="0"/>
              <w:left w:val="single" w:color="auto" w:sz="4" w:space="0"/>
              <w:bottom w:val="single" w:color="auto" w:sz="4" w:space="0"/>
              <w:right w:val="single" w:color="auto" w:sz="4" w:space="0"/>
            </w:tcBorders>
            <w:vAlign w:val="center"/>
          </w:tcPr>
          <w:p w14:paraId="312143F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合同签订日期</w:t>
            </w: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53F4C551">
            <w:pP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合同服务期限</w:t>
            </w:r>
          </w:p>
        </w:tc>
        <w:tc>
          <w:tcPr>
            <w:tcW w:w="1335" w:type="dxa"/>
            <w:tcBorders>
              <w:top w:val="single" w:color="auto" w:sz="4" w:space="0"/>
              <w:left w:val="single" w:color="auto" w:sz="4" w:space="0"/>
              <w:bottom w:val="single" w:color="auto" w:sz="4" w:space="0"/>
              <w:right w:val="single" w:color="auto" w:sz="4" w:space="0"/>
            </w:tcBorders>
            <w:vAlign w:val="center"/>
          </w:tcPr>
          <w:p w14:paraId="072BCB6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在该项目中任职职务及履职时间</w:t>
            </w:r>
          </w:p>
        </w:tc>
      </w:tr>
      <w:tr w14:paraId="2697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74B9DD3F">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F4BD9D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252C56A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7072594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5F202D5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5C9BEF5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3329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2ED5DD0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4B6D3FD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3394F41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4BCD0B5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2BD9807D">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0292DC7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613B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6EE8A2AA">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D238663">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61308C2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1CF69F7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2997DE9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7702A20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19D7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14:paraId="47FD02A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2、污泥脱水减量配合服务项目</w:t>
            </w:r>
          </w:p>
        </w:tc>
      </w:tr>
      <w:tr w14:paraId="29E2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6AC9043B">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负责/参与过的污泥脱水减量配合服务项目的项目名称</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05A3BE95">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主要服务内容</w:t>
            </w: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0B765329">
            <w:pPr>
              <w:spacing w:line="360" w:lineRule="auto"/>
              <w:jc w:val="center"/>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污泥减量设备操作技术人员数量（单位：人）</w:t>
            </w:r>
            <w:r>
              <w:rPr>
                <w:rFonts w:hint="eastAsia" w:ascii="宋体" w:hAnsi="宋体" w:eastAsia="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污泥处理规模（按含水率80%计）（单位：吨/天）</w:t>
            </w:r>
          </w:p>
        </w:tc>
        <w:tc>
          <w:tcPr>
            <w:tcW w:w="772" w:type="dxa"/>
            <w:tcBorders>
              <w:top w:val="single" w:color="auto" w:sz="4" w:space="0"/>
              <w:left w:val="single" w:color="auto" w:sz="4" w:space="0"/>
              <w:bottom w:val="single" w:color="auto" w:sz="4" w:space="0"/>
              <w:right w:val="single" w:color="auto" w:sz="4" w:space="0"/>
            </w:tcBorders>
            <w:vAlign w:val="center"/>
          </w:tcPr>
          <w:p w14:paraId="706AE42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合同签订日期</w:t>
            </w: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6318B308">
            <w:pP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合同服务期限</w:t>
            </w:r>
          </w:p>
        </w:tc>
        <w:tc>
          <w:tcPr>
            <w:tcW w:w="1335" w:type="dxa"/>
            <w:tcBorders>
              <w:top w:val="single" w:color="auto" w:sz="4" w:space="0"/>
              <w:left w:val="single" w:color="auto" w:sz="4" w:space="0"/>
              <w:bottom w:val="single" w:color="auto" w:sz="4" w:space="0"/>
              <w:right w:val="single" w:color="auto" w:sz="4" w:space="0"/>
            </w:tcBorders>
            <w:vAlign w:val="center"/>
          </w:tcPr>
          <w:p w14:paraId="02A87F8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在该项目中任职职务及履职时间</w:t>
            </w:r>
          </w:p>
        </w:tc>
      </w:tr>
      <w:tr w14:paraId="2E3A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68E4453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7E1B489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7B0B9A6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55840076">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5BEB1C12">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75CF6AE0">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241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348FC24F">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1AE729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2423947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7C0268C9">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1B1C3E5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64D2D85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r w14:paraId="1B7C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14:paraId="7AFD9418">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7029E17">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14:paraId="2CFCC2F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14:paraId="7CA61D84">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14:paraId="7B56F03C">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2EADBCE1">
            <w:pPr>
              <w:spacing w:line="360" w:lineRule="auto"/>
              <w:jc w:val="center"/>
              <w:outlineLvl w:val="9"/>
              <w:rPr>
                <w:rFonts w:ascii="宋体" w:hAnsi="宋体" w:eastAsia="宋体" w:cs="宋体"/>
                <w:color w:val="000000" w:themeColor="text1"/>
                <w:szCs w:val="21"/>
                <w:highlight w:val="none"/>
                <w14:textFill>
                  <w14:solidFill>
                    <w14:schemeClr w14:val="tx1"/>
                  </w14:solidFill>
                </w14:textFill>
              </w:rPr>
            </w:pPr>
          </w:p>
        </w:tc>
      </w:tr>
    </w:tbl>
    <w:p w14:paraId="2DAF015E">
      <w:pPr>
        <w:pStyle w:val="18"/>
        <w:overflowPunct w:val="0"/>
        <w:spacing w:line="360" w:lineRule="auto"/>
        <w:ind w:firstLine="422"/>
        <w:outlineLvl w:val="9"/>
        <w:rPr>
          <w:rFonts w:hAnsi="宋体" w:cs="宋体"/>
          <w:b w:val="0"/>
          <w:color w:val="000000" w:themeColor="text1"/>
          <w:sz w:val="21"/>
          <w:szCs w:val="21"/>
          <w:highlight w:val="none"/>
          <w14:textFill>
            <w14:solidFill>
              <w14:schemeClr w14:val="tx1"/>
            </w14:solidFill>
          </w14:textFill>
        </w:rPr>
      </w:pPr>
    </w:p>
    <w:p w14:paraId="1E7B9FCF">
      <w:pPr>
        <w:pStyle w:val="18"/>
        <w:overflowPunct w:val="0"/>
        <w:spacing w:line="360" w:lineRule="auto"/>
        <w:ind w:firstLine="422"/>
        <w:jc w:val="left"/>
        <w:outlineLvl w:val="9"/>
        <w:rPr>
          <w:rFonts w:hAnsi="宋体" w:cs="宋体"/>
          <w:b w:val="0"/>
          <w:color w:val="000000" w:themeColor="text1"/>
          <w:sz w:val="21"/>
          <w:szCs w:val="21"/>
          <w:highlight w:val="none"/>
          <w14:textFill>
            <w14:solidFill>
              <w14:schemeClr w14:val="tx1"/>
            </w14:solidFill>
          </w14:textFill>
        </w:rPr>
      </w:pPr>
    </w:p>
    <w:p w14:paraId="6FC3AAB1">
      <w:pPr>
        <w:pStyle w:val="18"/>
        <w:overflowPunct w:val="0"/>
        <w:spacing w:line="360" w:lineRule="auto"/>
        <w:ind w:firstLine="422"/>
        <w:jc w:val="left"/>
        <w:outlineLvl w:val="9"/>
        <w:rPr>
          <w:rFonts w:hAnsi="宋体" w:cs="宋体"/>
          <w:color w:val="000000" w:themeColor="text1"/>
          <w:sz w:val="21"/>
          <w:szCs w:val="21"/>
          <w:highlight w:val="none"/>
          <w14:textFill>
            <w14:solidFill>
              <w14:schemeClr w14:val="tx1"/>
            </w14:solidFill>
          </w14:textFill>
        </w:rPr>
      </w:pPr>
      <w:r>
        <w:rPr>
          <w:rFonts w:hint="eastAsia" w:hAnsi="宋体" w:cs="宋体"/>
          <w:b w:val="0"/>
          <w:color w:val="000000" w:themeColor="text1"/>
          <w:sz w:val="21"/>
          <w:szCs w:val="21"/>
          <w:highlight w:val="none"/>
          <w14:textFill>
            <w14:solidFill>
              <w14:schemeClr w14:val="tx1"/>
            </w14:solidFill>
          </w14:textFill>
        </w:rPr>
        <w:t>备注：</w:t>
      </w:r>
    </w:p>
    <w:p w14:paraId="2EF48909">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拟投入本项目的项目负责人需提供简历表。</w:t>
      </w:r>
    </w:p>
    <w:p w14:paraId="10DDF047">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u w:val="single"/>
          <w14:textFill>
            <w14:solidFill>
              <w14:schemeClr w14:val="tx1"/>
            </w14:solidFill>
          </w14:textFill>
        </w:rPr>
        <w:t>需提供上述人员的身份证、劳动合同的扫描件、资格证书[学历证书/职称证/</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注册资格</w:t>
      </w:r>
      <w:r>
        <w:rPr>
          <w:rFonts w:hint="eastAsia" w:ascii="宋体" w:hAnsi="宋体" w:eastAsia="宋体" w:cs="宋体"/>
          <w:b/>
          <w:bCs/>
          <w:color w:val="000000" w:themeColor="text1"/>
          <w:szCs w:val="21"/>
          <w:highlight w:val="none"/>
          <w:u w:val="single"/>
          <w14:textFill>
            <w14:solidFill>
              <w14:schemeClr w14:val="tx1"/>
            </w14:solidFill>
          </w14:textFill>
        </w:rPr>
        <w:t>证书]以及人力资源和社会保障部门（或税务部门）出具的2025年</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Cs w:val="21"/>
          <w:highlight w:val="none"/>
          <w:u w:val="single"/>
          <w14:textFill>
            <w14:solidFill>
              <w14:schemeClr w14:val="tx1"/>
            </w14:solidFill>
          </w14:textFill>
        </w:rPr>
        <w:t>月至2025年</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11</w:t>
      </w:r>
      <w:r>
        <w:rPr>
          <w:rFonts w:hint="eastAsia" w:ascii="宋体" w:hAnsi="宋体" w:eastAsia="宋体" w:cs="宋体"/>
          <w:b/>
          <w:bCs/>
          <w:color w:val="000000" w:themeColor="text1"/>
          <w:szCs w:val="21"/>
          <w:highlight w:val="none"/>
          <w:u w:val="single"/>
          <w14:textFill>
            <w14:solidFill>
              <w14:schemeClr w14:val="tx1"/>
            </w14:solidFill>
          </w14:textFill>
        </w:rPr>
        <w:t>月投标人为其缴纳的社保证明扫描件，身份证、劳动合同、资格证书[学历证书/职称证/</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注册资格</w:t>
      </w:r>
      <w:r>
        <w:rPr>
          <w:rFonts w:hint="eastAsia" w:ascii="宋体" w:hAnsi="宋体" w:eastAsia="宋体" w:cs="宋体"/>
          <w:b/>
          <w:bCs/>
          <w:color w:val="000000" w:themeColor="text1"/>
          <w:szCs w:val="21"/>
          <w:highlight w:val="none"/>
          <w:u w:val="single"/>
          <w14:textFill>
            <w14:solidFill>
              <w14:schemeClr w14:val="tx1"/>
            </w14:solidFill>
          </w14:textFill>
        </w:rPr>
        <w:t>证书]、社保证明的人员名称需一致时才统计得分，不提供或人员名称不一致不得分</w:t>
      </w:r>
      <w:r>
        <w:rPr>
          <w:rFonts w:hint="eastAsia" w:ascii="宋体" w:hAnsi="宋体" w:eastAsia="宋体" w:cs="宋体"/>
          <w:color w:val="000000" w:themeColor="text1"/>
          <w:szCs w:val="21"/>
          <w:highlight w:val="none"/>
          <w14:textFill>
            <w14:solidFill>
              <w14:schemeClr w14:val="tx1"/>
            </w14:solidFill>
          </w14:textFill>
        </w:rPr>
        <w:t>。</w:t>
      </w:r>
    </w:p>
    <w:p w14:paraId="050F0A25">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u w:val="single"/>
          <w:lang w:val="zh-CN"/>
          <w14:textFill>
            <w14:solidFill>
              <w14:schemeClr w14:val="tx1"/>
            </w14:solidFill>
          </w14:textFill>
        </w:rPr>
        <w:t>项目负责人业绩和企业业绩可重复计分。项目负责人业绩证明材料需提供合同</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。合同中应体现项目相关评审信息和项目负责人（合同签订日期、服务内容、污泥处理规模/污泥减量设备操作技术人员数量、合同期限），否则，需同时提供服务购买方出具的书面补充情况说明文件</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（前述</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能显示服务购买方公章），否则不得分</w:t>
      </w:r>
      <w:r>
        <w:rPr>
          <w:rFonts w:hint="eastAsia" w:ascii="宋体" w:hAnsi="宋体" w:eastAsia="宋体" w:cs="宋体"/>
          <w:color w:val="000000" w:themeColor="text1"/>
          <w:szCs w:val="21"/>
          <w:highlight w:val="none"/>
          <w:lang w:val="zh-CN"/>
          <w14:textFill>
            <w14:solidFill>
              <w14:schemeClr w14:val="tx1"/>
            </w14:solidFill>
          </w14:textFill>
        </w:rPr>
        <w:t>。</w:t>
      </w:r>
    </w:p>
    <w:p w14:paraId="2495A6A5">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b/>
          <w:bCs w:val="0"/>
          <w:color w:val="000000" w:themeColor="text1"/>
          <w:szCs w:val="21"/>
          <w:highlight w:val="none"/>
          <w:u w:val="single"/>
          <w14:textFill>
            <w14:solidFill>
              <w14:schemeClr w14:val="tx1"/>
            </w14:solidFill>
          </w14:textFill>
        </w:rPr>
        <w:t>污泥脱水减量化处理服务</w:t>
      </w:r>
      <w:r>
        <w:rPr>
          <w:rFonts w:hint="eastAsia" w:ascii="宋体" w:hAnsi="宋体" w:eastAsia="宋体" w:cs="宋体"/>
          <w:b/>
          <w:bCs w:val="0"/>
          <w:color w:val="000000" w:themeColor="text1"/>
          <w:highlight w:val="none"/>
          <w:u w:val="single"/>
          <w14:textFill>
            <w14:solidFill>
              <w14:schemeClr w14:val="tx1"/>
            </w14:solidFill>
          </w14:textFill>
        </w:rPr>
        <w:t>单项合同业绩的服务内容须</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包含</w:t>
      </w:r>
      <w:r>
        <w:rPr>
          <w:rFonts w:hint="eastAsia" w:ascii="宋体" w:hAnsi="宋体" w:eastAsia="宋体" w:cs="宋体"/>
          <w:b/>
          <w:bCs w:val="0"/>
          <w:color w:val="000000" w:themeColor="text1"/>
          <w:highlight w:val="none"/>
          <w:u w:val="single"/>
          <w14:textFill>
            <w14:solidFill>
              <w14:schemeClr w14:val="tx1"/>
            </w14:solidFill>
          </w14:textFill>
        </w:rPr>
        <w:t>污泥脱水减量化处理服务，如单项合同业绩的服务内容为污泥的全流程处理处置，必须</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包含</w:t>
      </w:r>
      <w:r>
        <w:rPr>
          <w:rFonts w:hint="eastAsia" w:ascii="宋体" w:hAnsi="宋体" w:eastAsia="宋体" w:cs="宋体"/>
          <w:b/>
          <w:bCs w:val="0"/>
          <w:color w:val="000000" w:themeColor="text1"/>
          <w:highlight w:val="none"/>
          <w:u w:val="single"/>
          <w14:textFill>
            <w14:solidFill>
              <w14:schemeClr w14:val="tx1"/>
            </w14:solidFill>
          </w14:textFill>
        </w:rPr>
        <w:t>污泥</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脱水</w:t>
      </w:r>
      <w:r>
        <w:rPr>
          <w:rFonts w:hint="eastAsia" w:ascii="宋体" w:hAnsi="宋体" w:eastAsia="宋体" w:cs="宋体"/>
          <w:b/>
          <w:bCs w:val="0"/>
          <w:color w:val="000000" w:themeColor="text1"/>
          <w:highlight w:val="none"/>
          <w:u w:val="single"/>
          <w14:textFill>
            <w14:solidFill>
              <w14:schemeClr w14:val="tx1"/>
            </w14:solidFill>
          </w14:textFill>
        </w:rPr>
        <w:t>减量化处理</w:t>
      </w:r>
      <w:r>
        <w:rPr>
          <w:rFonts w:hint="eastAsia" w:ascii="宋体" w:hAnsi="宋体" w:eastAsia="宋体" w:cs="宋体"/>
          <w:b/>
          <w:bCs w:val="0"/>
          <w:color w:val="000000" w:themeColor="text1"/>
          <w:highlight w:val="none"/>
          <w:u w:val="single"/>
          <w:lang w:val="en-US" w:eastAsia="zh-CN"/>
          <w14:textFill>
            <w14:solidFill>
              <w14:schemeClr w14:val="tx1"/>
            </w14:solidFill>
          </w14:textFill>
        </w:rPr>
        <w:t>的</w:t>
      </w:r>
      <w:r>
        <w:rPr>
          <w:rFonts w:hint="eastAsia" w:ascii="宋体" w:hAnsi="宋体" w:eastAsia="宋体" w:cs="宋体"/>
          <w:b/>
          <w:bCs w:val="0"/>
          <w:color w:val="000000" w:themeColor="text1"/>
          <w:highlight w:val="none"/>
          <w:u w:val="single"/>
          <w14:textFill>
            <w14:solidFill>
              <w14:schemeClr w14:val="tx1"/>
            </w14:solidFill>
          </w14:textFill>
        </w:rPr>
        <w:t>服务内容，否则不得分</w:t>
      </w:r>
      <w:r>
        <w:rPr>
          <w:rFonts w:hint="eastAsia" w:ascii="宋体" w:hAnsi="宋体" w:eastAsia="宋体" w:cs="宋体"/>
          <w:color w:val="000000" w:themeColor="text1"/>
          <w:highlight w:val="none"/>
          <w14:textFill>
            <w14:solidFill>
              <w14:schemeClr w14:val="tx1"/>
            </w14:solidFill>
          </w14:textFill>
        </w:rPr>
        <w:t>。</w:t>
      </w:r>
    </w:p>
    <w:p w14:paraId="11FD0DC0">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b/>
          <w:bCs/>
          <w:color w:val="000000" w:themeColor="text1"/>
          <w:szCs w:val="21"/>
          <w:highlight w:val="none"/>
          <w:u w:val="single"/>
          <w14:textFill>
            <w14:solidFill>
              <w14:schemeClr w14:val="tx1"/>
            </w14:solidFill>
          </w14:textFill>
        </w:rPr>
        <w:t>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000000" w:themeColor="text1"/>
          <w:szCs w:val="21"/>
          <w:highlight w:val="none"/>
          <w14:textFill>
            <w14:solidFill>
              <w14:schemeClr w14:val="tx1"/>
            </w14:solidFill>
          </w14:textFill>
        </w:rPr>
        <w:t>。</w:t>
      </w:r>
    </w:p>
    <w:p w14:paraId="10A02956">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b/>
          <w:bCs/>
          <w:color w:val="000000" w:themeColor="text1"/>
          <w:szCs w:val="21"/>
          <w:highlight w:val="none"/>
          <w:u w:val="single"/>
          <w14:textFill>
            <w14:solidFill>
              <w14:schemeClr w14:val="tx1"/>
            </w14:solidFill>
          </w14:textFill>
        </w:rPr>
        <w:t>若污泥脱水减量化处理服务业绩为无明确污泥处理规模，必须同时提供</w:t>
      </w:r>
      <w:r>
        <w:rPr>
          <w:rFonts w:hint="eastAsia" w:ascii="宋体" w:hAnsi="宋体" w:eastAsia="宋体" w:cs="宋体"/>
          <w:b/>
          <w:bCs/>
          <w:color w:val="000000" w:themeColor="text1"/>
          <w:szCs w:val="21"/>
          <w:highlight w:val="none"/>
          <w:u w:val="single"/>
          <w:lang w:val="zh-CN"/>
          <w14:textFill>
            <w14:solidFill>
              <w14:schemeClr w14:val="tx1"/>
            </w14:solidFill>
          </w14:textFill>
        </w:rPr>
        <w:t>合同期限内</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单个月份</w:t>
      </w:r>
      <w:r>
        <w:rPr>
          <w:rFonts w:hint="eastAsia" w:ascii="宋体" w:hAnsi="宋体" w:eastAsia="宋体" w:cs="宋体"/>
          <w:b/>
          <w:bCs/>
          <w:color w:val="000000" w:themeColor="text1"/>
          <w:szCs w:val="21"/>
          <w:highlight w:val="none"/>
          <w:u w:val="single"/>
          <w:lang w:val="zh-CN"/>
          <w14:textFill>
            <w14:solidFill>
              <w14:schemeClr w14:val="tx1"/>
            </w14:solidFill>
          </w14:textFill>
        </w:rPr>
        <w:t>已处理的生活污水处理厂污泥处理量统计表和污泥转运联单</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（无转运联单的，提供服务发票</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及折算处理量数据或污泥产生单位盖章的证明文件</w:t>
      </w:r>
      <w:r>
        <w:rPr>
          <w:rFonts w:hint="eastAsia" w:ascii="宋体" w:hAnsi="宋体" w:eastAsia="宋体" w:cs="宋体"/>
          <w:b/>
          <w:bCs/>
          <w:color w:val="000000" w:themeColor="text1"/>
          <w:szCs w:val="21"/>
          <w:highlight w:val="none"/>
          <w:u w:val="single"/>
          <w14:textFill>
            <w14:solidFill>
              <w14:schemeClr w14:val="tx1"/>
            </w14:solidFill>
          </w14:textFill>
        </w:rPr>
        <w:t>扫描件</w:t>
      </w:r>
      <w:r>
        <w:rPr>
          <w:rFonts w:hint="eastAsia" w:ascii="宋体" w:hAnsi="宋体" w:eastAsia="宋体" w:cs="宋体"/>
          <w:b/>
          <w:bCs/>
          <w:color w:val="000000" w:themeColor="text1"/>
          <w:szCs w:val="21"/>
          <w:highlight w:val="none"/>
          <w:u w:val="single"/>
          <w:lang w:val="zh-CN"/>
          <w14:textFill>
            <w14:solidFill>
              <w14:schemeClr w14:val="tx1"/>
            </w14:solidFill>
          </w14:textFill>
        </w:rPr>
        <w:t>替代）以证明污泥处理规模，日平均生活污水处理厂污泥处理量按合同期限内</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单个月份</w:t>
      </w:r>
      <w:r>
        <w:rPr>
          <w:rFonts w:hint="eastAsia" w:ascii="宋体" w:hAnsi="宋体" w:eastAsia="宋体" w:cs="宋体"/>
          <w:b/>
          <w:bCs/>
          <w:color w:val="000000" w:themeColor="text1"/>
          <w:szCs w:val="21"/>
          <w:highlight w:val="none"/>
          <w:u w:val="single"/>
          <w:lang w:val="zh-CN"/>
          <w14:textFill>
            <w14:solidFill>
              <w14:schemeClr w14:val="tx1"/>
            </w14:solidFill>
          </w14:textFill>
        </w:rPr>
        <w:t>已处理的生活污水处理厂污泥处理量除以</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单个月份自然天数</w:t>
      </w:r>
      <w:r>
        <w:rPr>
          <w:rFonts w:hint="eastAsia" w:ascii="宋体" w:hAnsi="宋体" w:eastAsia="宋体" w:cs="宋体"/>
          <w:b/>
          <w:bCs/>
          <w:color w:val="000000" w:themeColor="text1"/>
          <w:szCs w:val="21"/>
          <w:highlight w:val="none"/>
          <w:u w:val="single"/>
          <w:lang w:val="zh-CN"/>
          <w14:textFill>
            <w14:solidFill>
              <w14:schemeClr w14:val="tx1"/>
            </w14:solidFill>
          </w14:textFill>
        </w:rPr>
        <w:t>进行计算，并以此作为污泥处理规模进行评审</w:t>
      </w:r>
      <w:r>
        <w:rPr>
          <w:rFonts w:hint="eastAsia" w:ascii="宋体" w:hAnsi="宋体" w:eastAsia="宋体" w:cs="宋体"/>
          <w:color w:val="000000" w:themeColor="text1"/>
          <w:szCs w:val="21"/>
          <w:highlight w:val="none"/>
          <w14:textFill>
            <w14:solidFill>
              <w14:schemeClr w14:val="tx1"/>
            </w14:solidFill>
          </w14:textFill>
        </w:rPr>
        <w:t>。</w:t>
      </w:r>
    </w:p>
    <w:p w14:paraId="2B02FBD2">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b/>
          <w:bCs/>
          <w:color w:val="000000" w:themeColor="text1"/>
          <w:szCs w:val="21"/>
          <w:highlight w:val="none"/>
          <w:u w:val="single"/>
          <w:lang w:val="zh-CN"/>
          <w14:textFill>
            <w14:solidFill>
              <w14:schemeClr w14:val="tx1"/>
            </w14:solidFill>
          </w14:textFill>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的污泥</w:t>
      </w:r>
      <w:r>
        <w:rPr>
          <w:rFonts w:hint="eastAsia" w:ascii="宋体" w:hAnsi="宋体" w:eastAsia="宋体" w:cs="宋体"/>
          <w:b/>
          <w:bCs/>
          <w:color w:val="000000" w:themeColor="text1"/>
          <w:szCs w:val="21"/>
          <w:highlight w:val="none"/>
          <w:u w:val="single"/>
          <w:lang w:val="zh-CN"/>
          <w14:textFill>
            <w14:solidFill>
              <w14:schemeClr w14:val="tx1"/>
            </w14:solidFill>
          </w14:textFill>
        </w:rPr>
        <w:t>处理规模/污泥减量设备操作技术人员数量的累加值计算得分</w:t>
      </w:r>
      <w:r>
        <w:rPr>
          <w:rFonts w:hint="eastAsia" w:ascii="宋体" w:hAnsi="宋体" w:eastAsia="宋体" w:cs="宋体"/>
          <w:color w:val="000000" w:themeColor="text1"/>
          <w:szCs w:val="21"/>
          <w:highlight w:val="none"/>
          <w14:textFill>
            <w14:solidFill>
              <w14:schemeClr w14:val="tx1"/>
            </w14:solidFill>
          </w14:textFill>
        </w:rPr>
        <w:t>。</w:t>
      </w:r>
    </w:p>
    <w:p w14:paraId="7858ACBA">
      <w:pPr>
        <w:spacing w:line="360" w:lineRule="auto"/>
        <w:ind w:left="815" w:leftChars="118" w:hanging="567" w:hangingChars="270"/>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b/>
          <w:bCs/>
          <w:color w:val="000000" w:themeColor="text1"/>
          <w:szCs w:val="21"/>
          <w:highlight w:val="none"/>
          <w:u w:val="single"/>
          <w14:textFill>
            <w14:solidFill>
              <w14:schemeClr w14:val="tx1"/>
            </w14:solidFill>
          </w14:textFill>
        </w:rPr>
        <w:t>污泥脱水减量配合服务单项合同业绩的服务内容若为以劳务派遣或劳务外包的方式提供污泥脱水减量化服务人员的，</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服务内容</w:t>
      </w:r>
      <w:r>
        <w:rPr>
          <w:rFonts w:hint="eastAsia" w:ascii="宋体" w:hAnsi="宋体" w:eastAsia="宋体" w:cs="宋体"/>
          <w:b/>
          <w:bCs/>
          <w:color w:val="000000" w:themeColor="text1"/>
          <w:szCs w:val="21"/>
          <w:highlight w:val="none"/>
          <w:u w:val="single"/>
          <w14:textFill>
            <w14:solidFill>
              <w14:schemeClr w14:val="tx1"/>
            </w14:solidFill>
          </w14:textFill>
        </w:rPr>
        <w:t>必须</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包含提供从事污泥脱水压滤设备的操作技术人员</w:t>
      </w:r>
      <w:r>
        <w:rPr>
          <w:rFonts w:hint="eastAsia" w:ascii="宋体" w:hAnsi="宋体" w:eastAsia="宋体" w:cs="宋体"/>
          <w:b/>
          <w:bCs/>
          <w:color w:val="000000" w:themeColor="text1"/>
          <w:szCs w:val="21"/>
          <w:highlight w:val="none"/>
          <w:u w:val="single"/>
          <w14:textFill>
            <w14:solidFill>
              <w14:schemeClr w14:val="tx1"/>
            </w14:solidFill>
          </w14:textFill>
        </w:rPr>
        <w:t>，否则不得分</w:t>
      </w:r>
      <w:r>
        <w:rPr>
          <w:rFonts w:hint="eastAsia" w:ascii="宋体" w:hAnsi="宋体" w:eastAsia="宋体" w:cs="宋体"/>
          <w:color w:val="000000" w:themeColor="text1"/>
          <w:szCs w:val="21"/>
          <w:highlight w:val="none"/>
          <w14:textFill>
            <w14:solidFill>
              <w14:schemeClr w14:val="tx1"/>
            </w14:solidFill>
          </w14:textFill>
        </w:rPr>
        <w:t>。</w:t>
      </w:r>
    </w:p>
    <w:p w14:paraId="03182C0A">
      <w:pPr>
        <w:spacing w:line="360" w:lineRule="auto"/>
        <w:ind w:left="815" w:leftChars="118" w:hanging="567" w:hangingChars="270"/>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b/>
          <w:bCs/>
          <w:color w:val="000000" w:themeColor="text1"/>
          <w:szCs w:val="21"/>
          <w:highlight w:val="none"/>
          <w:u w:val="single"/>
          <w14:textFill>
            <w14:solidFill>
              <w14:schemeClr w14:val="tx1"/>
            </w14:solidFill>
          </w14:textFill>
        </w:rPr>
        <w:t>单项合同业绩的合同服务期限</w:t>
      </w:r>
      <w:r>
        <w:rPr>
          <w:rFonts w:hint="eastAsia" w:ascii="宋体" w:hAnsi="宋体" w:eastAsia="宋体" w:cs="宋体"/>
          <w:b/>
          <w:bCs/>
          <w:color w:val="000000" w:themeColor="text1"/>
          <w:szCs w:val="21"/>
          <w:highlight w:val="none"/>
          <w:u w:val="single"/>
          <w:lang w:val="zh-CN"/>
          <w14:textFill>
            <w14:solidFill>
              <w14:schemeClr w14:val="tx1"/>
            </w14:solidFill>
          </w14:textFill>
        </w:rPr>
        <w:t>要求大于或等于</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1年</w:t>
      </w:r>
      <w:r>
        <w:rPr>
          <w:rFonts w:hint="eastAsia" w:ascii="宋体" w:hAnsi="宋体" w:eastAsia="宋体" w:cs="宋体"/>
          <w:b/>
          <w:bCs/>
          <w:color w:val="000000" w:themeColor="text1"/>
          <w:szCs w:val="21"/>
          <w:highlight w:val="none"/>
          <w:u w:val="single"/>
          <w:lang w:val="zh-CN"/>
          <w14:textFill>
            <w14:solidFill>
              <w14:schemeClr w14:val="tx1"/>
            </w14:solidFill>
          </w14:textFill>
        </w:rPr>
        <w:t>，小于</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1年</w:t>
      </w:r>
      <w:r>
        <w:rPr>
          <w:rFonts w:hint="eastAsia" w:ascii="宋体" w:hAnsi="宋体" w:eastAsia="宋体" w:cs="宋体"/>
          <w:b/>
          <w:bCs/>
          <w:color w:val="000000" w:themeColor="text1"/>
          <w:szCs w:val="21"/>
          <w:highlight w:val="none"/>
          <w:u w:val="single"/>
          <w:lang w:val="zh-CN"/>
          <w14:textFill>
            <w14:solidFill>
              <w14:schemeClr w14:val="tx1"/>
            </w14:solidFill>
          </w14:textFill>
        </w:rPr>
        <w:t>的业绩合同在评标时不予考虑</w:t>
      </w:r>
      <w:r>
        <w:rPr>
          <w:rFonts w:hint="eastAsia" w:ascii="宋体" w:hAnsi="宋体" w:eastAsia="宋体" w:cs="宋体"/>
          <w:color w:val="000000" w:themeColor="text1"/>
          <w:szCs w:val="21"/>
          <w:highlight w:val="none"/>
          <w:lang w:val="zh-CN"/>
          <w14:textFill>
            <w14:solidFill>
              <w14:schemeClr w14:val="tx1"/>
            </w14:solidFill>
          </w14:textFill>
        </w:rPr>
        <w:t>。</w:t>
      </w:r>
    </w:p>
    <w:p w14:paraId="36CF9A09">
      <w:pPr>
        <w:pageBreakBefore/>
        <w:outlineLvl w:val="1"/>
        <w:rPr>
          <w:rFonts w:ascii="宋体" w:hAnsi="宋体" w:eastAsia="宋体" w:cs="宋体"/>
          <w:b/>
          <w:color w:val="000000" w:themeColor="text1"/>
          <w:kern w:val="0"/>
          <w:sz w:val="30"/>
          <w:szCs w:val="30"/>
          <w:highlight w:val="none"/>
          <w14:textFill>
            <w14:solidFill>
              <w14:schemeClr w14:val="tx1"/>
            </w14:solidFill>
          </w14:textFill>
        </w:rPr>
      </w:pPr>
      <w:bookmarkStart w:id="777" w:name="_Toc211622224"/>
      <w:bookmarkStart w:id="778" w:name="_Toc22012"/>
      <w:r>
        <w:rPr>
          <w:rFonts w:hint="eastAsia" w:ascii="宋体" w:hAnsi="宋体" w:eastAsia="宋体" w:cs="宋体"/>
          <w:b/>
          <w:color w:val="000000" w:themeColor="text1"/>
          <w:kern w:val="0"/>
          <w:sz w:val="30"/>
          <w:szCs w:val="30"/>
          <w:highlight w:val="none"/>
          <w14:textFill>
            <w14:solidFill>
              <w14:schemeClr w14:val="tx1"/>
            </w14:solidFill>
          </w14:textFill>
        </w:rPr>
        <w:t>四、应急预案和保障措施</w:t>
      </w:r>
      <w:bookmarkEnd w:id="777"/>
      <w:bookmarkEnd w:id="778"/>
    </w:p>
    <w:p w14:paraId="2393ECE0">
      <w:pPr>
        <w:spacing w:before="120" w:beforeLines="50" w:line="360" w:lineRule="auto"/>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说明：投标人自行编制，格式不限。内容包括针对劳务纠纷应急预案、工伤事故应急预案（包括但不限于对操作技术人员发生工伤处理的及时性，后续跟进保障措施等）等的应急方案和保障措施。</w:t>
      </w:r>
    </w:p>
    <w:p w14:paraId="0EDDB5DD">
      <w:pPr>
        <w:rPr>
          <w:rFonts w:hint="eastAsia" w:hAnsi="宋体" w:eastAsia="宋体" w:cs="宋体"/>
          <w:b/>
          <w:color w:val="000000" w:themeColor="text1"/>
          <w:kern w:val="0"/>
          <w:sz w:val="30"/>
          <w:szCs w:val="30"/>
          <w:highlight w:val="none"/>
          <w14:textFill>
            <w14:solidFill>
              <w14:schemeClr w14:val="tx1"/>
            </w14:solidFill>
          </w14:textFill>
        </w:rPr>
      </w:pPr>
      <w:bookmarkStart w:id="779" w:name="_Toc3750"/>
      <w:bookmarkStart w:id="780" w:name="_Toc211622226"/>
      <w:bookmarkStart w:id="781" w:name="_Toc18180"/>
      <w:bookmarkStart w:id="782" w:name="_Toc30545"/>
      <w:r>
        <w:rPr>
          <w:rFonts w:hint="eastAsia" w:hAnsi="宋体" w:eastAsia="宋体" w:cs="宋体"/>
          <w:b/>
          <w:color w:val="000000" w:themeColor="text1"/>
          <w:kern w:val="0"/>
          <w:sz w:val="30"/>
          <w:szCs w:val="30"/>
          <w:highlight w:val="none"/>
          <w14:textFill>
            <w14:solidFill>
              <w14:schemeClr w14:val="tx1"/>
            </w14:solidFill>
          </w14:textFill>
        </w:rPr>
        <w:br w:type="page"/>
      </w:r>
    </w:p>
    <w:p w14:paraId="1CD1AB7D">
      <w:pPr>
        <w:pStyle w:val="47"/>
        <w:ind w:right="420"/>
        <w:jc w:val="left"/>
        <w:outlineLvl w:val="1"/>
        <w:rPr>
          <w:rFonts w:hAnsi="宋体" w:eastAsia="宋体" w:cs="宋体"/>
          <w:b/>
          <w:color w:val="000000" w:themeColor="text1"/>
          <w:kern w:val="0"/>
          <w:sz w:val="30"/>
          <w:szCs w:val="30"/>
          <w:highlight w:val="none"/>
          <w14:textFill>
            <w14:solidFill>
              <w14:schemeClr w14:val="tx1"/>
            </w14:solidFill>
          </w14:textFill>
        </w:rPr>
      </w:pPr>
      <w:bookmarkStart w:id="783" w:name="_Toc31111"/>
      <w:r>
        <w:rPr>
          <w:rFonts w:hint="eastAsia" w:hAnsi="宋体" w:eastAsia="宋体" w:cs="宋体"/>
          <w:b/>
          <w:color w:val="000000" w:themeColor="text1"/>
          <w:kern w:val="0"/>
          <w:sz w:val="30"/>
          <w:szCs w:val="30"/>
          <w:highlight w:val="none"/>
          <w:lang w:val="en-US" w:eastAsia="zh-CN"/>
          <w14:textFill>
            <w14:solidFill>
              <w14:schemeClr w14:val="tx1"/>
            </w14:solidFill>
          </w14:textFill>
        </w:rPr>
        <w:t>五</w:t>
      </w:r>
      <w:r>
        <w:rPr>
          <w:rFonts w:hint="eastAsia"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769"/>
      <w:bookmarkEnd w:id="770"/>
      <w:bookmarkEnd w:id="771"/>
      <w:bookmarkEnd w:id="772"/>
      <w:bookmarkEnd w:id="773"/>
      <w:bookmarkEnd w:id="779"/>
      <w:bookmarkEnd w:id="780"/>
      <w:bookmarkEnd w:id="781"/>
      <w:bookmarkEnd w:id="782"/>
      <w:bookmarkEnd w:id="783"/>
    </w:p>
    <w:p w14:paraId="410966E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49A87F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B6AE7C4">
      <w:pPr>
        <w:widowControl/>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14:paraId="274C3622">
      <w:pPr>
        <w:jc w:val="center"/>
        <w:outlineLvl w:val="1"/>
        <w:rPr>
          <w:rFonts w:ascii="宋体" w:hAnsi="宋体" w:eastAsia="宋体" w:cs="宋体"/>
          <w:b/>
          <w:color w:val="000000" w:themeColor="text1"/>
          <w:kern w:val="0"/>
          <w:sz w:val="32"/>
          <w:szCs w:val="32"/>
          <w:highlight w:val="none"/>
          <w14:textFill>
            <w14:solidFill>
              <w14:schemeClr w14:val="tx1"/>
            </w14:solidFill>
          </w14:textFill>
        </w:rPr>
      </w:pPr>
      <w:bookmarkStart w:id="784" w:name="_Toc13980"/>
      <w:bookmarkStart w:id="785" w:name="_Toc195714410"/>
      <w:bookmarkStart w:id="786" w:name="_Toc16193"/>
      <w:bookmarkStart w:id="787" w:name="_Toc29896"/>
      <w:bookmarkStart w:id="788" w:name="_Toc22748"/>
      <w:bookmarkStart w:id="789" w:name="_Toc13597"/>
      <w:bookmarkStart w:id="790" w:name="_Toc18687"/>
      <w:bookmarkStart w:id="791" w:name="_Toc211622227"/>
      <w:r>
        <w:rPr>
          <w:rFonts w:hint="eastAsia" w:ascii="宋体" w:hAnsi="宋体" w:eastAsia="宋体" w:cs="宋体"/>
          <w:b/>
          <w:color w:val="000000" w:themeColor="text1"/>
          <w:kern w:val="0"/>
          <w:sz w:val="32"/>
          <w:szCs w:val="32"/>
          <w:highlight w:val="none"/>
          <w14:textFill>
            <w14:solidFill>
              <w14:schemeClr w14:val="tx1"/>
            </w14:solidFill>
          </w14:textFill>
        </w:rPr>
        <w:t>三  投标文件报价信封格式</w:t>
      </w:r>
      <w:bookmarkEnd w:id="784"/>
      <w:bookmarkEnd w:id="785"/>
      <w:bookmarkEnd w:id="786"/>
      <w:bookmarkEnd w:id="787"/>
      <w:bookmarkEnd w:id="788"/>
      <w:bookmarkEnd w:id="789"/>
      <w:bookmarkEnd w:id="790"/>
      <w:bookmarkEnd w:id="791"/>
    </w:p>
    <w:p w14:paraId="467CF027">
      <w:pPr>
        <w:jc w:val="center"/>
        <w:rPr>
          <w:rFonts w:ascii="宋体" w:hAnsi="宋体" w:eastAsia="宋体" w:cs="宋体"/>
          <w:b/>
          <w:color w:val="000000" w:themeColor="text1"/>
          <w:kern w:val="0"/>
          <w:sz w:val="32"/>
          <w:szCs w:val="32"/>
          <w:highlight w:val="none"/>
          <w14:textFill>
            <w14:solidFill>
              <w14:schemeClr w14:val="tx1"/>
            </w14:solidFill>
          </w14:textFill>
        </w:rPr>
      </w:pPr>
    </w:p>
    <w:p w14:paraId="3A6E93A1">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1、本部分由投标人使用电子标书制作软件编制并生成报价信封。报价信封的编制要求详见第二篇投标人须知第17.6.3项。由投标人按格式要求进行电子签名。</w:t>
      </w:r>
    </w:p>
    <w:p w14:paraId="5D4D5FB5">
      <w:pPr>
        <w:autoSpaceDE w:val="0"/>
        <w:autoSpaceDN w:val="0"/>
        <w:adjustRightInd w:val="0"/>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2、报价信封投标报价</w:t>
      </w:r>
      <w:r>
        <w:rPr>
          <w:rFonts w:hint="eastAsia" w:ascii="宋体" w:hAnsi="宋体" w:eastAsia="宋体" w:cs="宋体"/>
          <w:b/>
          <w:bCs/>
          <w:color w:val="000000" w:themeColor="text1"/>
          <w:kern w:val="0"/>
          <w:szCs w:val="21"/>
          <w:highlight w:val="none"/>
          <w:lang w:eastAsia="zh-CN"/>
          <w14:textFill>
            <w14:solidFill>
              <w14:schemeClr w14:val="tx1"/>
            </w14:solidFill>
          </w14:textFill>
        </w:rPr>
        <w:t>，污泥脱水减量配合服务不含税综合单价（按含水率80%湿泥计费）</w:t>
      </w:r>
      <w:r>
        <w:rPr>
          <w:rFonts w:hint="eastAsia" w:ascii="宋体" w:hAnsi="宋体" w:eastAsia="宋体" w:cs="宋体"/>
          <w:b/>
          <w:bCs/>
          <w:color w:val="000000" w:themeColor="text1"/>
          <w:kern w:val="0"/>
          <w:szCs w:val="21"/>
          <w:highlight w:val="none"/>
          <w14:textFill>
            <w14:solidFill>
              <w14:schemeClr w14:val="tx1"/>
            </w14:solidFill>
          </w14:textFill>
        </w:rPr>
        <w:t>单位统一为“元/吨”。</w:t>
      </w:r>
    </w:p>
    <w:p w14:paraId="7EEE77D6">
      <w:pPr>
        <w:pageBreakBefore/>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792" w:name="_Toc142508390"/>
      <w:bookmarkStart w:id="793" w:name="_Toc21059"/>
      <w:bookmarkStart w:id="794" w:name="_Toc14977"/>
      <w:bookmarkStart w:id="795" w:name="_Toc18997"/>
      <w:bookmarkStart w:id="796" w:name="_Toc521918141"/>
      <w:bookmarkStart w:id="797" w:name="_Toc522047402"/>
      <w:bookmarkStart w:id="798"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92"/>
      <w:bookmarkEnd w:id="793"/>
      <w:bookmarkEnd w:id="794"/>
      <w:bookmarkEnd w:id="795"/>
    </w:p>
    <w:p w14:paraId="08085FB3">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5568977">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719F83F">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0DD2BAC">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5121EAC">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36"/>
          <w:szCs w:val="44"/>
          <w:highlight w:val="none"/>
          <w:lang w:eastAsia="zh-CN"/>
          <w14:textFill>
            <w14:solidFill>
              <w14:schemeClr w14:val="tx1"/>
            </w14:solidFill>
          </w14:textFill>
        </w:rPr>
        <w:t>东莞市众源环境投资有限公司2026年污泥脱水减量配合服务采购项目</w:t>
      </w:r>
    </w:p>
    <w:p w14:paraId="3AEE722F">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799"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w:t>
      </w:r>
      <w:r>
        <w:rPr>
          <w:rFonts w:hint="eastAsia" w:ascii="宋体" w:hAnsi="宋体" w:eastAsia="宋体" w:cs="宋体"/>
          <w:b/>
          <w:bCs/>
          <w:color w:val="000000" w:themeColor="text1"/>
          <w:sz w:val="36"/>
          <w:szCs w:val="36"/>
          <w:highlight w:val="none"/>
          <w:u w:val="single"/>
          <w:lang w:val="zh-CN"/>
          <w14:textFill>
            <w14:solidFill>
              <w14:schemeClr w14:val="tx1"/>
            </w14:solidFill>
          </w14:textFill>
        </w:rPr>
        <w:t>SSSSSZ12600052</w:t>
      </w:r>
      <w:r>
        <w:rPr>
          <w:rFonts w:hint="eastAsia" w:ascii="宋体" w:hAnsi="宋体" w:eastAsia="宋体" w:cs="宋体"/>
          <w:b/>
          <w:bCs/>
          <w:color w:val="000000" w:themeColor="text1"/>
          <w:sz w:val="36"/>
          <w:szCs w:val="36"/>
          <w:highlight w:val="none"/>
          <w:lang w:val="zh-CN"/>
          <w14:textFill>
            <w14:solidFill>
              <w14:schemeClr w14:val="tx1"/>
            </w14:solidFill>
          </w14:textFill>
        </w:rPr>
        <w:t>）</w:t>
      </w:r>
      <w:bookmarkEnd w:id="799"/>
    </w:p>
    <w:p w14:paraId="60F9DEC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9A0493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7E6D51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11578F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BA7EC89">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800"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800"/>
    </w:p>
    <w:p w14:paraId="7638076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FEED3C5">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362DEA8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D36227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FBC9B9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E94473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135F29D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ADB834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801"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801"/>
    </w:p>
    <w:p w14:paraId="1C925CF7">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2157988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2"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802"/>
    </w:p>
    <w:p w14:paraId="6AC62BB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3"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803"/>
    </w:p>
    <w:p w14:paraId="46C3DDA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4"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804"/>
    </w:p>
    <w:p w14:paraId="6F40DEE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5"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805"/>
    </w:p>
    <w:p w14:paraId="2DF5E53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6"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806"/>
    </w:p>
    <w:p w14:paraId="3E9DB9F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7"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807"/>
    </w:p>
    <w:p w14:paraId="0E807F5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08"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808"/>
    </w:p>
    <w:p w14:paraId="1A8C25E6">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70693BF2">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5AAB772E">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05CC0F91">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809"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809"/>
    </w:p>
    <w:p w14:paraId="23176EA5">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25099641">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东莞市众源环境投资有限公司2026年污泥脱水减量配合服务采购项目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SSSSSZ12600052</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073E810B">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77BA4038">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(建成工程咨询股份有限公司）组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6A952276">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0EE340DA">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73F76B58">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2048ACF">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5943DB90">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hint="eastAsia" w:ascii="宋体" w:hAnsi="宋体" w:eastAsia="宋体" w:cs="宋体"/>
          <w:b/>
          <w:bCs/>
          <w:color w:val="000000" w:themeColor="text1"/>
          <w:kern w:val="0"/>
          <w:szCs w:val="24"/>
          <w:highlight w:val="none"/>
          <w14:textFill>
            <w14:solidFill>
              <w14:schemeClr w14:val="tx1"/>
            </w14:solidFill>
          </w14:textFill>
        </w:rPr>
        <w:t>7人以上（含7人）单数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501AA7B0">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3E4E0DB6">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26A035C4">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302DB53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2B8BD2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4513D91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18671D5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5D1DB3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6803F37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511AC987">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1847F0E9">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3BAFB29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7B5F8CE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3BF6459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7FA07CB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4BFB003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198D7CF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6DF0CB71">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CEF5FB0">
      <w:pPr>
        <w:tabs>
          <w:tab w:val="left" w:pos="1547"/>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4893F7B1">
      <w:pPr>
        <w:autoSpaceDE w:val="0"/>
        <w:autoSpaceDN w:val="0"/>
        <w:adjustRightInd w:val="0"/>
        <w:spacing w:line="360" w:lineRule="auto"/>
        <w:ind w:left="567" w:hanging="567"/>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公开招标：</w:t>
      </w:r>
    </w:p>
    <w:p w14:paraId="15FCD7C6">
      <w:pPr>
        <w:autoSpaceDE w:val="0"/>
        <w:autoSpaceDN w:val="0"/>
        <w:adjustRightInd w:val="0"/>
        <w:spacing w:line="360" w:lineRule="auto"/>
        <w:ind w:left="567" w:hanging="567"/>
        <w:rPr>
          <w:rFonts w:ascii="宋体" w:hAnsi="宋体" w:eastAsia="宋体" w:cs="宋体"/>
          <w:bCs/>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宋体"/>
          <w:color w:val="000000" w:themeColor="text1"/>
          <w:szCs w:val="24"/>
          <w:highlight w:val="none"/>
          <w:lang w:val="zh-CN"/>
          <w14:textFill>
            <w14:solidFill>
              <w14:schemeClr w14:val="tx1"/>
            </w14:solidFill>
          </w14:textFill>
        </w:rPr>
        <w:t>投标</w:t>
      </w:r>
      <w:r>
        <w:rPr>
          <w:rFonts w:hint="eastAsia" w:ascii="宋体" w:hAnsi="宋体" w:eastAsia="宋体" w:cs="宋体"/>
          <w:bCs/>
          <w:color w:val="000000" w:themeColor="text1"/>
          <w:szCs w:val="24"/>
          <w:highlight w:val="none"/>
          <w:lang w:val="zh-CN"/>
          <w14:textFill>
            <w14:solidFill>
              <w14:schemeClr w14:val="tx1"/>
            </w14:solidFill>
          </w14:textFill>
        </w:rPr>
        <w:t>文件做初审，对未能通过初审的投标文件不再进入下一阶段评审。</w:t>
      </w:r>
    </w:p>
    <w:p w14:paraId="4556F778">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bCs/>
          <w:color w:val="000000" w:themeColor="text1"/>
          <w:szCs w:val="24"/>
          <w:highlight w:val="none"/>
          <w:lang w:val="zh-CN"/>
          <w14:textFill>
            <w14:solidFill>
              <w14:schemeClr w14:val="tx1"/>
            </w14:solidFill>
          </w14:textFill>
        </w:rPr>
        <w:t>评标</w:t>
      </w:r>
      <w:r>
        <w:rPr>
          <w:rFonts w:hint="eastAsia" w:ascii="宋体" w:hAnsi="宋体" w:eastAsia="宋体" w:cs="宋体"/>
          <w:color w:val="000000" w:themeColor="text1"/>
          <w:szCs w:val="24"/>
          <w:highlight w:val="none"/>
          <w:lang w:val="zh-CN"/>
          <w14:textFill>
            <w14:solidFill>
              <w14:schemeClr w14:val="tx1"/>
            </w14:solidFill>
          </w14:textFill>
        </w:rPr>
        <w:t>委员会对通过初审的投标人的投标文件进行详细的比较和评价。如需要，进行必要的澄清工作。</w:t>
      </w:r>
    </w:p>
    <w:p w14:paraId="1A62A8CF">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5.3  依据评分标准以及各项权重，各位评标委员会成员单独就每个投标人的商务状况、技术状况进行比较和评价，分别评出其商务得分和技术得分。</w:t>
      </w:r>
    </w:p>
    <w:p w14:paraId="62E3AC5B">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对有效投标人的投标报价进行审查和价格评分。</w:t>
      </w:r>
    </w:p>
    <w:p w14:paraId="075E9414">
      <w:pPr>
        <w:autoSpaceDE w:val="0"/>
        <w:autoSpaceDN w:val="0"/>
        <w:adjustRightInd w:val="0"/>
        <w:spacing w:line="360" w:lineRule="auto"/>
        <w:ind w:left="567" w:hanging="567"/>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5.5  将各</w:t>
      </w:r>
      <w:r>
        <w:rPr>
          <w:rFonts w:hint="eastAsia" w:ascii="宋体" w:hAnsi="宋体" w:eastAsia="宋体" w:cs="宋体"/>
          <w:color w:val="000000" w:themeColor="text1"/>
          <w:szCs w:val="24"/>
          <w:highlight w:val="none"/>
          <w:lang w:val="zh-CN"/>
          <w14:textFill>
            <w14:solidFill>
              <w14:schemeClr w14:val="tx1"/>
            </w14:solidFill>
          </w14:textFill>
        </w:rPr>
        <w:t>评委对</w:t>
      </w:r>
      <w:r>
        <w:rPr>
          <w:rFonts w:hint="eastAsia" w:ascii="宋体" w:hAnsi="宋体" w:eastAsia="宋体" w:cs="宋体"/>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0C771AB5">
      <w:pPr>
        <w:autoSpaceDE w:val="0"/>
        <w:autoSpaceDN w:val="0"/>
        <w:adjustRightInd w:val="0"/>
        <w:spacing w:line="360" w:lineRule="auto"/>
        <w:ind w:left="567"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4"/>
          <w:highlight w:val="none"/>
          <w14:textFill>
            <w14:solidFill>
              <w14:schemeClr w14:val="tx1"/>
            </w14:solidFill>
          </w14:textFill>
        </w:rPr>
        <w:t xml:space="preserve">5.6  </w:t>
      </w:r>
      <w:r>
        <w:rPr>
          <w:rFonts w:hint="eastAsia" w:ascii="宋体" w:hAnsi="宋体" w:eastAsia="宋体" w:cs="宋体"/>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01CD0F05">
      <w:pPr>
        <w:autoSpaceDE w:val="0"/>
        <w:autoSpaceDN w:val="0"/>
        <w:adjustRightInd w:val="0"/>
        <w:spacing w:line="360" w:lineRule="auto"/>
        <w:ind w:left="525" w:hanging="525" w:hangingChars="25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7</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w:t>
      </w:r>
      <w:r>
        <w:rPr>
          <w:rFonts w:hint="eastAsia" w:ascii="宋体" w:hAnsi="宋体" w:eastAsia="宋体" w:cs="宋体"/>
          <w:color w:val="000000" w:themeColor="text1"/>
          <w:szCs w:val="24"/>
          <w:highlight w:val="none"/>
          <w:lang w:val="zh-CN"/>
          <w14:textFill>
            <w14:solidFill>
              <w14:schemeClr w14:val="tx1"/>
            </w14:solidFill>
          </w14:textFill>
        </w:rPr>
        <w:t>根据评审结果编写评标报告。</w:t>
      </w:r>
    </w:p>
    <w:p w14:paraId="74E94B8F">
      <w:pPr>
        <w:autoSpaceDE w:val="0"/>
        <w:autoSpaceDN w:val="0"/>
        <w:adjustRightInd w:val="0"/>
        <w:spacing w:line="360" w:lineRule="auto"/>
        <w:ind w:left="525" w:hanging="525" w:hangingChars="250"/>
        <w:jc w:val="left"/>
        <w:rPr>
          <w:rFonts w:ascii="宋体" w:hAnsi="宋体" w:eastAsia="宋体" w:cs="宋体"/>
          <w:color w:val="000000" w:themeColor="text1"/>
          <w:szCs w:val="24"/>
          <w:highlight w:val="none"/>
          <w:lang w:val="zh-CN"/>
          <w14:textFill>
            <w14:solidFill>
              <w14:schemeClr w14:val="tx1"/>
            </w14:solidFill>
          </w14:textFill>
        </w:rPr>
      </w:pPr>
    </w:p>
    <w:p w14:paraId="3157BDA1">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810"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810"/>
    </w:p>
    <w:p w14:paraId="6C1D0477">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4C4256E3">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8A680C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20FEEAEB">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1E2307B3">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48D08B75">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8C49BC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34E0FA49">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bookmarkStart w:id="811" w:name="_Toc26899"/>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 上传的投标文件损坏或无法读取的；</w:t>
      </w:r>
      <w:bookmarkEnd w:id="811"/>
    </w:p>
    <w:p w14:paraId="5954F50F">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.2 经招标人确认，投标人在公共资源交易企业库填报的与本项目密切相关的信息与事实不相符的；</w:t>
      </w:r>
    </w:p>
    <w:p w14:paraId="6E6B68E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.3 投标文件中使用的本项目招标文件版本，与交易系统上发布的本项目招标文件的最新版本不一致的；</w:t>
      </w:r>
    </w:p>
    <w:p w14:paraId="25D755E2">
      <w:pPr>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7.4 投标文件未使用企业数字证书签名的；</w:t>
      </w:r>
    </w:p>
    <w:p w14:paraId="33B32E9B">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投标文件签名使用的数字证书与签到的投标人名称不一致的；</w:t>
      </w:r>
    </w:p>
    <w:p w14:paraId="20A120E0">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6</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投标人的投标编制MAC信息、投标编制CPU序列号、投标编制硬盘序列号均与其他投标人相同的；</w:t>
      </w:r>
    </w:p>
    <w:p w14:paraId="5A5B2167">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投标文件附有招标人不能接受的条件的；</w:t>
      </w:r>
    </w:p>
    <w:p w14:paraId="53E62D6B">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8</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投标人资格不满足第二篇投标人须知第2</w:t>
      </w:r>
      <w:r>
        <w:rPr>
          <w:rFonts w:hint="eastAsia" w:ascii="宋体" w:hAnsi="宋体" w:eastAsia="宋体" w:cs="宋体"/>
          <w:b/>
          <w:color w:val="000000" w:themeColor="text1"/>
          <w:szCs w:val="21"/>
          <w:highlight w:val="none"/>
          <w14:textFill>
            <w14:solidFill>
              <w14:schemeClr w14:val="tx1"/>
            </w14:solidFill>
          </w14:textFill>
        </w:rPr>
        <w:t>条</w:t>
      </w:r>
      <w:r>
        <w:rPr>
          <w:rFonts w:hint="eastAsia" w:ascii="宋体" w:hAnsi="宋体" w:eastAsia="宋体" w:cs="宋体"/>
          <w:b/>
          <w:color w:val="000000" w:themeColor="text1"/>
          <w:szCs w:val="21"/>
          <w:highlight w:val="none"/>
          <w:lang w:val="zh-CN"/>
          <w14:textFill>
            <w14:solidFill>
              <w14:schemeClr w14:val="tx1"/>
            </w14:solidFill>
          </w14:textFill>
        </w:rPr>
        <w:t>的要求；</w:t>
      </w:r>
    </w:p>
    <w:p w14:paraId="724EB057">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9</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投标人未按招标文件要求交纳投标保证金的；</w:t>
      </w:r>
    </w:p>
    <w:p w14:paraId="63A7C166">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10</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投标文件报价信封中填报的投标单价报价高于不含税采购限价综合单价的；；</w:t>
      </w:r>
    </w:p>
    <w:p w14:paraId="35A51DB0">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投标人以低于企业成本价报价，且投标人不能合理说明或不能提供相关证明材料；</w:t>
      </w:r>
    </w:p>
    <w:p w14:paraId="16F1C72A">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投标人递交两份或多份内容不同的投标文件，或在一份投标文件中报有两个或多个报价，且未书面声明哪一个有效；</w:t>
      </w:r>
    </w:p>
    <w:p w14:paraId="3A5B0178">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投标文件未按第二篇投标人须知第17</w:t>
      </w:r>
      <w:r>
        <w:rPr>
          <w:rFonts w:hint="eastAsia" w:ascii="宋体" w:hAnsi="宋体" w:eastAsia="宋体" w:cs="宋体"/>
          <w:b/>
          <w:color w:val="000000" w:themeColor="text1"/>
          <w:szCs w:val="21"/>
          <w:highlight w:val="none"/>
          <w14:textFill>
            <w14:solidFill>
              <w14:schemeClr w14:val="tx1"/>
            </w14:solidFill>
          </w14:textFill>
        </w:rPr>
        <w:t>条</w:t>
      </w:r>
      <w:r>
        <w:rPr>
          <w:rFonts w:hint="eastAsia" w:ascii="宋体" w:hAnsi="宋体" w:eastAsia="宋体" w:cs="宋体"/>
          <w:b/>
          <w:color w:val="000000" w:themeColor="text1"/>
          <w:szCs w:val="21"/>
          <w:highlight w:val="none"/>
          <w:lang w:val="zh-CN"/>
          <w14:textFill>
            <w14:solidFill>
              <w14:schemeClr w14:val="tx1"/>
            </w14:solidFill>
          </w14:textFill>
        </w:rPr>
        <w:t xml:space="preserve">的要求编制、使用企业数字证书或个人数字证书电子签名的； </w:t>
      </w:r>
    </w:p>
    <w:p w14:paraId="28F5BF76">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bookmarkStart w:id="812" w:name="_Toc16046"/>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 xml:space="preserve"> 投标有效期限不符合要求；</w:t>
      </w:r>
      <w:bookmarkEnd w:id="812"/>
    </w:p>
    <w:p w14:paraId="538F304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投标文件未对招标范围内的全部内容进行投标报价或投标方案不是唯一；</w:t>
      </w:r>
    </w:p>
    <w:p w14:paraId="2A9C2CD9">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6</w:t>
      </w:r>
      <w:r>
        <w:rPr>
          <w:rFonts w:hint="eastAsia" w:ascii="宋体" w:hAnsi="宋体" w:eastAsia="宋体" w:cs="宋体"/>
          <w:b/>
          <w:color w:val="000000" w:themeColor="text1"/>
          <w:szCs w:val="21"/>
          <w:highlight w:val="none"/>
          <w:lang w:val="zh-CN"/>
          <w14:textFill>
            <w14:solidFill>
              <w14:schemeClr w14:val="tx1"/>
            </w14:solidFill>
          </w14:textFill>
        </w:rPr>
        <w:t xml:space="preserve"> 未提供或虚假填写《合同条款偏离表》，或对《合同条款偏离表》有负偏离的；</w:t>
      </w:r>
    </w:p>
    <w:p w14:paraId="1E020C5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bookmarkStart w:id="813" w:name="_Toc18040"/>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未填写或虚假填写《用户需求偏离表》的；</w:t>
      </w:r>
      <w:bookmarkEnd w:id="813"/>
    </w:p>
    <w:p w14:paraId="2086802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8</w:t>
      </w:r>
      <w:r>
        <w:rPr>
          <w:rFonts w:hint="eastAsia" w:ascii="宋体" w:hAnsi="宋体" w:eastAsia="宋体" w:cs="宋体"/>
          <w:b/>
          <w:color w:val="000000" w:themeColor="text1"/>
          <w:szCs w:val="21"/>
          <w:highlight w:val="none"/>
          <w:lang w:val="zh-CN"/>
          <w14:textFill>
            <w14:solidFill>
              <w14:schemeClr w14:val="tx1"/>
            </w14:solidFill>
          </w14:textFill>
        </w:rPr>
        <w:t xml:space="preserve"> 未响应招标文件提出的实质性要求和条件（标注★的条款）；</w:t>
      </w:r>
    </w:p>
    <w:p w14:paraId="2689502C">
      <w:pPr>
        <w:autoSpaceDE w:val="0"/>
        <w:autoSpaceDN w:val="0"/>
        <w:adjustRightInd w:val="0"/>
        <w:spacing w:line="360" w:lineRule="auto"/>
        <w:ind w:left="316" w:hanging="316" w:hangingChars="1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19</w:t>
      </w:r>
      <w:r>
        <w:rPr>
          <w:rFonts w:hint="eastAsia" w:ascii="宋体" w:hAnsi="宋体" w:eastAsia="宋体" w:cs="宋体"/>
          <w:b/>
          <w:color w:val="000000" w:themeColor="text1"/>
          <w:szCs w:val="21"/>
          <w:highlight w:val="none"/>
          <w:lang w:val="zh-CN"/>
          <w14:textFill>
            <w14:solidFill>
              <w14:schemeClr w14:val="tx1"/>
            </w14:solidFill>
          </w14:textFill>
        </w:rPr>
        <w:t xml:space="preserve"> 属于招标文件中规定为无效标的；属于法律、法规、规章规定的应作无效投标文件处理的。</w:t>
      </w:r>
    </w:p>
    <w:p w14:paraId="3BD8016F">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BE4497D">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52FE4740">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814"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814"/>
    </w:p>
    <w:p w14:paraId="6C80FFEF">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184DCB4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25B8D325">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ED58686">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3B261073">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06E99F2C">
      <w:pPr>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2DCADCFD">
      <w:pPr>
        <w:spacing w:line="360" w:lineRule="auto"/>
        <w:ind w:firstLine="420" w:firstLineChars="200"/>
        <w:jc w:val="left"/>
        <w:outlineLvl w:val="9"/>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3E31A8A6">
      <w:pPr>
        <w:spacing w:line="360" w:lineRule="auto"/>
        <w:ind w:left="420" w:leftChars="200" w:firstLine="0" w:firstLineChars="0"/>
        <w:jc w:val="left"/>
        <w:outlineLvl w:val="9"/>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5474C6DF">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0DF37BE">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273FA2C4">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p>
    <w:p w14:paraId="1DF0C213">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815" w:name="_Toc8518_WPSOffice_Level1"/>
    </w:p>
    <w:p w14:paraId="62E60792">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815"/>
    </w:p>
    <w:p w14:paraId="7BB5485C">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9C64A2D">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70CECBD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23DFD002">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11.1 参加评分的评委应尽力体现客观、实事求是，避免学派偏见和个人偏好。</w:t>
      </w:r>
    </w:p>
    <w:p w14:paraId="00D08F8A">
      <w:pPr>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11.2 衡量、对比的依据，应以招标文件、投标文件、提供的正式试验数据、开标澄清中的文字为准，口头回答和收集的资料只作为参考。</w:t>
      </w:r>
    </w:p>
    <w:p w14:paraId="44A0B190">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11.3 评分主要是为比较各投标人的商务、技术</w:t>
      </w:r>
      <w:r>
        <w:rPr>
          <w:rFonts w:hint="eastAsia" w:ascii="宋体" w:hAnsi="宋体" w:eastAsia="宋体" w:cs="宋体"/>
          <w:color w:val="000000" w:themeColor="text1"/>
          <w:szCs w:val="24"/>
          <w:highlight w:val="none"/>
          <w14:textFill>
            <w14:solidFill>
              <w14:schemeClr w14:val="tx1"/>
            </w14:solidFill>
          </w14:textFill>
        </w:rPr>
        <w:t>和</w:t>
      </w:r>
      <w:r>
        <w:rPr>
          <w:rFonts w:hint="eastAsia" w:ascii="宋体" w:hAnsi="宋体" w:eastAsia="宋体" w:cs="宋体"/>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7A424E85">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65EB5775">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w:t>
      </w:r>
      <w:r>
        <w:rPr>
          <w:rFonts w:hint="eastAsia" w:ascii="宋体" w:hAnsi="宋体" w:eastAsia="宋体" w:cs="宋体"/>
          <w:color w:val="000000" w:themeColor="text1"/>
          <w:szCs w:val="21"/>
          <w:highlight w:val="none"/>
          <w:lang w:eastAsia="zh-CN"/>
          <w14:textFill>
            <w14:solidFill>
              <w14:schemeClr w14:val="tx1"/>
            </w14:solidFill>
          </w14:textFill>
        </w:rPr>
        <w:t>优、良、中、差</w:t>
      </w:r>
      <w:r>
        <w:rPr>
          <w:rFonts w:hint="eastAsia" w:ascii="宋体" w:hAnsi="宋体" w:eastAsia="宋体" w:cs="宋体"/>
          <w:color w:val="000000" w:themeColor="text1"/>
          <w:szCs w:val="21"/>
          <w:highlight w:val="none"/>
          <w14:textFill>
            <w14:solidFill>
              <w14:schemeClr w14:val="tx1"/>
            </w14:solidFill>
          </w14:textFill>
        </w:rPr>
        <w:t>”区间评审的评分因素的评分低于权重分值60%的，应在评标报告中作出说明。</w:t>
      </w:r>
    </w:p>
    <w:p w14:paraId="1AA3F210">
      <w:pPr>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79FB9E2E">
      <w:pPr>
        <w:tabs>
          <w:tab w:val="left" w:pos="600"/>
        </w:tabs>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11.4 评标委员会打分采取记名形式。</w:t>
      </w:r>
    </w:p>
    <w:p w14:paraId="4B729346">
      <w:pPr>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11.5 各评委根据秘书组提供的打分表严格按照评标大纲内的评分标准独立自主打分，任何人不得要求评委统一打分或统一确定等次顺序。</w:t>
      </w:r>
    </w:p>
    <w:p w14:paraId="4637E7BE">
      <w:pPr>
        <w:autoSpaceDE w:val="0"/>
        <w:autoSpaceDN w:val="0"/>
        <w:adjustRightInd w:val="0"/>
        <w:spacing w:line="360" w:lineRule="auto"/>
        <w:ind w:left="426" w:hanging="426"/>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11.6 对打分表中的每项条款，各评委应根据投标文件、澄清材料、招标文件要求，按满足的程度给投标人打分。</w:t>
      </w:r>
    </w:p>
    <w:p w14:paraId="49C95285">
      <w:pPr>
        <w:tabs>
          <w:tab w:val="left" w:pos="600"/>
        </w:tabs>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11.7 评分程序</w:t>
      </w:r>
    </w:p>
    <w:p w14:paraId="50F30D78">
      <w:pPr>
        <w:tabs>
          <w:tab w:val="left" w:pos="1134"/>
        </w:tabs>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（1）就投标人的投标文件对照整理出商务、技术评标因素对比表、偏差表，并在经过校核的基础上逐项打分。</w:t>
      </w:r>
    </w:p>
    <w:p w14:paraId="1FC4526E">
      <w:pPr>
        <w:tabs>
          <w:tab w:val="left" w:pos="1134"/>
        </w:tabs>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（2）各评委独立完成打分后，将统计好的评分表交给招标代理机构秘书组复核。</w:t>
      </w:r>
    </w:p>
    <w:p w14:paraId="25459AA6">
      <w:pPr>
        <w:tabs>
          <w:tab w:val="left" w:pos="1134"/>
        </w:tabs>
        <w:autoSpaceDE w:val="0"/>
        <w:autoSpaceDN w:val="0"/>
        <w:adjustRightInd w:val="0"/>
        <w:spacing w:line="360" w:lineRule="auto"/>
        <w:ind w:left="565" w:leftChars="-1" w:hanging="567" w:hangingChars="27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（3）评分统计表中各投标人技术得分应为最终综合得分，商务和价格得分应为评委打分的算术平均值。</w:t>
      </w:r>
    </w:p>
    <w:p w14:paraId="6F9BC85C">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4E18424B">
      <w:pPr>
        <w:tabs>
          <w:tab w:val="left" w:pos="1701"/>
        </w:tabs>
        <w:autoSpaceDE w:val="0"/>
        <w:autoSpaceDN w:val="0"/>
        <w:adjustRightInd w:val="0"/>
        <w:spacing w:line="360" w:lineRule="auto"/>
        <w:outlineLvl w:val="1"/>
        <w:rPr>
          <w:rFonts w:ascii="宋体" w:hAnsi="宋体" w:eastAsia="宋体" w:cs="宋体"/>
          <w:b/>
          <w:color w:val="000000" w:themeColor="text1"/>
          <w:szCs w:val="24"/>
          <w:highlight w:val="none"/>
          <w:lang w:val="zh-CN"/>
          <w14:textFill>
            <w14:solidFill>
              <w14:schemeClr w14:val="tx1"/>
            </w14:solidFill>
          </w14:textFill>
        </w:rPr>
      </w:pPr>
      <w:bookmarkStart w:id="816" w:name="_Toc3424"/>
      <w:bookmarkStart w:id="817" w:name="_Toc211622229"/>
      <w:r>
        <w:rPr>
          <w:rFonts w:hint="eastAsia" w:ascii="宋体" w:hAnsi="宋体" w:eastAsia="宋体" w:cs="宋体"/>
          <w:b/>
          <w:color w:val="000000" w:themeColor="text1"/>
          <w:szCs w:val="24"/>
          <w:highlight w:val="none"/>
          <w:lang w:val="zh-CN"/>
          <w14:textFill>
            <w14:solidFill>
              <w14:schemeClr w14:val="tx1"/>
            </w14:solidFill>
          </w14:textFill>
        </w:rPr>
        <w:t>12、评分因素及分值</w:t>
      </w:r>
      <w:bookmarkEnd w:id="816"/>
      <w:bookmarkEnd w:id="817"/>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6D915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7D4D45">
            <w:pPr>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A4A1D51">
            <w:pPr>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分值</w:t>
            </w:r>
          </w:p>
        </w:tc>
      </w:tr>
      <w:tr w14:paraId="6F6A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92F5E28">
            <w:pPr>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317F9593">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6D93B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BBD5F5F">
            <w:pPr>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6599A7E2">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352FC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1057A6B">
            <w:pPr>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30740028">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71F4C59A">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818" w:name="_Toc18349_WPSOffice_Level2"/>
    </w:p>
    <w:p w14:paraId="05351C64">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81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059"/>
        <w:gridCol w:w="7148"/>
        <w:gridCol w:w="846"/>
      </w:tblGrid>
      <w:tr w14:paraId="3136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568528BC">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819" w:name="_Toc11639_WPSOffice_Level2"/>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517C0DE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1B4F98E4">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88980B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2BFA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8A158FD">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p>
        </w:tc>
        <w:tc>
          <w:tcPr>
            <w:tcW w:w="547" w:type="pct"/>
            <w:tcBorders>
              <w:top w:val="single" w:color="auto" w:sz="4" w:space="0"/>
              <w:left w:val="single" w:color="auto" w:sz="4" w:space="0"/>
              <w:bottom w:val="single" w:color="auto" w:sz="4" w:space="0"/>
              <w:right w:val="single" w:color="auto" w:sz="4" w:space="0"/>
            </w:tcBorders>
            <w:vAlign w:val="center"/>
          </w:tcPr>
          <w:p w14:paraId="3DEE2EB1">
            <w:pPr>
              <w:snapToGrid w:val="0"/>
              <w:spacing w:line="400" w:lineRule="exact"/>
              <w:jc w:val="center"/>
              <w:rPr>
                <w:rFonts w:ascii="宋体" w:hAnsi="宋体" w:eastAsia="宋体" w:cs="宋体"/>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074A407E">
            <w:pPr>
              <w:snapToGrid w:val="0"/>
              <w:spacing w:line="40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投标人2022年-2024年三个年度，每具有1个年度盈利的得1分，满分3分。</w:t>
            </w:r>
          </w:p>
          <w:p w14:paraId="7FE9542B">
            <w:pPr>
              <w:snapToGrid w:val="0"/>
              <w:spacing w:line="400" w:lineRule="exact"/>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备注：盈利指净利润为正数（非零、非负数），投标人应提供202</w:t>
            </w:r>
            <w:r>
              <w:rPr>
                <w:rFonts w:hint="eastAsia"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年、202</w:t>
            </w: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年、202</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年三个年度的财务报表，净利润以经审计的财务报表为准，应提供经独立会计师事务所审计过的有效的财务报表</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b/>
                <w:color w:val="000000" w:themeColor="text1"/>
                <w:szCs w:val="21"/>
                <w:highlight w:val="none"/>
                <w:lang w:val="zh-CN"/>
                <w14:textFill>
                  <w14:solidFill>
                    <w14:schemeClr w14:val="tx1"/>
                  </w14:solidFill>
                </w14:textFill>
              </w:rPr>
              <w:t>；未提供前述财务报表或财务报表未能反映净利润的，不得分</w:t>
            </w:r>
            <w:r>
              <w:rPr>
                <w:rFonts w:hint="eastAsia" w:ascii="宋体" w:hAnsi="宋体" w:eastAsia="宋体" w:cs="宋体"/>
                <w:color w:val="000000" w:themeColor="text1"/>
                <w:szCs w:val="21"/>
                <w:highlight w:val="none"/>
                <w:lang w:val="zh-CN"/>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710AAA83">
            <w:pPr>
              <w:snapToGri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3分</w:t>
            </w:r>
          </w:p>
        </w:tc>
      </w:tr>
      <w:tr w14:paraId="41A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41C04B3">
            <w:pPr>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bookmarkStart w:id="820" w:name="_Hlk104987354"/>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547" w:type="pct"/>
            <w:tcBorders>
              <w:top w:val="single" w:color="auto" w:sz="4" w:space="0"/>
              <w:left w:val="single" w:color="auto" w:sz="4" w:space="0"/>
              <w:bottom w:val="single" w:color="auto" w:sz="4" w:space="0"/>
              <w:right w:val="single" w:color="auto" w:sz="4" w:space="0"/>
            </w:tcBorders>
            <w:vAlign w:val="center"/>
          </w:tcPr>
          <w:p w14:paraId="79060541">
            <w:pP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标准化</w:t>
            </w:r>
            <w:r>
              <w:rPr>
                <w:rFonts w:hint="eastAsia" w:ascii="宋体" w:hAnsi="宋体" w:eastAsia="宋体" w:cs="宋体"/>
                <w:color w:val="000000" w:themeColor="text1"/>
                <w:szCs w:val="21"/>
                <w:highlight w:val="none"/>
                <w:lang w:val="en-US" w:eastAsia="zh-CN"/>
                <w14:textFill>
                  <w14:solidFill>
                    <w14:schemeClr w14:val="tx1"/>
                  </w14:solidFill>
                </w14:textFill>
              </w:rPr>
              <w:t>体系</w:t>
            </w:r>
            <w:r>
              <w:rPr>
                <w:rFonts w:hint="eastAsia" w:ascii="宋体" w:hAnsi="宋体" w:eastAsia="宋体" w:cs="宋体"/>
                <w:color w:val="000000" w:themeColor="text1"/>
                <w:szCs w:val="21"/>
                <w:highlight w:val="none"/>
                <w14:textFill>
                  <w14:solidFill>
                    <w14:schemeClr w14:val="tx1"/>
                  </w14:solidFill>
                </w14:textFill>
              </w:rPr>
              <w:t>认证</w:t>
            </w:r>
          </w:p>
        </w:tc>
        <w:tc>
          <w:tcPr>
            <w:tcW w:w="3692" w:type="pct"/>
            <w:tcBorders>
              <w:top w:val="single" w:color="auto" w:sz="4" w:space="0"/>
              <w:left w:val="single" w:color="auto" w:sz="4" w:space="0"/>
              <w:bottom w:val="single" w:color="auto" w:sz="4" w:space="0"/>
              <w:right w:val="single" w:color="auto" w:sz="4" w:space="0"/>
            </w:tcBorders>
            <w:vAlign w:val="center"/>
          </w:tcPr>
          <w:p w14:paraId="49F6C7A1">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（1）投标人具有有效期内的ISO9001质量管理体系认证证书得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分；</w:t>
            </w:r>
          </w:p>
          <w:p w14:paraId="767A924D">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（2）投标人具有有效期内的ISO14001环境管理体系认证证书得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分；</w:t>
            </w:r>
          </w:p>
          <w:p w14:paraId="30BE9326">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（3）投标人具有有效期内的OHSAS18001（或GB/T45001-2020，或ISO45001）职业健康安全管理体系认证证书得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分。</w:t>
            </w:r>
          </w:p>
          <w:p w14:paraId="73F0E6FF">
            <w:pPr>
              <w:spacing w:line="360" w:lineRule="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r>
              <w:rPr>
                <w:rFonts w:hint="eastAsia" w:ascii="宋体" w:hAnsi="宋体" w:eastAsia="宋体" w:cs="宋体"/>
                <w:b/>
                <w:bCs w:val="0"/>
                <w:color w:val="000000" w:themeColor="text1"/>
                <w:szCs w:val="21"/>
                <w:highlight w:val="none"/>
                <w:lang w:val="zh-CN"/>
                <w14:textFill>
                  <w14:solidFill>
                    <w14:schemeClr w14:val="tx1"/>
                  </w14:solidFill>
                </w14:textFill>
              </w:rPr>
              <w:t>投标人应提供上述证书</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b/>
                <w:bCs w:val="0"/>
                <w:color w:val="000000" w:themeColor="text1"/>
                <w:szCs w:val="21"/>
                <w:highlight w:val="none"/>
                <w:lang w:val="zh-CN"/>
                <w14:textFill>
                  <w14:solidFill>
                    <w14:schemeClr w14:val="tx1"/>
                  </w14:solidFill>
                </w14:textFill>
              </w:rPr>
              <w:t>及能显示证书有效状态的全国认证认可信息公共服务平台（http://cx.cnca.cn/)查询结果凭证</w:t>
            </w:r>
            <w:r>
              <w:rPr>
                <w:rFonts w:hint="eastAsia" w:ascii="宋体" w:hAnsi="宋体" w:eastAsia="宋体" w:cs="宋体"/>
                <w:b/>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Cs w:val="21"/>
                <w:highlight w:val="none"/>
                <w:lang w:val="zh-CN"/>
                <w14:textFill>
                  <w14:solidFill>
                    <w14:schemeClr w14:val="tx1"/>
                  </w14:solidFill>
                </w14:textFill>
              </w:rPr>
              <w:t>凭证界面需显示有“全国认证认可信息公共服务平台”或“认证证书（需显示网址cx.cnca.cn）”</w:t>
            </w:r>
            <w:r>
              <w:rPr>
                <w:rFonts w:hint="eastAsia" w:ascii="宋体" w:hAnsi="宋体" w:eastAsia="宋体" w:cs="宋体"/>
                <w:b/>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Cs w:val="21"/>
                <w:highlight w:val="none"/>
                <w:lang w:val="zh-CN"/>
                <w14:textFill>
                  <w14:solidFill>
                    <w14:schemeClr w14:val="tx1"/>
                  </w14:solidFill>
                </w14:textFill>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7D7FA1EC">
            <w:pP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3分</w:t>
            </w:r>
          </w:p>
        </w:tc>
      </w:tr>
      <w:tr w14:paraId="09F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7FA97E1">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547" w:type="pct"/>
            <w:tcBorders>
              <w:top w:val="single" w:color="auto" w:sz="4" w:space="0"/>
              <w:left w:val="single" w:color="auto" w:sz="4" w:space="0"/>
              <w:bottom w:val="single" w:color="auto" w:sz="4" w:space="0"/>
              <w:right w:val="single" w:color="auto" w:sz="4" w:space="0"/>
            </w:tcBorders>
            <w:vAlign w:val="center"/>
          </w:tcPr>
          <w:p w14:paraId="18E80C81">
            <w:pPr>
              <w:spacing w:line="36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23BC3E58">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对投标人202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年1月1日至今（签订合同的时间为202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年1月1日或以后）承接的污泥脱水减量化处理服务或污泥脱水减量配合服务业绩进行评审，满分</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4分。</w:t>
            </w:r>
          </w:p>
          <w:p w14:paraId="74051017">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（1）每提供一个【单项合同污泥处理规模（按含水率80%的湿泥计）≥</w:t>
            </w:r>
            <w:r>
              <w:rPr>
                <w:rFonts w:hint="eastAsia" w:ascii="宋体" w:hAnsi="宋体" w:eastAsia="宋体" w:cs="宋体"/>
                <w:color w:val="000000" w:themeColor="text1"/>
                <w:szCs w:val="21"/>
                <w:highlight w:val="none"/>
                <w:lang w:val="en-US" w:eastAsia="zh-CN"/>
                <w14:textFill>
                  <w14:solidFill>
                    <w14:schemeClr w14:val="tx1"/>
                  </w14:solidFill>
                </w14:textFill>
              </w:rPr>
              <w:t>150</w:t>
            </w:r>
            <w:r>
              <w:rPr>
                <w:rFonts w:hint="eastAsia" w:ascii="宋体" w:hAnsi="宋体" w:eastAsia="宋体" w:cs="宋体"/>
                <w:color w:val="000000" w:themeColor="text1"/>
                <w:szCs w:val="21"/>
                <w:highlight w:val="none"/>
                <w14:textFill>
                  <w14:solidFill>
                    <w14:schemeClr w14:val="tx1"/>
                  </w14:solidFill>
                </w14:textFill>
              </w:rPr>
              <w:t>吨/天】或【单项合同提供的污泥减量设备操作技术人员数量≥</w:t>
            </w: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人】的前述业绩的，得4分；</w:t>
            </w:r>
          </w:p>
          <w:p w14:paraId="48300A1B">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（2）每提供一个【100吨/天≤单项合同污泥处理规模（按含水率80%的湿泥计）＜</w:t>
            </w:r>
            <w:r>
              <w:rPr>
                <w:rFonts w:hint="eastAsia" w:ascii="宋体" w:hAnsi="宋体" w:eastAsia="宋体" w:cs="宋体"/>
                <w:color w:val="000000" w:themeColor="text1"/>
                <w:szCs w:val="21"/>
                <w:highlight w:val="none"/>
                <w:lang w:val="en-US" w:eastAsia="zh-CN"/>
                <w14:textFill>
                  <w14:solidFill>
                    <w14:schemeClr w14:val="tx1"/>
                  </w14:solidFill>
                </w14:textFill>
              </w:rPr>
              <w:t>150</w:t>
            </w:r>
            <w:r>
              <w:rPr>
                <w:rFonts w:hint="eastAsia" w:ascii="宋体" w:hAnsi="宋体" w:eastAsia="宋体" w:cs="宋体"/>
                <w:color w:val="000000" w:themeColor="text1"/>
                <w:szCs w:val="21"/>
                <w:highlight w:val="none"/>
                <w14:textFill>
                  <w14:solidFill>
                    <w14:schemeClr w14:val="tx1"/>
                  </w14:solidFill>
                </w14:textFill>
              </w:rPr>
              <w:t>吨/天】或【12人≤单项合同提供的污泥减量设备操作技术人员数量＜</w:t>
            </w: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人】的前述业绩的，得2分；</w:t>
            </w:r>
          </w:p>
          <w:p w14:paraId="5A70396A">
            <w:pPr>
              <w:spacing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（3）每提供一个【50吨/天≤单项合同污泥处理规模（按含水率80%的湿泥计）＜100吨/天】或【</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人≤单项合同提供的污泥减量设备操作技术人员数量＜12人】的前述业绩的，得1分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本小项最高得12分</w:t>
            </w:r>
            <w:r>
              <w:rPr>
                <w:rFonts w:hint="eastAsia" w:ascii="宋体" w:hAnsi="宋体" w:eastAsia="宋体" w:cs="宋体"/>
                <w:color w:val="000000" w:themeColor="text1"/>
                <w:szCs w:val="21"/>
                <w:highlight w:val="none"/>
                <w:lang w:eastAsia="zh-CN"/>
                <w14:textFill>
                  <w14:solidFill>
                    <w14:schemeClr w14:val="tx1"/>
                  </w14:solidFill>
                </w14:textFill>
              </w:rPr>
              <w:t>。</w:t>
            </w:r>
          </w:p>
          <w:p w14:paraId="72272538">
            <w:pPr>
              <w:spacing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p w14:paraId="26715030">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）业绩必须附合同</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合同服务提供方为投标人</w:t>
            </w:r>
            <w:r>
              <w:rPr>
                <w:rFonts w:hint="eastAsia" w:ascii="宋体" w:hAnsi="宋体" w:eastAsia="宋体" w:cs="宋体"/>
                <w:color w:val="000000" w:themeColor="text1"/>
                <w:szCs w:val="21"/>
                <w:highlight w:val="none"/>
                <w:lang w:val="zh-CN"/>
                <w14:textFill>
                  <w14:solidFill>
                    <w14:schemeClr w14:val="tx1"/>
                  </w14:solidFill>
                </w14:textFill>
              </w:rPr>
              <w:t>）。合同必须能反映评分条件（</w:t>
            </w:r>
            <w:r>
              <w:rPr>
                <w:rFonts w:hint="eastAsia" w:ascii="宋体" w:hAnsi="宋体" w:eastAsia="宋体" w:cs="宋体"/>
                <w:color w:val="000000" w:themeColor="text1"/>
                <w:szCs w:val="21"/>
                <w:highlight w:val="none"/>
                <w14:textFill>
                  <w14:solidFill>
                    <w14:schemeClr w14:val="tx1"/>
                  </w14:solidFill>
                </w14:textFill>
              </w:rPr>
              <w:t>合同签订日期、服务内容、污泥处理规模/污泥减量设备操作技术人员数量、合同期限</w:t>
            </w:r>
            <w:r>
              <w:rPr>
                <w:rFonts w:hint="eastAsia" w:ascii="宋体" w:hAnsi="宋体" w:eastAsia="宋体" w:cs="宋体"/>
                <w:color w:val="000000" w:themeColor="text1"/>
                <w:szCs w:val="21"/>
                <w:highlight w:val="none"/>
                <w:lang w:val="zh-CN"/>
                <w14:textFill>
                  <w14:solidFill>
                    <w14:schemeClr w14:val="tx1"/>
                  </w14:solidFill>
                </w14:textFill>
              </w:rPr>
              <w:t>），否则，需同时提供服务购买方出具的书面补充情况说明文件</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前述扫描件能显示服务购买方公章</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否则不得分</w:t>
            </w:r>
            <w:r>
              <w:rPr>
                <w:rFonts w:hint="eastAsia" w:ascii="宋体" w:hAnsi="宋体" w:eastAsia="宋体" w:cs="宋体"/>
                <w:color w:val="000000" w:themeColor="text1"/>
                <w:szCs w:val="21"/>
                <w:highlight w:val="none"/>
                <w:lang w:val="zh-CN"/>
                <w14:textFill>
                  <w14:solidFill>
                    <w14:schemeClr w14:val="tx1"/>
                  </w14:solidFill>
                </w14:textFill>
              </w:rPr>
              <w:t>。</w:t>
            </w:r>
          </w:p>
          <w:p w14:paraId="50900355">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）污泥脱水减量化处理服务单项合同业绩的服务内容须包含污泥脱水减量化处理服务，如单项合同业绩的服务内容为污泥的全流程处理处置，必须</w:t>
            </w:r>
            <w:r>
              <w:rPr>
                <w:rFonts w:hint="eastAsia" w:ascii="宋体" w:hAnsi="宋体" w:eastAsia="宋体" w:cs="宋体"/>
                <w:color w:val="000000" w:themeColor="text1"/>
                <w:szCs w:val="21"/>
                <w:highlight w:val="none"/>
                <w:lang w:val="zh-CN" w:eastAsia="zh-CN"/>
                <w14:textFill>
                  <w14:solidFill>
                    <w14:schemeClr w14:val="tx1"/>
                  </w14:solidFill>
                </w14:textFill>
              </w:rPr>
              <w:t>包含</w:t>
            </w:r>
            <w:r>
              <w:rPr>
                <w:rFonts w:hint="eastAsia" w:ascii="宋体" w:hAnsi="宋体" w:eastAsia="宋体" w:cs="宋体"/>
                <w:color w:val="000000" w:themeColor="text1"/>
                <w:szCs w:val="21"/>
                <w:highlight w:val="none"/>
                <w:lang w:val="zh-CN"/>
                <w14:textFill>
                  <w14:solidFill>
                    <w14:schemeClr w14:val="tx1"/>
                  </w14:solidFill>
                </w14:textFill>
              </w:rPr>
              <w:t>污泥</w:t>
            </w:r>
            <w:r>
              <w:rPr>
                <w:rFonts w:hint="eastAsia" w:ascii="宋体" w:hAnsi="宋体" w:eastAsia="宋体" w:cs="宋体"/>
                <w:color w:val="000000" w:themeColor="text1"/>
                <w:szCs w:val="21"/>
                <w:highlight w:val="none"/>
                <w:lang w:val="zh-CN" w:eastAsia="zh-CN"/>
                <w14:textFill>
                  <w14:solidFill>
                    <w14:schemeClr w14:val="tx1"/>
                  </w14:solidFill>
                </w14:textFill>
              </w:rPr>
              <w:t>脱水</w:t>
            </w:r>
            <w:r>
              <w:rPr>
                <w:rFonts w:hint="eastAsia" w:ascii="宋体" w:hAnsi="宋体" w:eastAsia="宋体" w:cs="宋体"/>
                <w:color w:val="000000" w:themeColor="text1"/>
                <w:szCs w:val="21"/>
                <w:highlight w:val="none"/>
                <w:lang w:val="zh-CN"/>
                <w14:textFill>
                  <w14:solidFill>
                    <w14:schemeClr w14:val="tx1"/>
                  </w14:solidFill>
                </w14:textFill>
              </w:rPr>
              <w:t>减量化处理</w:t>
            </w:r>
            <w:r>
              <w:rPr>
                <w:rFonts w:hint="eastAsia" w:ascii="宋体" w:hAnsi="宋体" w:eastAsia="宋体" w:cs="宋体"/>
                <w:color w:val="000000" w:themeColor="text1"/>
                <w:szCs w:val="21"/>
                <w:highlight w:val="none"/>
                <w:lang w:val="zh-CN" w:eastAsia="zh-CN"/>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服务内容，否则不得分</w:t>
            </w:r>
            <w:r>
              <w:rPr>
                <w:rFonts w:hint="eastAsia" w:ascii="宋体" w:hAnsi="宋体" w:eastAsia="宋体" w:cs="宋体"/>
                <w:color w:val="000000" w:themeColor="text1"/>
                <w:szCs w:val="21"/>
                <w:highlight w:val="none"/>
                <w14:textFill>
                  <w14:solidFill>
                    <w14:schemeClr w14:val="tx1"/>
                  </w14:solidFill>
                </w14:textFill>
              </w:rPr>
              <w:t>。</w:t>
            </w:r>
          </w:p>
          <w:p w14:paraId="48CD681B">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000000" w:themeColor="text1"/>
                <w:szCs w:val="21"/>
                <w:highlight w:val="none"/>
                <w:lang w:val="zh-CN"/>
                <w14:textFill>
                  <w14:solidFill>
                    <w14:schemeClr w14:val="tx1"/>
                  </w14:solidFill>
                </w14:textFill>
              </w:rPr>
              <w:t>。</w:t>
            </w:r>
          </w:p>
          <w:p w14:paraId="172AD72A">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）若</w:t>
            </w:r>
            <w:r>
              <w:rPr>
                <w:rFonts w:hint="eastAsia" w:ascii="宋体" w:hAnsi="宋体" w:eastAsia="宋体" w:cs="宋体"/>
                <w:color w:val="000000" w:themeColor="text1"/>
                <w:szCs w:val="21"/>
                <w:highlight w:val="none"/>
                <w14:textFill>
                  <w14:solidFill>
                    <w14:schemeClr w14:val="tx1"/>
                  </w14:solidFill>
                </w14:textFill>
              </w:rPr>
              <w:t>污泥脱水减量化处理服务单项合同业绩</w:t>
            </w:r>
            <w:r>
              <w:rPr>
                <w:rFonts w:hint="eastAsia" w:ascii="宋体" w:hAnsi="宋体" w:eastAsia="宋体" w:cs="宋体"/>
                <w:color w:val="000000" w:themeColor="text1"/>
                <w:szCs w:val="21"/>
                <w:highlight w:val="none"/>
                <w:lang w:val="zh-CN"/>
                <w14:textFill>
                  <w14:solidFill>
                    <w14:schemeClr w14:val="tx1"/>
                  </w14:solidFill>
                </w14:textFill>
              </w:rPr>
              <w:t>为无明确</w:t>
            </w:r>
            <w:r>
              <w:rPr>
                <w:rFonts w:hint="eastAsia" w:ascii="宋体" w:hAnsi="宋体" w:eastAsia="宋体" w:cs="宋体"/>
                <w:color w:val="000000" w:themeColor="text1"/>
                <w:szCs w:val="21"/>
                <w:highlight w:val="none"/>
                <w14:textFill>
                  <w14:solidFill>
                    <w14:schemeClr w14:val="tx1"/>
                  </w14:solidFill>
                </w14:textFill>
              </w:rPr>
              <w:t>污泥处理规模，</w:t>
            </w:r>
            <w:r>
              <w:rPr>
                <w:rFonts w:hint="eastAsia" w:ascii="宋体" w:hAnsi="宋体" w:eastAsia="宋体" w:cs="宋体"/>
                <w:color w:val="000000" w:themeColor="text1"/>
                <w:szCs w:val="21"/>
                <w:highlight w:val="none"/>
                <w:lang w:val="zh-CN"/>
                <w14:textFill>
                  <w14:solidFill>
                    <w14:schemeClr w14:val="tx1"/>
                  </w14:solidFill>
                </w14:textFill>
              </w:rPr>
              <w:t>必须同时提供合同期限内</w:t>
            </w:r>
            <w:r>
              <w:rPr>
                <w:rFonts w:hint="eastAsia" w:ascii="宋体" w:hAnsi="宋体" w:eastAsia="宋体" w:cs="宋体"/>
                <w:color w:val="000000" w:themeColor="text1"/>
                <w:szCs w:val="21"/>
                <w:highlight w:val="none"/>
                <w:lang w:val="zh-CN" w:eastAsia="zh-CN"/>
                <w14:textFill>
                  <w14:solidFill>
                    <w14:schemeClr w14:val="tx1"/>
                  </w14:solidFill>
                </w14:textFill>
              </w:rPr>
              <w:t>单个月份</w:t>
            </w:r>
            <w:r>
              <w:rPr>
                <w:rFonts w:hint="eastAsia" w:ascii="宋体" w:hAnsi="宋体" w:eastAsia="宋体" w:cs="宋体"/>
                <w:color w:val="000000" w:themeColor="text1"/>
                <w:szCs w:val="21"/>
                <w:highlight w:val="none"/>
                <w:lang w:val="zh-CN"/>
                <w14:textFill>
                  <w14:solidFill>
                    <w14:schemeClr w14:val="tx1"/>
                  </w14:solidFill>
                </w14:textFill>
              </w:rPr>
              <w:t>已</w:t>
            </w:r>
            <w:r>
              <w:rPr>
                <w:rFonts w:hint="eastAsia" w:ascii="宋体" w:hAnsi="宋体" w:eastAsia="宋体" w:cs="宋体"/>
                <w:color w:val="000000" w:themeColor="text1"/>
                <w:szCs w:val="21"/>
                <w:highlight w:val="none"/>
                <w:lang w:val="zh-CN" w:eastAsia="zh-CN"/>
                <w14:textFill>
                  <w14:solidFill>
                    <w14:schemeClr w14:val="tx1"/>
                  </w14:solidFill>
                </w14:textFill>
              </w:rPr>
              <w:t>处理</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lang w:val="zh-CN" w:eastAsia="zh-CN"/>
                <w14:textFill>
                  <w14:solidFill>
                    <w14:schemeClr w14:val="tx1"/>
                  </w14:solidFill>
                </w14:textFill>
              </w:rPr>
              <w:t>生活污水处理厂污泥处理量</w:t>
            </w:r>
            <w:r>
              <w:rPr>
                <w:rFonts w:hint="eastAsia" w:ascii="宋体" w:hAnsi="宋体" w:eastAsia="宋体" w:cs="宋体"/>
                <w:color w:val="000000" w:themeColor="text1"/>
                <w:szCs w:val="21"/>
                <w:highlight w:val="none"/>
                <w:lang w:val="zh-CN"/>
                <w14:textFill>
                  <w14:solidFill>
                    <w14:schemeClr w14:val="tx1"/>
                  </w14:solidFill>
                </w14:textFill>
              </w:rPr>
              <w:t>统计表和</w:t>
            </w:r>
            <w:r>
              <w:rPr>
                <w:rFonts w:hint="eastAsia" w:ascii="宋体" w:hAnsi="宋体" w:eastAsia="宋体" w:cs="宋体"/>
                <w:color w:val="000000" w:themeColor="text1"/>
                <w:szCs w:val="21"/>
                <w:highlight w:val="none"/>
                <w:lang w:val="zh-CN" w:eastAsia="zh-CN"/>
                <w14:textFill>
                  <w14:solidFill>
                    <w14:schemeClr w14:val="tx1"/>
                  </w14:solidFill>
                </w14:textFill>
              </w:rPr>
              <w:t>污泥转运联单</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eastAsia="zh-CN"/>
                <w14:textFill>
                  <w14:solidFill>
                    <w14:schemeClr w14:val="tx1"/>
                  </w14:solidFill>
                </w14:textFill>
              </w:rPr>
              <w:t>无转运联单的，提供服务发票</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color w:val="000000" w:themeColor="text1"/>
                <w:szCs w:val="21"/>
                <w:highlight w:val="none"/>
                <w:lang w:val="zh-CN" w:eastAsia="zh-CN"/>
                <w14:textFill>
                  <w14:solidFill>
                    <w14:schemeClr w14:val="tx1"/>
                  </w14:solidFill>
                </w14:textFill>
              </w:rPr>
              <w:t>及折算处理量数据或污泥产生单位盖章的证明文件</w:t>
            </w:r>
            <w:r>
              <w:rPr>
                <w:rFonts w:hint="eastAsia" w:ascii="宋体" w:hAnsi="宋体" w:eastAsia="宋体" w:cs="宋体"/>
                <w:b/>
                <w:color w:val="000000" w:themeColor="text1"/>
                <w:szCs w:val="21"/>
                <w:highlight w:val="none"/>
                <w14:textFill>
                  <w14:solidFill>
                    <w14:schemeClr w14:val="tx1"/>
                  </w14:solidFill>
                </w14:textFill>
              </w:rPr>
              <w:t>扫描件</w:t>
            </w:r>
            <w:r>
              <w:rPr>
                <w:rFonts w:hint="eastAsia" w:ascii="宋体" w:hAnsi="宋体" w:eastAsia="宋体" w:cs="宋体"/>
                <w:color w:val="000000" w:themeColor="text1"/>
                <w:szCs w:val="21"/>
                <w:highlight w:val="none"/>
                <w:lang w:val="zh-CN" w:eastAsia="zh-CN"/>
                <w14:textFill>
                  <w14:solidFill>
                    <w14:schemeClr w14:val="tx1"/>
                  </w14:solidFill>
                </w14:textFill>
              </w:rPr>
              <w:t>替代</w:t>
            </w:r>
            <w:r>
              <w:rPr>
                <w:rFonts w:hint="eastAsia" w:ascii="宋体" w:hAnsi="宋体" w:eastAsia="宋体" w:cs="宋体"/>
                <w:color w:val="000000" w:themeColor="text1"/>
                <w:szCs w:val="21"/>
                <w:highlight w:val="none"/>
                <w:lang w:val="zh-CN"/>
                <w14:textFill>
                  <w14:solidFill>
                    <w14:schemeClr w14:val="tx1"/>
                  </w14:solidFill>
                </w14:textFill>
              </w:rPr>
              <w:t>）以证明</w:t>
            </w:r>
            <w:r>
              <w:rPr>
                <w:rFonts w:hint="eastAsia" w:ascii="宋体" w:hAnsi="宋体" w:eastAsia="宋体" w:cs="宋体"/>
                <w:color w:val="000000" w:themeColor="text1"/>
                <w:szCs w:val="21"/>
                <w:highlight w:val="none"/>
                <w:lang w:val="zh-CN" w:eastAsia="zh-CN"/>
                <w14:textFill>
                  <w14:solidFill>
                    <w14:schemeClr w14:val="tx1"/>
                  </w14:solidFill>
                </w14:textFill>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000000" w:themeColor="text1"/>
                <w:szCs w:val="21"/>
                <w:highlight w:val="none"/>
                <w:lang w:val="zh-CN"/>
                <w14:textFill>
                  <w14:solidFill>
                    <w14:schemeClr w14:val="tx1"/>
                  </w14:solidFill>
                </w14:textFill>
              </w:rPr>
              <w:t>。</w:t>
            </w:r>
          </w:p>
          <w:p w14:paraId="581D19CF">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color w:val="000000" w:themeColor="text1"/>
                <w:szCs w:val="21"/>
                <w:highlight w:val="none"/>
                <w:lang w:val="zh-CN" w:eastAsia="zh-CN"/>
                <w14:textFill>
                  <w14:solidFill>
                    <w14:schemeClr w14:val="tx1"/>
                  </w14:solidFill>
                </w14:textFill>
              </w:rPr>
              <w:t>的污泥</w:t>
            </w:r>
            <w:r>
              <w:rPr>
                <w:rFonts w:hint="eastAsia" w:ascii="宋体" w:hAnsi="宋体" w:eastAsia="宋体" w:cs="宋体"/>
                <w:color w:val="000000" w:themeColor="text1"/>
                <w:szCs w:val="21"/>
                <w:highlight w:val="none"/>
                <w:lang w:val="zh-CN"/>
                <w14:textFill>
                  <w14:solidFill>
                    <w14:schemeClr w14:val="tx1"/>
                  </w14:solidFill>
                </w14:textFill>
              </w:rPr>
              <w:t>处理规模/污泥减量设备操作技术人员数量的累加值计算得分。</w:t>
            </w:r>
          </w:p>
          <w:p w14:paraId="7923CE88">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）污泥脱水减量配合服务单项合同业绩的服务内容若为以劳务派遣或劳务外包的方式提供污泥脱水减量化服务人员的，</w:t>
            </w:r>
            <w:r>
              <w:rPr>
                <w:rFonts w:hint="eastAsia" w:ascii="宋体" w:hAnsi="宋体" w:eastAsia="宋体" w:cs="宋体"/>
                <w:color w:val="000000" w:themeColor="text1"/>
                <w:szCs w:val="21"/>
                <w:highlight w:val="none"/>
                <w:lang w:val="zh-CN" w:eastAsia="zh-CN"/>
                <w14:textFill>
                  <w14:solidFill>
                    <w14:schemeClr w14:val="tx1"/>
                  </w14:solidFill>
                </w14:textFill>
              </w:rPr>
              <w:t>服务内容</w:t>
            </w:r>
            <w:r>
              <w:rPr>
                <w:rFonts w:hint="eastAsia" w:ascii="宋体" w:hAnsi="宋体" w:eastAsia="宋体" w:cs="宋体"/>
                <w:color w:val="000000" w:themeColor="text1"/>
                <w:szCs w:val="21"/>
                <w:highlight w:val="none"/>
                <w:lang w:val="zh-CN"/>
                <w14:textFill>
                  <w14:solidFill>
                    <w14:schemeClr w14:val="tx1"/>
                  </w14:solidFill>
                </w14:textFill>
              </w:rPr>
              <w:t>必须</w:t>
            </w:r>
            <w:r>
              <w:rPr>
                <w:rFonts w:hint="eastAsia" w:ascii="宋体" w:hAnsi="宋体" w:eastAsia="宋体" w:cs="宋体"/>
                <w:color w:val="000000" w:themeColor="text1"/>
                <w:szCs w:val="21"/>
                <w:highlight w:val="none"/>
                <w:lang w:val="zh-CN" w:eastAsia="zh-CN"/>
                <w14:textFill>
                  <w14:solidFill>
                    <w14:schemeClr w14:val="tx1"/>
                  </w14:solidFill>
                </w14:textFill>
              </w:rPr>
              <w:t>包含提供从事污泥脱水压滤设备的操作技术人员</w:t>
            </w:r>
            <w:r>
              <w:rPr>
                <w:rFonts w:hint="eastAsia" w:ascii="宋体" w:hAnsi="宋体" w:eastAsia="宋体" w:cs="宋体"/>
                <w:color w:val="000000" w:themeColor="text1"/>
                <w:szCs w:val="21"/>
                <w:highlight w:val="none"/>
                <w:lang w:val="zh-CN"/>
                <w14:textFill>
                  <w14:solidFill>
                    <w14:schemeClr w14:val="tx1"/>
                  </w14:solidFill>
                </w14:textFill>
              </w:rPr>
              <w:t>，否则不得分</w:t>
            </w:r>
            <w:r>
              <w:rPr>
                <w:rFonts w:hint="eastAsia" w:ascii="宋体" w:hAnsi="宋体" w:eastAsia="宋体" w:cs="宋体"/>
                <w:color w:val="000000" w:themeColor="text1"/>
                <w:szCs w:val="21"/>
                <w:highlight w:val="none"/>
                <w14:textFill>
                  <w14:solidFill>
                    <w14:schemeClr w14:val="tx1"/>
                  </w14:solidFill>
                </w14:textFill>
              </w:rPr>
              <w:t>。</w:t>
            </w:r>
          </w:p>
          <w:p w14:paraId="60704FD4">
            <w:pPr>
              <w:spacing w:line="360" w:lineRule="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（7）若单项合同业绩中既有</w:t>
            </w:r>
            <w:r>
              <w:rPr>
                <w:rFonts w:hint="eastAsia" w:ascii="宋体" w:hAnsi="宋体" w:eastAsia="宋体" w:cs="宋体"/>
                <w:color w:val="000000" w:themeColor="text1"/>
                <w:szCs w:val="21"/>
                <w:highlight w:val="none"/>
                <w:lang w:val="zh-CN"/>
                <w14:textFill>
                  <w14:solidFill>
                    <w14:schemeClr w14:val="tx1"/>
                  </w14:solidFill>
                </w14:textFill>
              </w:rPr>
              <w:t>污泥处理规模</w:t>
            </w:r>
            <w:r>
              <w:rPr>
                <w:rFonts w:hint="eastAsia" w:ascii="宋体" w:hAnsi="宋体" w:eastAsia="宋体" w:cs="宋体"/>
                <w:color w:val="000000" w:themeColor="text1"/>
                <w:szCs w:val="21"/>
                <w:highlight w:val="none"/>
                <w:lang w:val="en-US" w:eastAsia="zh-CN"/>
                <w14:textFill>
                  <w14:solidFill>
                    <w14:schemeClr w14:val="tx1"/>
                  </w14:solidFill>
                </w14:textFill>
              </w:rPr>
              <w:t>又有</w:t>
            </w:r>
            <w:r>
              <w:rPr>
                <w:rFonts w:hint="eastAsia" w:ascii="宋体" w:hAnsi="宋体" w:eastAsia="宋体" w:cs="宋体"/>
                <w:color w:val="000000" w:themeColor="text1"/>
                <w:szCs w:val="21"/>
                <w:highlight w:val="none"/>
                <w:lang w:val="zh-CN"/>
                <w14:textFill>
                  <w14:solidFill>
                    <w14:schemeClr w14:val="tx1"/>
                  </w14:solidFill>
                </w14:textFill>
              </w:rPr>
              <w:t>污泥减量设备操作技术人员数量</w:t>
            </w:r>
            <w:r>
              <w:rPr>
                <w:rFonts w:hint="eastAsia" w:ascii="宋体" w:hAnsi="宋体" w:eastAsia="宋体" w:cs="宋体"/>
                <w:color w:val="000000" w:themeColor="text1"/>
                <w:szCs w:val="21"/>
                <w:highlight w:val="none"/>
                <w:lang w:val="en-US" w:eastAsia="zh-CN"/>
                <w14:textFill>
                  <w14:solidFill>
                    <w14:schemeClr w14:val="tx1"/>
                  </w14:solidFill>
                </w14:textFill>
              </w:rPr>
              <w:t>的，不重复得分，按较高得分标准计分。</w:t>
            </w:r>
          </w:p>
          <w:p w14:paraId="0D353B0F">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单项合同业绩的</w:t>
            </w:r>
            <w:r>
              <w:rPr>
                <w:rFonts w:hint="eastAsia" w:ascii="宋体" w:hAnsi="宋体" w:eastAsia="宋体" w:cs="宋体"/>
                <w:color w:val="000000" w:themeColor="text1"/>
                <w:szCs w:val="21"/>
                <w:highlight w:val="none"/>
                <w:lang w:val="zh-CN"/>
                <w14:textFill>
                  <w14:solidFill>
                    <w14:schemeClr w14:val="tx1"/>
                  </w14:solidFill>
                </w14:textFill>
              </w:rPr>
              <w:t>合同服务期限</w:t>
            </w:r>
            <w:r>
              <w:rPr>
                <w:rFonts w:hint="eastAsia" w:ascii="宋体" w:hAnsi="宋体" w:eastAsia="宋体" w:cs="宋体"/>
                <w:color w:val="000000" w:themeColor="text1"/>
                <w:szCs w:val="21"/>
                <w:highlight w:val="none"/>
                <w:lang w:val="zh-CN" w:eastAsia="zh-CN"/>
                <w14:textFill>
                  <w14:solidFill>
                    <w14:schemeClr w14:val="tx1"/>
                  </w14:solidFill>
                </w14:textFill>
              </w:rPr>
              <w:t>要求大于或等于1年，小于1年的业绩合同在评标时不予考虑</w:t>
            </w:r>
            <w:r>
              <w:rPr>
                <w:rFonts w:hint="eastAsia" w:ascii="宋体" w:hAnsi="宋体" w:eastAsia="宋体" w:cs="宋体"/>
                <w:color w:val="000000" w:themeColor="text1"/>
                <w:szCs w:val="21"/>
                <w:highlight w:val="none"/>
                <w:lang w:val="zh-CN"/>
                <w14:textFill>
                  <w14:solidFill>
                    <w14:schemeClr w14:val="tx1"/>
                  </w14:solidFill>
                </w14:textFill>
              </w:rPr>
              <w:t>。</w:t>
            </w:r>
          </w:p>
          <w:p w14:paraId="474F5015">
            <w:pPr>
              <w:spacing w:line="360" w:lineRule="auto"/>
              <w:outlineLvl w:val="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未按上述要求提供证明材料的业绩，或所附材料无法证明填报项目属投标人完成的或不符合本项评分要求的业绩，在评标时将不予考虑。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B2FA30D">
            <w:pPr>
              <w:spacing w:line="360" w:lineRule="auto"/>
              <w:jc w:val="center"/>
              <w:outlineLvl w:val="9"/>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4分</w:t>
            </w:r>
          </w:p>
        </w:tc>
      </w:tr>
      <w:bookmarkEnd w:id="820"/>
    </w:tbl>
    <w:p w14:paraId="555588CD">
      <w:pPr>
        <w:autoSpaceDE w:val="0"/>
        <w:autoSpaceDN w:val="0"/>
        <w:adjustRightInd w:val="0"/>
        <w:ind w:right="-26" w:firstLine="480"/>
        <w:jc w:val="center"/>
        <w:rPr>
          <w:rFonts w:ascii="宋体" w:hAnsi="宋体" w:eastAsia="宋体" w:cs="宋体"/>
          <w:b/>
          <w:bCs/>
          <w:color w:val="000000" w:themeColor="text1"/>
          <w:kern w:val="0"/>
          <w:sz w:val="24"/>
          <w:szCs w:val="24"/>
          <w:highlight w:val="none"/>
          <w14:textFill>
            <w14:solidFill>
              <w14:schemeClr w14:val="tx1"/>
            </w14:solidFill>
          </w14:textFill>
        </w:rPr>
      </w:pPr>
    </w:p>
    <w:p w14:paraId="019313BF">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81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59"/>
        <w:gridCol w:w="7154"/>
        <w:gridCol w:w="846"/>
      </w:tblGrid>
      <w:tr w14:paraId="550E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423928A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821"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0E6997A3">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1D0E04C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4CA9CA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375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432F1F20">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47" w:type="pct"/>
            <w:tcBorders>
              <w:top w:val="single" w:color="auto" w:sz="4" w:space="0"/>
              <w:left w:val="single" w:color="auto" w:sz="4" w:space="0"/>
              <w:bottom w:val="single" w:color="auto" w:sz="4" w:space="0"/>
              <w:right w:val="single" w:color="auto" w:sz="4" w:space="0"/>
            </w:tcBorders>
            <w:vAlign w:val="center"/>
          </w:tcPr>
          <w:p w14:paraId="3401BE75">
            <w:pPr>
              <w:spacing w:line="36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28DBF903">
            <w:pPr>
              <w:spacing w:line="360" w:lineRule="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41BB3A1">
            <w:pPr>
              <w:spacing w:line="36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r>
      <w:tr w14:paraId="74E2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3B77C495">
            <w:pPr>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7" w:type="pct"/>
            <w:tcBorders>
              <w:top w:val="single" w:color="auto" w:sz="4" w:space="0"/>
              <w:left w:val="single" w:color="auto" w:sz="4" w:space="0"/>
              <w:bottom w:val="single" w:color="auto" w:sz="4" w:space="0"/>
              <w:right w:val="single" w:color="auto" w:sz="4" w:space="0"/>
            </w:tcBorders>
            <w:vAlign w:val="center"/>
          </w:tcPr>
          <w:p w14:paraId="4B405A4F">
            <w:pP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总体</w:t>
            </w:r>
            <w:r>
              <w:rPr>
                <w:rFonts w:hint="eastAsia" w:ascii="宋体" w:hAnsi="宋体" w:eastAsia="宋体" w:cs="宋体"/>
                <w:color w:val="000000" w:themeColor="text1"/>
                <w:szCs w:val="21"/>
                <w:highlight w:val="none"/>
                <w14:textFill>
                  <w14:solidFill>
                    <w14:schemeClr w14:val="tx1"/>
                  </w14:solidFill>
                </w14:textFill>
              </w:rPr>
              <w:t>服务方案</w:t>
            </w:r>
          </w:p>
        </w:tc>
        <w:tc>
          <w:tcPr>
            <w:tcW w:w="3695" w:type="pct"/>
            <w:tcBorders>
              <w:top w:val="single" w:color="auto" w:sz="4" w:space="0"/>
              <w:left w:val="single" w:color="auto" w:sz="4" w:space="0"/>
              <w:bottom w:val="single" w:color="auto" w:sz="4" w:space="0"/>
              <w:right w:val="single" w:color="auto" w:sz="4" w:space="0"/>
            </w:tcBorders>
            <w:vAlign w:val="top"/>
          </w:tcPr>
          <w:p w14:paraId="0E229454">
            <w:pPr>
              <w:spacing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根据投标人针对本项目拟定的</w:t>
            </w:r>
            <w:r>
              <w:rPr>
                <w:rFonts w:hint="eastAsia" w:ascii="宋体" w:hAnsi="宋体" w:eastAsia="宋体" w:cs="宋体"/>
                <w:color w:val="000000" w:themeColor="text1"/>
                <w:szCs w:val="21"/>
                <w:highlight w:val="none"/>
                <w:lang w:val="en-US" w:eastAsia="zh-CN"/>
                <w14:textFill>
                  <w14:solidFill>
                    <w14:schemeClr w14:val="tx1"/>
                  </w14:solidFill>
                </w14:textFill>
              </w:rPr>
              <w:t>总体</w:t>
            </w:r>
            <w:r>
              <w:rPr>
                <w:rFonts w:hint="eastAsia" w:ascii="宋体" w:hAnsi="宋体" w:eastAsia="宋体" w:cs="宋体"/>
                <w:color w:val="000000" w:themeColor="text1"/>
                <w:szCs w:val="21"/>
                <w:highlight w:val="none"/>
                <w14:textFill>
                  <w14:solidFill>
                    <w14:schemeClr w14:val="tx1"/>
                  </w14:solidFill>
                </w14:textFill>
              </w:rPr>
              <w:t>服务方案（包括针对本项目服务的组织实施方案、响应速度及保障措施、技术人员情况、人员污泥脱水设备操作经验、项目的管理方案、服务方案、人员培训方案）进行综合评审</w:t>
            </w:r>
            <w:r>
              <w:rPr>
                <w:rFonts w:hint="eastAsia" w:ascii="宋体" w:hAnsi="宋体" w:eastAsia="宋体" w:cs="宋体"/>
                <w:color w:val="000000" w:themeColor="text1"/>
                <w:szCs w:val="21"/>
                <w:highlight w:val="none"/>
                <w:lang w:eastAsia="zh-CN"/>
                <w14:textFill>
                  <w14:solidFill>
                    <w14:schemeClr w14:val="tx1"/>
                  </w14:solidFill>
                </w14:textFill>
              </w:rPr>
              <w:t>：</w:t>
            </w:r>
          </w:p>
          <w:p w14:paraId="243C3224">
            <w:pPr>
              <w:spacing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优：总体服务方案中已明确各项</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eastAsia="zh-CN"/>
                <w14:textFill>
                  <w14:solidFill>
                    <w14:schemeClr w14:val="tx1"/>
                  </w14:solidFill>
                </w14:textFill>
              </w:rPr>
              <w:t>的详细要求及具体措施，对需求、标准、要求、重点难点等把握清晰明了的，得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分；</w:t>
            </w:r>
          </w:p>
          <w:p w14:paraId="7D565592">
            <w:pPr>
              <w:spacing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良：总体服务方案中建立各个</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eastAsia="zh-CN"/>
                <w14:textFill>
                  <w14:solidFill>
                    <w14:schemeClr w14:val="tx1"/>
                  </w14:solidFill>
                </w14:textFill>
              </w:rPr>
              <w:t>规范，条理清晰，对需求、标准、要求、重点难点分析比较准确清晰的，得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分；</w:t>
            </w:r>
          </w:p>
          <w:p w14:paraId="7685063D">
            <w:pPr>
              <w:spacing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中：总体服务方案中提出的实施细则基本能满足采购需求，实施方案简单，具备基础流程的实施步骤的，得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分；</w:t>
            </w:r>
          </w:p>
          <w:p w14:paraId="5E337F26">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差：总体服务方案中提出的实施细则不能满足采购需求，实施方案不合理，不可行的，得</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分。</w:t>
            </w:r>
          </w:p>
        </w:tc>
        <w:tc>
          <w:tcPr>
            <w:tcW w:w="437" w:type="pct"/>
            <w:tcBorders>
              <w:top w:val="single" w:color="auto" w:sz="4" w:space="0"/>
              <w:left w:val="single" w:color="auto" w:sz="4" w:space="0"/>
              <w:bottom w:val="single" w:color="auto" w:sz="4" w:space="0"/>
              <w:right w:val="single" w:color="auto" w:sz="4" w:space="0"/>
            </w:tcBorders>
            <w:vAlign w:val="center"/>
          </w:tcPr>
          <w:p w14:paraId="77A09A2B">
            <w:pPr>
              <w:spacing w:line="360" w:lineRule="auto"/>
              <w:jc w:val="center"/>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分</w:t>
            </w:r>
          </w:p>
        </w:tc>
      </w:tr>
      <w:tr w14:paraId="74F7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4763E91B">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7" w:type="pct"/>
            <w:tcBorders>
              <w:top w:val="single" w:color="auto" w:sz="4" w:space="0"/>
              <w:left w:val="single" w:color="auto" w:sz="4" w:space="0"/>
              <w:bottom w:val="single" w:color="auto" w:sz="4" w:space="0"/>
              <w:right w:val="single" w:color="auto" w:sz="4" w:space="0"/>
            </w:tcBorders>
            <w:vAlign w:val="center"/>
          </w:tcPr>
          <w:p w14:paraId="206B1B25">
            <w:pPr>
              <w:spacing w:line="36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服务团队</w:t>
            </w:r>
            <w:r>
              <w:rPr>
                <w:rFonts w:hint="eastAsia" w:ascii="宋体" w:hAnsi="宋体" w:eastAsia="宋体" w:cs="宋体"/>
                <w:color w:val="000000" w:themeColor="text1"/>
                <w:szCs w:val="21"/>
                <w:highlight w:val="none"/>
                <w14:textFill>
                  <w14:solidFill>
                    <w14:schemeClr w14:val="tx1"/>
                  </w14:solidFill>
                </w14:textFill>
              </w:rPr>
              <w:t>情况</w:t>
            </w:r>
          </w:p>
        </w:tc>
        <w:tc>
          <w:tcPr>
            <w:tcW w:w="3695" w:type="pct"/>
            <w:tcBorders>
              <w:top w:val="single" w:color="auto" w:sz="4" w:space="0"/>
              <w:left w:val="single" w:color="auto" w:sz="4" w:space="0"/>
              <w:bottom w:val="single" w:color="auto" w:sz="4" w:space="0"/>
              <w:right w:val="single" w:color="auto" w:sz="4" w:space="0"/>
            </w:tcBorders>
            <w:vAlign w:val="top"/>
          </w:tcPr>
          <w:p w14:paraId="3374D304">
            <w:pPr>
              <w:spacing w:line="360" w:lineRule="auto"/>
              <w:outlineLvl w:val="9"/>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拟投入本项目的项目负责人（仅一人）</w:t>
            </w:r>
          </w:p>
          <w:p w14:paraId="39BE110C">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拟投入本项目的项目负责人自202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年1月1日起担任项目负责人负责过【50吨/天≤单项合同污泥处理规模（按含水率80%的湿泥计】或【</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人≤单项合同提供的污泥减量设备操作技术人员数量】的污泥脱水减量化处理服务项目业绩</w:t>
            </w:r>
            <w:r>
              <w:rPr>
                <w:rFonts w:hint="eastAsia" w:ascii="宋体" w:hAnsi="宋体" w:eastAsia="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污泥脱水减量配合服务</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业绩的，每提供一个得1分，本小项满分</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14:paraId="78120F05">
            <w:pPr>
              <w:spacing w:line="360" w:lineRule="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技术服务团队</w:t>
            </w:r>
            <w:r>
              <w:rPr>
                <w:rFonts w:hint="eastAsia" w:ascii="宋体" w:hAnsi="宋体" w:eastAsia="宋体" w:cs="宋体"/>
                <w:color w:val="000000" w:themeColor="text1"/>
                <w:szCs w:val="21"/>
                <w:highlight w:val="none"/>
                <w14:textFill>
                  <w14:solidFill>
                    <w14:schemeClr w14:val="tx1"/>
                  </w14:solidFill>
                </w14:textFill>
              </w:rPr>
              <w:t>（不含</w:t>
            </w:r>
            <w:r>
              <w:rPr>
                <w:rFonts w:hint="eastAsia" w:ascii="宋体" w:hAnsi="宋体" w:eastAsia="宋体" w:cs="宋体"/>
                <w:color w:val="000000" w:themeColor="text1"/>
                <w:szCs w:val="21"/>
                <w:highlight w:val="none"/>
                <w:lang w:val="en-US" w:eastAsia="zh-CN"/>
                <w14:textFill>
                  <w14:solidFill>
                    <w14:schemeClr w14:val="tx1"/>
                  </w14:solidFill>
                </w14:textFill>
              </w:rPr>
              <w:t>投入本</w:t>
            </w:r>
            <w:r>
              <w:rPr>
                <w:rFonts w:hint="eastAsia" w:ascii="宋体" w:hAnsi="宋体" w:eastAsia="宋体" w:cs="宋体"/>
                <w:color w:val="000000" w:themeColor="text1"/>
                <w:szCs w:val="21"/>
                <w:highlight w:val="none"/>
                <w14:textFill>
                  <w14:solidFill>
                    <w14:schemeClr w14:val="tx1"/>
                  </w14:solidFill>
                </w14:textFill>
              </w:rPr>
              <w:t>项目</w:t>
            </w:r>
            <w:r>
              <w:rPr>
                <w:rFonts w:hint="eastAsia" w:ascii="宋体" w:hAnsi="宋体" w:eastAsia="宋体" w:cs="宋体"/>
                <w:color w:val="000000" w:themeColor="text1"/>
                <w:szCs w:val="21"/>
                <w:highlight w:val="none"/>
                <w:lang w:val="en-US" w:eastAsia="zh-CN"/>
                <w14:textFill>
                  <w14:solidFill>
                    <w14:schemeClr w14:val="tx1"/>
                  </w14:solidFill>
                </w14:textFill>
              </w:rPr>
              <w:t>的项目</w:t>
            </w:r>
            <w:r>
              <w:rPr>
                <w:rFonts w:hint="eastAsia" w:ascii="宋体" w:hAnsi="宋体" w:eastAsia="宋体" w:cs="宋体"/>
                <w:color w:val="000000" w:themeColor="text1"/>
                <w:szCs w:val="21"/>
                <w:highlight w:val="none"/>
                <w14:textFill>
                  <w14:solidFill>
                    <w14:schemeClr w14:val="tx1"/>
                  </w14:solidFill>
                </w14:textFill>
              </w:rPr>
              <w:t>负责人）</w:t>
            </w:r>
          </w:p>
          <w:p w14:paraId="2061F1E4">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服务团队其他技术管理</w:t>
            </w:r>
            <w:r>
              <w:rPr>
                <w:rFonts w:hint="eastAsia" w:ascii="宋体" w:hAnsi="宋体" w:eastAsia="宋体" w:cs="宋体"/>
                <w:color w:val="000000" w:themeColor="text1"/>
                <w:szCs w:val="21"/>
                <w:highlight w:val="none"/>
                <w14:textFill>
                  <w14:solidFill>
                    <w14:schemeClr w14:val="tx1"/>
                  </w14:solidFill>
                </w14:textFill>
              </w:rPr>
              <w:t>人员持有</w:t>
            </w:r>
            <w:r>
              <w:rPr>
                <w:rFonts w:hint="eastAsia" w:ascii="宋体" w:hAnsi="宋体" w:eastAsia="宋体" w:cs="宋体"/>
                <w:color w:val="000000" w:themeColor="text1"/>
                <w:szCs w:val="21"/>
                <w:highlight w:val="none"/>
                <w:lang w:val="en-US" w:eastAsia="zh-CN"/>
                <w14:textFill>
                  <w14:solidFill>
                    <w14:schemeClr w14:val="tx1"/>
                  </w14:solidFill>
                </w14:textFill>
              </w:rPr>
              <w:t>机械/电气/自动化/机电/环保/环境工程/给水排水/安全类</w:t>
            </w:r>
            <w:r>
              <w:rPr>
                <w:rFonts w:hint="eastAsia" w:ascii="宋体" w:hAnsi="宋体" w:eastAsia="宋体" w:cs="宋体"/>
                <w:color w:val="000000" w:themeColor="text1"/>
                <w:szCs w:val="21"/>
                <w:highlight w:val="none"/>
                <w14:textFill>
                  <w14:solidFill>
                    <w14:schemeClr w14:val="tx1"/>
                  </w14:solidFill>
                </w14:textFill>
              </w:rPr>
              <w:t>中级</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或以上</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职称证书</w:t>
            </w:r>
            <w:r>
              <w:rPr>
                <w:rFonts w:hint="eastAsia" w:ascii="宋体" w:hAnsi="宋体" w:eastAsia="宋体" w:cs="宋体"/>
                <w:color w:val="000000" w:themeColor="text1"/>
                <w:szCs w:val="21"/>
                <w:highlight w:val="none"/>
                <w:lang w:val="en-US" w:eastAsia="zh-CN"/>
                <w14:textFill>
                  <w14:solidFill>
                    <w14:schemeClr w14:val="tx1"/>
                  </w14:solidFill>
                </w14:textFill>
              </w:rPr>
              <w:t>或注册工程师证书</w:t>
            </w:r>
            <w:r>
              <w:rPr>
                <w:rFonts w:hint="eastAsia" w:ascii="宋体" w:hAnsi="宋体" w:eastAsia="宋体" w:cs="宋体"/>
                <w:color w:val="000000" w:themeColor="text1"/>
                <w:szCs w:val="21"/>
                <w:highlight w:val="none"/>
                <w14:textFill>
                  <w14:solidFill>
                    <w14:schemeClr w14:val="tx1"/>
                  </w14:solidFill>
                </w14:textFill>
              </w:rPr>
              <w:t>，每人得1分，本小项满分</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w:t>
            </w:r>
          </w:p>
          <w:p w14:paraId="3123FEC4">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备注：</w:t>
            </w:r>
          </w:p>
          <w:p w14:paraId="51500B06">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）需提供上述人员的身份证、劳动合同的</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14:textFill>
                  <w14:solidFill>
                    <w14:schemeClr w14:val="tx1"/>
                  </w14:solidFill>
                </w14:textFill>
              </w:rPr>
              <w:t>、资格证书[学历证书/职称证/</w:t>
            </w:r>
            <w:r>
              <w:rPr>
                <w:rFonts w:hint="eastAsia" w:ascii="宋体" w:hAnsi="宋体" w:eastAsia="宋体" w:cs="宋体"/>
                <w:b/>
                <w:bCs/>
                <w:color w:val="000000" w:themeColor="text1"/>
                <w:szCs w:val="21"/>
                <w:highlight w:val="none"/>
                <w:lang w:val="en-US" w:eastAsia="zh-CN"/>
                <w14:textFill>
                  <w14:solidFill>
                    <w14:schemeClr w14:val="tx1"/>
                  </w14:solidFill>
                </w14:textFill>
              </w:rPr>
              <w:t>注册</w:t>
            </w:r>
            <w:r>
              <w:rPr>
                <w:rFonts w:hint="eastAsia" w:ascii="宋体" w:hAnsi="宋体" w:eastAsia="宋体" w:cs="宋体"/>
                <w:b/>
                <w:bCs/>
                <w:color w:val="000000" w:themeColor="text1"/>
                <w:szCs w:val="21"/>
                <w:highlight w:val="none"/>
                <w:lang w:val="zh-CN"/>
                <w14:textFill>
                  <w14:solidFill>
                    <w14:schemeClr w14:val="tx1"/>
                  </w14:solidFill>
                </w14:textFill>
              </w:rPr>
              <w:t>资格</w:t>
            </w:r>
            <w:r>
              <w:rPr>
                <w:rFonts w:hint="eastAsia" w:ascii="宋体" w:hAnsi="宋体" w:eastAsia="宋体" w:cs="宋体"/>
                <w:b/>
                <w:bCs/>
                <w:color w:val="000000" w:themeColor="text1"/>
                <w:szCs w:val="21"/>
                <w:highlight w:val="none"/>
                <w:lang w:val="en-US" w:eastAsia="zh-CN"/>
                <w14:textFill>
                  <w14:solidFill>
                    <w14:schemeClr w14:val="tx1"/>
                  </w14:solidFill>
                </w14:textFill>
              </w:rPr>
              <w:t>证书</w:t>
            </w:r>
            <w:r>
              <w:rPr>
                <w:rFonts w:hint="eastAsia" w:ascii="宋体" w:hAnsi="宋体" w:eastAsia="宋体" w:cs="宋体"/>
                <w:b/>
                <w:bCs/>
                <w:color w:val="000000" w:themeColor="text1"/>
                <w:szCs w:val="21"/>
                <w:highlight w:val="none"/>
                <w:lang w:val="zh-CN"/>
                <w14:textFill>
                  <w14:solidFill>
                    <w14:schemeClr w14:val="tx1"/>
                  </w14:solidFill>
                </w14:textFill>
              </w:rPr>
              <w:t>]以及人力资源和社会保障部门（或税务部门）出具的2025年</w:t>
            </w:r>
            <w:r>
              <w:rPr>
                <w:rFonts w:hint="eastAsia" w:ascii="宋体" w:hAnsi="宋体" w:eastAsia="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zh-CN"/>
                <w14:textFill>
                  <w14:solidFill>
                    <w14:schemeClr w14:val="tx1"/>
                  </w14:solidFill>
                </w14:textFill>
              </w:rPr>
              <w:t>月至2025年</w:t>
            </w:r>
            <w:r>
              <w:rPr>
                <w:rFonts w:hint="eastAsia" w:ascii="宋体" w:hAnsi="宋体" w:eastAsia="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lang w:val="zh-CN"/>
                <w14:textFill>
                  <w14:solidFill>
                    <w14:schemeClr w14:val="tx1"/>
                  </w14:solidFill>
                </w14:textFill>
              </w:rPr>
              <w:t>月投标人为其缴纳的社保证明</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14:textFill>
                  <w14:solidFill>
                    <w14:schemeClr w14:val="tx1"/>
                  </w14:solidFill>
                </w14:textFill>
              </w:rPr>
              <w:t>，身份证、劳动合同、资格证书[学历证书/职称证/</w:t>
            </w:r>
            <w:r>
              <w:rPr>
                <w:rFonts w:hint="eastAsia" w:ascii="宋体" w:hAnsi="宋体" w:eastAsia="宋体" w:cs="宋体"/>
                <w:b/>
                <w:bCs/>
                <w:color w:val="000000" w:themeColor="text1"/>
                <w:szCs w:val="21"/>
                <w:highlight w:val="none"/>
                <w:lang w:val="en-US" w:eastAsia="zh-CN"/>
                <w14:textFill>
                  <w14:solidFill>
                    <w14:schemeClr w14:val="tx1"/>
                  </w14:solidFill>
                </w14:textFill>
              </w:rPr>
              <w:t>注册资格</w:t>
            </w:r>
            <w:r>
              <w:rPr>
                <w:rFonts w:hint="eastAsia" w:ascii="宋体" w:hAnsi="宋体" w:eastAsia="宋体" w:cs="宋体"/>
                <w:b/>
                <w:bCs/>
                <w:color w:val="000000" w:themeColor="text1"/>
                <w:szCs w:val="21"/>
                <w:highlight w:val="none"/>
                <w:lang w:val="zh-CN"/>
                <w14:textFill>
                  <w14:solidFill>
                    <w14:schemeClr w14:val="tx1"/>
                  </w14:solidFill>
                </w14:textFill>
              </w:rPr>
              <w:t>证书]、社保证明的人员名称需一致时才统计得分，不提供或人员名称不一致不得分。</w:t>
            </w:r>
          </w:p>
          <w:p w14:paraId="02D183B5">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lang w:val="zh-CN"/>
                <w14:textFill>
                  <w14:solidFill>
                    <w14:schemeClr w14:val="tx1"/>
                  </w14:solidFill>
                </w14:textFill>
              </w:rPr>
              <w:t>）项目负责人业绩和企业业绩可重复计分。</w:t>
            </w:r>
            <w:r>
              <w:rPr>
                <w:rFonts w:hint="eastAsia" w:ascii="宋体" w:hAnsi="宋体" w:eastAsia="宋体" w:cs="宋体"/>
                <w:b/>
                <w:bCs/>
                <w:color w:val="000000" w:themeColor="text1"/>
                <w:szCs w:val="21"/>
                <w:highlight w:val="none"/>
                <w14:textFill>
                  <w14:solidFill>
                    <w14:schemeClr w14:val="tx1"/>
                  </w14:solidFill>
                </w14:textFill>
              </w:rPr>
              <w:t>项目负责人</w:t>
            </w:r>
            <w:r>
              <w:rPr>
                <w:rFonts w:hint="eastAsia" w:ascii="宋体" w:hAnsi="宋体" w:eastAsia="宋体" w:cs="宋体"/>
                <w:b/>
                <w:bCs/>
                <w:color w:val="000000" w:themeColor="text1"/>
                <w:szCs w:val="21"/>
                <w:highlight w:val="none"/>
                <w:lang w:val="zh-CN"/>
                <w14:textFill>
                  <w14:solidFill>
                    <w14:schemeClr w14:val="tx1"/>
                  </w14:solidFill>
                </w14:textFill>
              </w:rPr>
              <w:t>业绩</w:t>
            </w:r>
            <w:r>
              <w:rPr>
                <w:rFonts w:hint="eastAsia" w:ascii="宋体" w:hAnsi="宋体" w:eastAsia="宋体" w:cs="宋体"/>
                <w:b/>
                <w:bCs/>
                <w:color w:val="000000" w:themeColor="text1"/>
                <w:szCs w:val="21"/>
                <w:highlight w:val="none"/>
                <w14:textFill>
                  <w14:solidFill>
                    <w14:schemeClr w14:val="tx1"/>
                  </w14:solidFill>
                </w14:textFill>
              </w:rPr>
              <w:t>证明材料需提供</w:t>
            </w:r>
            <w:r>
              <w:rPr>
                <w:rFonts w:hint="eastAsia" w:ascii="宋体" w:hAnsi="宋体" w:eastAsia="宋体" w:cs="宋体"/>
                <w:b/>
                <w:bCs/>
                <w:color w:val="000000" w:themeColor="text1"/>
                <w:szCs w:val="21"/>
                <w:highlight w:val="none"/>
                <w:lang w:val="zh-CN"/>
                <w14:textFill>
                  <w14:solidFill>
                    <w14:schemeClr w14:val="tx1"/>
                  </w14:solidFill>
                </w14:textFill>
              </w:rPr>
              <w:t>合同</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14:textFill>
                  <w14:solidFill>
                    <w14:schemeClr w14:val="tx1"/>
                  </w14:solidFill>
                </w14:textFill>
              </w:rPr>
              <w:t>。合同</w:t>
            </w:r>
            <w:r>
              <w:rPr>
                <w:rFonts w:hint="eastAsia" w:ascii="宋体" w:hAnsi="宋体" w:eastAsia="宋体" w:cs="宋体"/>
                <w:b/>
                <w:bCs/>
                <w:color w:val="000000" w:themeColor="text1"/>
                <w:szCs w:val="21"/>
                <w:highlight w:val="none"/>
                <w14:textFill>
                  <w14:solidFill>
                    <w14:schemeClr w14:val="tx1"/>
                  </w14:solidFill>
                </w14:textFill>
              </w:rPr>
              <w:t>中应体现项目相关评审信息和项目负责人</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合同签订日期、服务内容、污泥处理规模/污泥减量设备操作技术人员数量、合同期限</w:t>
            </w:r>
            <w:r>
              <w:rPr>
                <w:rFonts w:hint="eastAsia" w:ascii="宋体" w:hAnsi="宋体" w:eastAsia="宋体" w:cs="宋体"/>
                <w:b/>
                <w:bCs/>
                <w:color w:val="000000" w:themeColor="text1"/>
                <w:szCs w:val="21"/>
                <w:highlight w:val="none"/>
                <w:lang w:val="zh-CN"/>
                <w14:textFill>
                  <w14:solidFill>
                    <w14:schemeClr w14:val="tx1"/>
                  </w14:solidFill>
                </w14:textFill>
              </w:rPr>
              <w:t>），否则，需同时提供服务购买方出具的书面补充情况说明文件</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前述扫描件能显示服务购买方公章</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否则不得分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6079CFA5">
            <w:pPr>
              <w:spacing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）污泥脱水减量化处理服务单项合同业绩的服务内容须包含污泥脱水减量化处理服务，如单项合同业绩的服务内容为污泥的全流程处理处置，必须</w:t>
            </w:r>
            <w:r>
              <w:rPr>
                <w:rFonts w:hint="eastAsia" w:ascii="宋体" w:hAnsi="宋体" w:eastAsia="宋体" w:cs="宋体"/>
                <w:b/>
                <w:bCs/>
                <w:color w:val="000000" w:themeColor="text1"/>
                <w:szCs w:val="21"/>
                <w:highlight w:val="none"/>
                <w:lang w:val="zh-CN" w:eastAsia="zh-CN"/>
                <w14:textFill>
                  <w14:solidFill>
                    <w14:schemeClr w14:val="tx1"/>
                  </w14:solidFill>
                </w14:textFill>
              </w:rPr>
              <w:t>包含</w:t>
            </w:r>
            <w:r>
              <w:rPr>
                <w:rFonts w:hint="eastAsia" w:ascii="宋体" w:hAnsi="宋体" w:eastAsia="宋体" w:cs="宋体"/>
                <w:b/>
                <w:bCs/>
                <w:color w:val="000000" w:themeColor="text1"/>
                <w:szCs w:val="21"/>
                <w:highlight w:val="none"/>
                <w:lang w:val="zh-CN"/>
                <w14:textFill>
                  <w14:solidFill>
                    <w14:schemeClr w14:val="tx1"/>
                  </w14:solidFill>
                </w14:textFill>
              </w:rPr>
              <w:t>污泥</w:t>
            </w:r>
            <w:r>
              <w:rPr>
                <w:rFonts w:hint="eastAsia" w:ascii="宋体" w:hAnsi="宋体" w:eastAsia="宋体" w:cs="宋体"/>
                <w:b/>
                <w:bCs/>
                <w:color w:val="000000" w:themeColor="text1"/>
                <w:szCs w:val="21"/>
                <w:highlight w:val="none"/>
                <w:lang w:val="zh-CN" w:eastAsia="zh-CN"/>
                <w14:textFill>
                  <w14:solidFill>
                    <w14:schemeClr w14:val="tx1"/>
                  </w14:solidFill>
                </w14:textFill>
              </w:rPr>
              <w:t>脱水</w:t>
            </w:r>
            <w:r>
              <w:rPr>
                <w:rFonts w:hint="eastAsia" w:ascii="宋体" w:hAnsi="宋体" w:eastAsia="宋体" w:cs="宋体"/>
                <w:b/>
                <w:bCs/>
                <w:color w:val="000000" w:themeColor="text1"/>
                <w:szCs w:val="21"/>
                <w:highlight w:val="none"/>
                <w:lang w:val="zh-CN"/>
                <w14:textFill>
                  <w14:solidFill>
                    <w14:schemeClr w14:val="tx1"/>
                  </w14:solidFill>
                </w14:textFill>
              </w:rPr>
              <w:t>减量化处理</w:t>
            </w:r>
            <w:r>
              <w:rPr>
                <w:rFonts w:hint="eastAsia" w:ascii="宋体" w:hAnsi="宋体" w:eastAsia="宋体" w:cs="宋体"/>
                <w:b/>
                <w:bCs/>
                <w:color w:val="000000" w:themeColor="text1"/>
                <w:szCs w:val="21"/>
                <w:highlight w:val="none"/>
                <w:lang w:val="zh-CN" w:eastAsia="zh-CN"/>
                <w14:textFill>
                  <w14:solidFill>
                    <w14:schemeClr w14:val="tx1"/>
                  </w14:solidFill>
                </w14:textFill>
              </w:rPr>
              <w:t>的</w:t>
            </w:r>
            <w:r>
              <w:rPr>
                <w:rFonts w:hint="eastAsia" w:ascii="宋体" w:hAnsi="宋体" w:eastAsia="宋体" w:cs="宋体"/>
                <w:b/>
                <w:bCs/>
                <w:color w:val="000000" w:themeColor="text1"/>
                <w:szCs w:val="21"/>
                <w:highlight w:val="none"/>
                <w:lang w:val="zh-CN"/>
                <w14:textFill>
                  <w14:solidFill>
                    <w14:schemeClr w14:val="tx1"/>
                  </w14:solidFill>
                </w14:textFill>
              </w:rPr>
              <w:t>服务内容，否则不得分。</w:t>
            </w:r>
          </w:p>
          <w:p w14:paraId="74CD4DF8">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D02AB06">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污泥脱水减量化处理服务</w:t>
            </w:r>
            <w:r>
              <w:rPr>
                <w:rFonts w:hint="eastAsia" w:ascii="宋体" w:hAnsi="宋体" w:eastAsia="宋体" w:cs="宋体"/>
                <w:b/>
                <w:bCs/>
                <w:color w:val="000000" w:themeColor="text1"/>
                <w:szCs w:val="21"/>
                <w:highlight w:val="none"/>
                <w:lang w:val="zh-CN"/>
                <w14:textFill>
                  <w14:solidFill>
                    <w14:schemeClr w14:val="tx1"/>
                  </w14:solidFill>
                </w14:textFill>
              </w:rPr>
              <w:t>业绩为无明确</w:t>
            </w:r>
            <w:r>
              <w:rPr>
                <w:rFonts w:hint="eastAsia" w:ascii="宋体" w:hAnsi="宋体" w:eastAsia="宋体" w:cs="宋体"/>
                <w:b/>
                <w:bCs/>
                <w:color w:val="000000" w:themeColor="text1"/>
                <w:szCs w:val="21"/>
                <w:highlight w:val="none"/>
                <w14:textFill>
                  <w14:solidFill>
                    <w14:schemeClr w14:val="tx1"/>
                  </w14:solidFill>
                </w14:textFill>
              </w:rPr>
              <w:t>污泥处理规模</w:t>
            </w:r>
            <w:r>
              <w:rPr>
                <w:rFonts w:hint="eastAsia" w:ascii="宋体" w:hAnsi="宋体" w:eastAsia="宋体" w:cs="宋体"/>
                <w:b/>
                <w:bCs/>
                <w:color w:val="000000" w:themeColor="text1"/>
                <w:szCs w:val="21"/>
                <w:highlight w:val="none"/>
                <w:lang w:val="zh-CN"/>
                <w14:textFill>
                  <w14:solidFill>
                    <w14:schemeClr w14:val="tx1"/>
                  </w14:solidFill>
                </w14:textFill>
              </w:rPr>
              <w:t>，必须同时提供合同期限内</w:t>
            </w:r>
            <w:r>
              <w:rPr>
                <w:rFonts w:hint="eastAsia" w:ascii="宋体" w:hAnsi="宋体" w:eastAsia="宋体" w:cs="宋体"/>
                <w:b/>
                <w:bCs/>
                <w:color w:val="000000" w:themeColor="text1"/>
                <w:szCs w:val="21"/>
                <w:highlight w:val="none"/>
                <w:lang w:val="zh-CN" w:eastAsia="zh-CN"/>
                <w14:textFill>
                  <w14:solidFill>
                    <w14:schemeClr w14:val="tx1"/>
                  </w14:solidFill>
                </w14:textFill>
              </w:rPr>
              <w:t>单个月份</w:t>
            </w:r>
            <w:r>
              <w:rPr>
                <w:rFonts w:hint="eastAsia" w:ascii="宋体" w:hAnsi="宋体" w:eastAsia="宋体" w:cs="宋体"/>
                <w:b/>
                <w:bCs/>
                <w:color w:val="000000" w:themeColor="text1"/>
                <w:szCs w:val="21"/>
                <w:highlight w:val="none"/>
                <w:lang w:val="zh-CN"/>
                <w14:textFill>
                  <w14:solidFill>
                    <w14:schemeClr w14:val="tx1"/>
                  </w14:solidFill>
                </w14:textFill>
              </w:rPr>
              <w:t>已</w:t>
            </w:r>
            <w:r>
              <w:rPr>
                <w:rFonts w:hint="eastAsia" w:ascii="宋体" w:hAnsi="宋体" w:eastAsia="宋体" w:cs="宋体"/>
                <w:b/>
                <w:bCs/>
                <w:color w:val="000000" w:themeColor="text1"/>
                <w:szCs w:val="21"/>
                <w:highlight w:val="none"/>
                <w:lang w:val="zh-CN" w:eastAsia="zh-CN"/>
                <w14:textFill>
                  <w14:solidFill>
                    <w14:schemeClr w14:val="tx1"/>
                  </w14:solidFill>
                </w14:textFill>
              </w:rPr>
              <w:t>处理</w:t>
            </w:r>
            <w:r>
              <w:rPr>
                <w:rFonts w:hint="eastAsia" w:ascii="宋体" w:hAnsi="宋体" w:eastAsia="宋体" w:cs="宋体"/>
                <w:b/>
                <w:bCs/>
                <w:color w:val="000000" w:themeColor="text1"/>
                <w:szCs w:val="21"/>
                <w:highlight w:val="none"/>
                <w:lang w:val="zh-CN"/>
                <w14:textFill>
                  <w14:solidFill>
                    <w14:schemeClr w14:val="tx1"/>
                  </w14:solidFill>
                </w14:textFill>
              </w:rPr>
              <w:t>的</w:t>
            </w:r>
            <w:r>
              <w:rPr>
                <w:rFonts w:hint="eastAsia" w:ascii="宋体" w:hAnsi="宋体" w:eastAsia="宋体" w:cs="宋体"/>
                <w:b/>
                <w:bCs/>
                <w:color w:val="000000" w:themeColor="text1"/>
                <w:szCs w:val="21"/>
                <w:highlight w:val="none"/>
                <w:lang w:val="zh-CN" w:eastAsia="zh-CN"/>
                <w14:textFill>
                  <w14:solidFill>
                    <w14:schemeClr w14:val="tx1"/>
                  </w14:solidFill>
                </w14:textFill>
              </w:rPr>
              <w:t>生活污水处理厂污泥处理量</w:t>
            </w:r>
            <w:r>
              <w:rPr>
                <w:rFonts w:hint="eastAsia" w:ascii="宋体" w:hAnsi="宋体" w:eastAsia="宋体" w:cs="宋体"/>
                <w:b/>
                <w:bCs/>
                <w:color w:val="000000" w:themeColor="text1"/>
                <w:szCs w:val="21"/>
                <w:highlight w:val="none"/>
                <w:lang w:val="zh-CN"/>
                <w14:textFill>
                  <w14:solidFill>
                    <w14:schemeClr w14:val="tx1"/>
                  </w14:solidFill>
                </w14:textFill>
              </w:rPr>
              <w:t>统计表和</w:t>
            </w:r>
            <w:r>
              <w:rPr>
                <w:rFonts w:hint="eastAsia" w:ascii="宋体" w:hAnsi="宋体" w:eastAsia="宋体" w:cs="宋体"/>
                <w:b/>
                <w:bCs/>
                <w:color w:val="000000" w:themeColor="text1"/>
                <w:szCs w:val="21"/>
                <w:highlight w:val="none"/>
                <w:lang w:val="zh-CN" w:eastAsia="zh-CN"/>
                <w14:textFill>
                  <w14:solidFill>
                    <w14:schemeClr w14:val="tx1"/>
                  </w14:solidFill>
                </w14:textFill>
              </w:rPr>
              <w:t>污泥转运联单</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zh-CN" w:eastAsia="zh-CN"/>
                <w14:textFill>
                  <w14:solidFill>
                    <w14:schemeClr w14:val="tx1"/>
                  </w14:solidFill>
                </w14:textFill>
              </w:rPr>
              <w:t>无转运联单的，提供服务发票</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eastAsia="zh-CN"/>
                <w14:textFill>
                  <w14:solidFill>
                    <w14:schemeClr w14:val="tx1"/>
                  </w14:solidFill>
                </w14:textFill>
              </w:rPr>
              <w:t>及折算处理量数据或污泥产生单位盖章的证明文件</w:t>
            </w:r>
            <w:r>
              <w:rPr>
                <w:rFonts w:hint="eastAsia" w:ascii="宋体" w:hAnsi="宋体" w:eastAsia="宋体" w:cs="宋体"/>
                <w:b/>
                <w:bCs/>
                <w:color w:val="000000" w:themeColor="text1"/>
                <w:szCs w:val="21"/>
                <w:highlight w:val="none"/>
                <w14:textFill>
                  <w14:solidFill>
                    <w14:schemeClr w14:val="tx1"/>
                  </w14:solidFill>
                </w14:textFill>
              </w:rPr>
              <w:t>扫描件</w:t>
            </w:r>
            <w:r>
              <w:rPr>
                <w:rFonts w:hint="eastAsia" w:ascii="宋体" w:hAnsi="宋体" w:eastAsia="宋体" w:cs="宋体"/>
                <w:b/>
                <w:bCs/>
                <w:color w:val="000000" w:themeColor="text1"/>
                <w:szCs w:val="21"/>
                <w:highlight w:val="none"/>
                <w:lang w:val="zh-CN" w:eastAsia="zh-CN"/>
                <w14:textFill>
                  <w14:solidFill>
                    <w14:schemeClr w14:val="tx1"/>
                  </w14:solidFill>
                </w14:textFill>
              </w:rPr>
              <w:t>替代</w:t>
            </w:r>
            <w:r>
              <w:rPr>
                <w:rFonts w:hint="eastAsia" w:ascii="宋体" w:hAnsi="宋体" w:eastAsia="宋体" w:cs="宋体"/>
                <w:b/>
                <w:bCs/>
                <w:color w:val="000000" w:themeColor="text1"/>
                <w:szCs w:val="21"/>
                <w:highlight w:val="none"/>
                <w:lang w:val="zh-CN"/>
                <w14:textFill>
                  <w14:solidFill>
                    <w14:schemeClr w14:val="tx1"/>
                  </w14:solidFill>
                </w14:textFill>
              </w:rPr>
              <w:t>）以证明</w:t>
            </w:r>
            <w:r>
              <w:rPr>
                <w:rFonts w:hint="eastAsia" w:ascii="宋体" w:hAnsi="宋体" w:eastAsia="宋体" w:cs="宋体"/>
                <w:b/>
                <w:bCs/>
                <w:color w:val="000000" w:themeColor="text1"/>
                <w:szCs w:val="21"/>
                <w:highlight w:val="none"/>
                <w:lang w:val="zh-CN" w:eastAsia="zh-CN"/>
                <w14:textFill>
                  <w14:solidFill>
                    <w14:schemeClr w14:val="tx1"/>
                  </w14:solidFill>
                </w14:textFill>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816B758">
            <w:pPr>
              <w:spacing w:line="360" w:lineRule="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zh-CN"/>
                <w14:textFill>
                  <w14:solidFill>
                    <w14:schemeClr w14:val="tx1"/>
                  </w14:solidFill>
                </w14:textFill>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b/>
                <w:bCs/>
                <w:color w:val="000000" w:themeColor="text1"/>
                <w:szCs w:val="21"/>
                <w:highlight w:val="none"/>
                <w:lang w:val="zh-CN" w:eastAsia="zh-CN"/>
                <w14:textFill>
                  <w14:solidFill>
                    <w14:schemeClr w14:val="tx1"/>
                  </w14:solidFill>
                </w14:textFill>
              </w:rPr>
              <w:t>的污泥</w:t>
            </w:r>
            <w:r>
              <w:rPr>
                <w:rFonts w:hint="eastAsia" w:ascii="宋体" w:hAnsi="宋体" w:eastAsia="宋体" w:cs="宋体"/>
                <w:b/>
                <w:bCs/>
                <w:color w:val="000000" w:themeColor="text1"/>
                <w:szCs w:val="21"/>
                <w:highlight w:val="none"/>
                <w:lang w:val="zh-CN"/>
                <w14:textFill>
                  <w14:solidFill>
                    <w14:schemeClr w14:val="tx1"/>
                  </w14:solidFill>
                </w14:textFill>
              </w:rPr>
              <w:t>处理规模/污泥减量设备操作技术人员数量的累加值计算得分</w:t>
            </w:r>
            <w:r>
              <w:rPr>
                <w:rFonts w:hint="eastAsia" w:ascii="宋体" w:hAnsi="宋体" w:eastAsia="宋体" w:cs="宋体"/>
                <w:b/>
                <w:bCs/>
                <w:color w:val="000000" w:themeColor="text1"/>
                <w:szCs w:val="21"/>
                <w:highlight w:val="none"/>
                <w14:textFill>
                  <w14:solidFill>
                    <w14:schemeClr w14:val="tx1"/>
                  </w14:solidFill>
                </w14:textFill>
              </w:rPr>
              <w:t>。</w:t>
            </w:r>
          </w:p>
          <w:p w14:paraId="2BF3214D">
            <w:pPr>
              <w:spacing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lang w:val="zh-CN"/>
                <w14:textFill>
                  <w14:solidFill>
                    <w14:schemeClr w14:val="tx1"/>
                  </w14:solidFill>
                </w14:textFill>
              </w:rPr>
              <w:t>）污泥脱水减量配合服务单项合同业绩的服务内容若为以劳务派遣或劳务外包的方式提供污泥脱水减量化服务人员的，</w:t>
            </w:r>
            <w:r>
              <w:rPr>
                <w:rFonts w:hint="eastAsia" w:ascii="宋体" w:hAnsi="宋体" w:eastAsia="宋体" w:cs="宋体"/>
                <w:b/>
                <w:bCs/>
                <w:color w:val="000000" w:themeColor="text1"/>
                <w:szCs w:val="21"/>
                <w:highlight w:val="none"/>
                <w:lang w:val="zh-CN" w:eastAsia="zh-CN"/>
                <w14:textFill>
                  <w14:solidFill>
                    <w14:schemeClr w14:val="tx1"/>
                  </w14:solidFill>
                </w14:textFill>
              </w:rPr>
              <w:t>服务内容</w:t>
            </w:r>
            <w:r>
              <w:rPr>
                <w:rFonts w:hint="eastAsia" w:ascii="宋体" w:hAnsi="宋体" w:eastAsia="宋体" w:cs="宋体"/>
                <w:b/>
                <w:bCs/>
                <w:color w:val="000000" w:themeColor="text1"/>
                <w:szCs w:val="21"/>
                <w:highlight w:val="none"/>
                <w:lang w:val="zh-CN"/>
                <w14:textFill>
                  <w14:solidFill>
                    <w14:schemeClr w14:val="tx1"/>
                  </w14:solidFill>
                </w14:textFill>
              </w:rPr>
              <w:t>必须</w:t>
            </w:r>
            <w:r>
              <w:rPr>
                <w:rFonts w:hint="eastAsia" w:ascii="宋体" w:hAnsi="宋体" w:eastAsia="宋体" w:cs="宋体"/>
                <w:b/>
                <w:bCs/>
                <w:color w:val="000000" w:themeColor="text1"/>
                <w:szCs w:val="21"/>
                <w:highlight w:val="none"/>
                <w:lang w:val="zh-CN" w:eastAsia="zh-CN"/>
                <w14:textFill>
                  <w14:solidFill>
                    <w14:schemeClr w14:val="tx1"/>
                  </w14:solidFill>
                </w14:textFill>
              </w:rPr>
              <w:t>包含提供从事污泥脱水压滤设备的操作技术人员</w:t>
            </w:r>
            <w:r>
              <w:rPr>
                <w:rFonts w:hint="eastAsia" w:ascii="宋体" w:hAnsi="宋体" w:eastAsia="宋体" w:cs="宋体"/>
                <w:b/>
                <w:bCs/>
                <w:color w:val="000000" w:themeColor="text1"/>
                <w:szCs w:val="21"/>
                <w:highlight w:val="none"/>
                <w:lang w:val="zh-CN"/>
                <w14:textFill>
                  <w14:solidFill>
                    <w14:schemeClr w14:val="tx1"/>
                  </w14:solidFill>
                </w14:textFill>
              </w:rPr>
              <w:t>，否则不得分</w:t>
            </w:r>
            <w:r>
              <w:rPr>
                <w:rFonts w:hint="eastAsia" w:ascii="宋体" w:hAnsi="宋体" w:eastAsia="宋体" w:cs="宋体"/>
                <w:b/>
                <w:bCs/>
                <w:color w:val="000000" w:themeColor="text1"/>
                <w:szCs w:val="21"/>
                <w:highlight w:val="none"/>
                <w14:textFill>
                  <w14:solidFill>
                    <w14:schemeClr w14:val="tx1"/>
                  </w14:solidFill>
                </w14:textFill>
              </w:rPr>
              <w:t>。</w:t>
            </w:r>
          </w:p>
          <w:p w14:paraId="717B5480">
            <w:pPr>
              <w:spacing w:line="360" w:lineRule="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单项合同业绩的</w:t>
            </w:r>
            <w:r>
              <w:rPr>
                <w:rFonts w:hint="eastAsia" w:ascii="宋体" w:hAnsi="宋体" w:eastAsia="宋体" w:cs="宋体"/>
                <w:b/>
                <w:bCs/>
                <w:color w:val="000000" w:themeColor="text1"/>
                <w:szCs w:val="21"/>
                <w:highlight w:val="none"/>
                <w:lang w:val="zh-CN"/>
                <w14:textFill>
                  <w14:solidFill>
                    <w14:schemeClr w14:val="tx1"/>
                  </w14:solidFill>
                </w14:textFill>
              </w:rPr>
              <w:t>合同服务期限</w:t>
            </w:r>
            <w:r>
              <w:rPr>
                <w:rFonts w:hint="eastAsia" w:ascii="宋体" w:hAnsi="宋体" w:eastAsia="宋体" w:cs="宋体"/>
                <w:b/>
                <w:bCs/>
                <w:color w:val="000000" w:themeColor="text1"/>
                <w:szCs w:val="21"/>
                <w:highlight w:val="none"/>
                <w:lang w:val="zh-CN" w:eastAsia="zh-CN"/>
                <w14:textFill>
                  <w14:solidFill>
                    <w14:schemeClr w14:val="tx1"/>
                  </w14:solidFill>
                </w14:textFill>
              </w:rPr>
              <w:t>要求大于或等于1年，小于1年的业绩合同在评标时不予考虑</w:t>
            </w:r>
            <w:r>
              <w:rPr>
                <w:rFonts w:hint="eastAsia" w:ascii="宋体" w:hAnsi="宋体" w:eastAsia="宋体" w:cs="宋体"/>
                <w:b/>
                <w:bCs/>
                <w:color w:val="000000" w:themeColor="text1"/>
                <w:szCs w:val="21"/>
                <w:highlight w:val="none"/>
                <w14:textFill>
                  <w14:solidFill>
                    <w14:schemeClr w14:val="tx1"/>
                  </w14:solidFill>
                </w14:textFill>
              </w:rPr>
              <w:t>。</w:t>
            </w:r>
          </w:p>
          <w:p w14:paraId="22238AB8">
            <w:pPr>
              <w:spacing w:line="360" w:lineRule="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9</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未按上述要求提供证明材料的项目负责人业绩，或所附材料无法证明填报项目属</w:t>
            </w:r>
            <w:r>
              <w:rPr>
                <w:rFonts w:hint="eastAsia" w:ascii="宋体" w:hAnsi="宋体" w:eastAsia="宋体" w:cs="宋体"/>
                <w:b/>
                <w:bCs/>
                <w:color w:val="000000" w:themeColor="text1"/>
                <w:szCs w:val="21"/>
                <w:highlight w:val="none"/>
                <w:lang w:val="en-US" w:eastAsia="zh-CN"/>
                <w14:textFill>
                  <w14:solidFill>
                    <w14:schemeClr w14:val="tx1"/>
                  </w14:solidFill>
                </w14:textFill>
              </w:rPr>
              <w:t>本项目拟投入的</w:t>
            </w:r>
            <w:r>
              <w:rPr>
                <w:rFonts w:hint="eastAsia" w:ascii="宋体" w:hAnsi="宋体" w:eastAsia="宋体" w:cs="宋体"/>
                <w:b/>
                <w:bCs/>
                <w:color w:val="000000" w:themeColor="text1"/>
                <w:szCs w:val="21"/>
                <w:highlight w:val="none"/>
                <w:lang w:val="zh-CN"/>
                <w14:textFill>
                  <w14:solidFill>
                    <w14:schemeClr w14:val="tx1"/>
                  </w14:solidFill>
                </w14:textFill>
              </w:rPr>
              <w:t>项目负责人完成的或不符合本项评分要求的项目负责人业绩，在评标时将不予考虑。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9D3ED6B">
            <w:pPr>
              <w:spacing w:line="360" w:lineRule="auto"/>
              <w:jc w:val="center"/>
              <w:outlineLvl w:val="9"/>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分</w:t>
            </w:r>
          </w:p>
        </w:tc>
      </w:tr>
      <w:tr w14:paraId="252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right w:val="single" w:color="auto" w:sz="4" w:space="0"/>
            </w:tcBorders>
            <w:vAlign w:val="center"/>
          </w:tcPr>
          <w:p w14:paraId="50EA3F0D">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059" w:type="dxa"/>
            <w:tcBorders>
              <w:top w:val="single" w:color="auto" w:sz="4" w:space="0"/>
              <w:left w:val="single" w:color="auto" w:sz="4" w:space="0"/>
              <w:right w:val="single" w:color="auto" w:sz="4" w:space="0"/>
            </w:tcBorders>
            <w:vAlign w:val="center"/>
          </w:tcPr>
          <w:p w14:paraId="0F9A6FCE">
            <w:pPr>
              <w:spacing w:line="360" w:lineRule="auto"/>
              <w:jc w:val="center"/>
              <w:outlineLvl w:val="9"/>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应急预案和保障措施</w:t>
            </w:r>
          </w:p>
        </w:tc>
        <w:tc>
          <w:tcPr>
            <w:tcW w:w="7152" w:type="dxa"/>
            <w:tcBorders>
              <w:top w:val="single" w:color="auto" w:sz="4" w:space="0"/>
              <w:left w:val="single" w:color="auto" w:sz="4" w:space="0"/>
              <w:bottom w:val="single" w:color="auto" w:sz="4" w:space="0"/>
              <w:right w:val="single" w:color="auto" w:sz="4" w:space="0"/>
            </w:tcBorders>
            <w:vAlign w:val="top"/>
          </w:tcPr>
          <w:p w14:paraId="75CD3B55">
            <w:pPr>
              <w:spacing w:line="360" w:lineRule="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w:t>
            </w:r>
            <w:r>
              <w:rPr>
                <w:rFonts w:hint="eastAsia" w:ascii="宋体" w:hAnsi="宋体" w:eastAsia="宋体" w:cs="宋体"/>
                <w:color w:val="000000" w:themeColor="text1"/>
                <w:szCs w:val="21"/>
                <w:highlight w:val="none"/>
                <w14:textFill>
                  <w14:solidFill>
                    <w14:schemeClr w14:val="tx1"/>
                  </w14:solidFill>
                </w14:textFill>
              </w:rPr>
              <w:t>各投标人</w:t>
            </w:r>
            <w:r>
              <w:rPr>
                <w:rFonts w:hint="eastAsia" w:ascii="宋体" w:hAnsi="宋体" w:eastAsia="宋体" w:cs="宋体"/>
                <w:color w:val="000000" w:themeColor="text1"/>
                <w:szCs w:val="21"/>
                <w:highlight w:val="none"/>
                <w:lang w:val="en-US" w:eastAsia="zh-CN"/>
                <w14:textFill>
                  <w14:solidFill>
                    <w14:schemeClr w14:val="tx1"/>
                  </w14:solidFill>
                </w14:textFill>
              </w:rPr>
              <w:t>提供的</w:t>
            </w:r>
            <w:r>
              <w:rPr>
                <w:rFonts w:hint="eastAsia" w:ascii="宋体" w:hAnsi="宋体" w:eastAsia="宋体" w:cs="宋体"/>
                <w:color w:val="000000" w:themeColor="text1"/>
                <w:szCs w:val="21"/>
                <w:highlight w:val="none"/>
                <w14:textFill>
                  <w14:solidFill>
                    <w14:schemeClr w14:val="tx1"/>
                  </w14:solidFill>
                </w14:textFill>
              </w:rPr>
              <w:t>应急预案和保障措施，包括针对劳务纠纷应急预案、工伤事故应急预案（包括但不限于对操作技术人员发生工伤处理的及时性，后续跟进保障措施等）等的应急方案和保障措施</w:t>
            </w:r>
            <w:r>
              <w:rPr>
                <w:rFonts w:hint="eastAsia" w:ascii="宋体" w:hAnsi="宋体" w:eastAsia="宋体" w:cs="宋体"/>
                <w:color w:val="000000" w:themeColor="text1"/>
                <w:szCs w:val="21"/>
                <w:highlight w:val="none"/>
                <w:lang w:val="en-US" w:eastAsia="zh-CN"/>
                <w14:textFill>
                  <w14:solidFill>
                    <w14:schemeClr w14:val="tx1"/>
                  </w14:solidFill>
                </w14:textFill>
              </w:rPr>
              <w:t>进行综合评审：</w:t>
            </w:r>
          </w:p>
          <w:p w14:paraId="7859703B">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应急预案详实且完整，能够全面覆盖所有可能发生的应急情况，并对每一类应急情况制定了详尽且具有操作性的保障措施，并给出了详细可行的解决方案，能有效指导现场处置行动，确保事故得到有效控制，得[</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14:paraId="40176A94">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应急预案较为完整，对各类应急情况制定了具体的保障措施，并给出了相应的解决方案，能够考虑到了大部分情况下可能发生的问题，在少数特殊情况下可能存在一定的不确定性或存在一些细节上的不足，但总体上仍能较好地指导现场处置行动，有效控制事故的发展，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14:paraId="2958060D">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中：应急预案基本完整，对一般应急情况制定了相应的保障措施，并给出了相应的解决方案，但解决方案需要进一步完善以提高其指导性，得[1,2)分；</w:t>
            </w:r>
          </w:p>
          <w:p w14:paraId="21F080BA">
            <w:pPr>
              <w:spacing w:line="360" w:lineRule="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差：应急预案不完整或缺少合理性，对各类应急情况的保障措施不够具体，无对应的解决方案，可预判服务期间发生应急情况时会出现频繁的负面问题，得[0,1)分。</w:t>
            </w:r>
          </w:p>
        </w:tc>
        <w:tc>
          <w:tcPr>
            <w:tcW w:w="846" w:type="dxa"/>
            <w:tcBorders>
              <w:top w:val="single" w:color="auto" w:sz="4" w:space="0"/>
              <w:left w:val="single" w:color="auto" w:sz="4" w:space="0"/>
              <w:bottom w:val="single" w:color="auto" w:sz="4" w:space="0"/>
              <w:right w:val="single" w:color="auto" w:sz="4" w:space="0"/>
            </w:tcBorders>
            <w:vAlign w:val="center"/>
          </w:tcPr>
          <w:p w14:paraId="15597516">
            <w:pPr>
              <w:spacing w:line="360" w:lineRule="auto"/>
              <w:jc w:val="center"/>
              <w:outlineLvl w:val="9"/>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分</w:t>
            </w:r>
          </w:p>
        </w:tc>
      </w:tr>
      <w:bookmarkEnd w:id="821"/>
    </w:tbl>
    <w:p w14:paraId="3BB1331E">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7D0DBC89">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①表中“[”代表闭区间，“]”代表闭区间，如[0，1]代表该分数段范围为大于等于0且小于等于1。表中“（”代表开区间，“]”代表闭区间，如（1，2]代表该分数段范围为大于1且小于等于2。</w:t>
      </w:r>
    </w:p>
    <w:p w14:paraId="7EBD4A40">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②分数出现小数点，保留小数点后2位，从小数点后第3位四舍五入。</w:t>
      </w:r>
    </w:p>
    <w:p w14:paraId="0254A772">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③</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上述“评分项目”中按“优、良、中、差”</w:t>
      </w:r>
      <w:r>
        <w:rPr>
          <w:rFonts w:hint="eastAsia" w:ascii="宋体" w:hAnsi="宋体" w:eastAsia="宋体" w:cs="宋体"/>
          <w:b/>
          <w:color w:val="000000" w:themeColor="text1"/>
          <w:szCs w:val="24"/>
          <w:highlight w:val="none"/>
          <w14:textFill>
            <w14:solidFill>
              <w14:schemeClr w14:val="tx1"/>
            </w14:solidFill>
          </w14:textFill>
        </w:rPr>
        <w:t>区间</w:t>
      </w:r>
      <w:r>
        <w:rPr>
          <w:rFonts w:hint="eastAsia" w:ascii="宋体" w:hAnsi="宋体" w:eastAsia="宋体" w:cs="宋体"/>
          <w:b/>
          <w:color w:val="000000" w:themeColor="text1"/>
          <w:szCs w:val="24"/>
          <w:highlight w:val="none"/>
          <w:lang w:val="zh-CN"/>
          <w14:textFill>
            <w14:solidFill>
              <w14:schemeClr w14:val="tx1"/>
            </w14:solidFill>
          </w14:textFill>
        </w:rPr>
        <w:t>评审的，若低于该项满分分值60%时，评标专家需详细填写该项低分的充分理由，例如：该项目内容存在违反国家有关标准和规范或与项目实际不符等原则性问题。</w:t>
      </w:r>
    </w:p>
    <w:p w14:paraId="231CD044">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3FAC531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20BDB713">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64BDE8F5">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114BCE29">
      <w:pPr>
        <w:autoSpaceDE w:val="0"/>
        <w:autoSpaceDN w:val="0"/>
        <w:adjustRightInd w:val="0"/>
        <w:spacing w:line="360" w:lineRule="auto"/>
        <w:ind w:left="420" w:leftChars="200" w:firstLine="420" w:firstLineChars="200"/>
        <w:rPr>
          <w:rFonts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4C710169">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63DE5817">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3893906B">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1C75CBEE">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p>
    <w:p w14:paraId="2DD8612E">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1E6F9CD">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17A8C99C">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822"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822"/>
    </w:p>
    <w:p w14:paraId="51050DDC">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823"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823"/>
      <w:r>
        <w:rPr>
          <w:rFonts w:hint="eastAsia" w:ascii="宋体" w:hAnsi="宋体" w:eastAsia="宋体" w:cs="宋体"/>
          <w:color w:val="000000" w:themeColor="text1"/>
          <w:kern w:val="0"/>
          <w:szCs w:val="21"/>
          <w:highlight w:val="none"/>
          <w14:textFill>
            <w14:solidFill>
              <w14:schemeClr w14:val="tx1"/>
            </w14:solidFill>
          </w14:textFill>
        </w:rPr>
        <w:t>。</w:t>
      </w:r>
    </w:p>
    <w:p w14:paraId="6B872CDE">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32A2365F">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824"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824"/>
    </w:p>
    <w:p w14:paraId="20BF5AD4">
      <w:pPr>
        <w:autoSpaceDE w:val="0"/>
        <w:autoSpaceDN w:val="0"/>
        <w:adjustRightInd w:val="0"/>
        <w:spacing w:line="360" w:lineRule="auto"/>
        <w:ind w:left="420" w:hanging="420" w:hanging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宋体"/>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0B58089D">
      <w:pPr>
        <w:autoSpaceDE w:val="0"/>
        <w:autoSpaceDN w:val="0"/>
        <w:adjustRightInd w:val="0"/>
        <w:spacing w:line="360" w:lineRule="auto"/>
        <w:ind w:left="420" w:leftChars="200" w:firstLine="420" w:firstLineChars="200"/>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宋体"/>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宋体"/>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10D12A6">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F336AB6">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825"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825"/>
    </w:p>
    <w:p w14:paraId="75DFEE7E">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14、评标委员会根据评审结果撰写评标报告。评标报告是评标委员会根据全体评标委员会成员签字的原始评审记录和评审结果编写的报告，其主要内容包括：</w:t>
      </w:r>
    </w:p>
    <w:p w14:paraId="7FCF964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4CE48B1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678F2A9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5E9910F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49FF492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475E1681">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78E6CDB9">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39C0C5C0">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826"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826"/>
    </w:p>
    <w:p w14:paraId="32FF2455">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15、为确保评审工作的顺利进行，防止因泄密或其它意外而造成的不良后果及影响，凡参加评审工作的人员都必须认真执行本规定：</w:t>
      </w:r>
    </w:p>
    <w:p w14:paraId="662A9BB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6E5094C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668AADE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AA9D2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2079E55">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774"/>
    <w:bookmarkEnd w:id="796"/>
    <w:bookmarkEnd w:id="797"/>
    <w:bookmarkEnd w:id="798"/>
    <w:p w14:paraId="681EA228">
      <w:pPr>
        <w:widowControl/>
        <w:jc w:val="left"/>
        <w:rPr>
          <w:rFonts w:ascii="宋体" w:hAnsi="宋体" w:eastAsia="宋体" w:cs="宋体"/>
          <w:color w:val="000000" w:themeColor="text1"/>
          <w:szCs w:val="24"/>
          <w:highlight w:val="none"/>
          <w:lang w:val="zh-CN"/>
          <w14:textFill>
            <w14:solidFill>
              <w14:schemeClr w14:val="tx1"/>
            </w14:solidFill>
          </w14:textFill>
        </w:rPr>
      </w:pPr>
    </w:p>
    <w:bookmarkEnd w:id="827"/>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A2DA1670-44C2-428D-8DA7-E9931F76DE7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697775B-B8BA-4013-94B0-99DE456E0238}"/>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F64C">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0090">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88B0">
    <w:pPr>
      <w:pStyle w:val="27"/>
      <w:jc w:val="cente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597B">
    <w:pPr>
      <w:pStyle w:val="27"/>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BDD2">
    <w:pPr>
      <w:pStyle w:val="27"/>
      <w:jc w:val="center"/>
    </w:pPr>
    <w:r>
      <w:rPr>
        <w:rFonts w:hint="eastAsia"/>
      </w:rPr>
      <w:t>第</w:t>
    </w:r>
    <w:r>
      <w:rPr>
        <w:bCs/>
      </w:rPr>
      <w:fldChar w:fldCharType="begin"/>
    </w:r>
    <w:r>
      <w:rPr>
        <w:bCs/>
      </w:rPr>
      <w:instrText xml:space="preserve">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F22A">
    <w:pPr>
      <w:pStyle w:val="27"/>
      <w:jc w:val="center"/>
    </w:pPr>
    <w:r>
      <w:rPr>
        <w:rFonts w:hint="eastAsia"/>
      </w:rPr>
      <w:t>第</w:t>
    </w:r>
    <w:r>
      <w:rPr>
        <w:bCs/>
      </w:rPr>
      <w:fldChar w:fldCharType="begin"/>
    </w:r>
    <w:r>
      <w:rPr>
        <w:bCs/>
      </w:rPr>
      <w:instrText xml:space="preserve">PAGE</w:instrText>
    </w:r>
    <w:r>
      <w:rPr>
        <w:bCs/>
      </w:rPr>
      <w:fldChar w:fldCharType="separate"/>
    </w:r>
    <w:r>
      <w:rPr>
        <w:bCs/>
      </w:rPr>
      <w:t>72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0ABD">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113</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113</w:t>
    </w:r>
    <w:r>
      <w:rPr>
        <w:bCs/>
        <w:sz w:val="24"/>
        <w:szCs w:val="24"/>
      </w:rPr>
      <w:fldChar w:fldCharType="end"/>
    </w:r>
    <w:r>
      <w:rPr>
        <w:b/>
        <w:bCs/>
        <w:sz w:val="24"/>
        <w:szCs w:val="24"/>
      </w:rPr>
      <w:t xml:space="preserve"> </w:t>
    </w:r>
    <w:r>
      <w:rPr>
        <w:rFonts w:hint="eastAsia"/>
      </w:rPr>
      <w:t>页</w:t>
    </w:r>
  </w:p>
  <w:p w14:paraId="51DF1F4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BE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E63B6"/>
    <w:rsid w:val="000011AE"/>
    <w:rsid w:val="00004430"/>
    <w:rsid w:val="00006AEC"/>
    <w:rsid w:val="00011253"/>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2B61"/>
    <w:rsid w:val="000B4B09"/>
    <w:rsid w:val="000C1661"/>
    <w:rsid w:val="000C18B7"/>
    <w:rsid w:val="000C5D06"/>
    <w:rsid w:val="000C6A11"/>
    <w:rsid w:val="000D0B5D"/>
    <w:rsid w:val="000D5502"/>
    <w:rsid w:val="000D5537"/>
    <w:rsid w:val="000D75D3"/>
    <w:rsid w:val="000E079F"/>
    <w:rsid w:val="000E3ECA"/>
    <w:rsid w:val="000E4A4F"/>
    <w:rsid w:val="000E4D54"/>
    <w:rsid w:val="000F0A84"/>
    <w:rsid w:val="000F4CF0"/>
    <w:rsid w:val="001059DC"/>
    <w:rsid w:val="0010738F"/>
    <w:rsid w:val="0011440A"/>
    <w:rsid w:val="00114519"/>
    <w:rsid w:val="001233ED"/>
    <w:rsid w:val="00127946"/>
    <w:rsid w:val="00131E91"/>
    <w:rsid w:val="00135A03"/>
    <w:rsid w:val="00143E09"/>
    <w:rsid w:val="001450A8"/>
    <w:rsid w:val="001523C0"/>
    <w:rsid w:val="00152F07"/>
    <w:rsid w:val="0015711A"/>
    <w:rsid w:val="001644BA"/>
    <w:rsid w:val="001647C7"/>
    <w:rsid w:val="00165203"/>
    <w:rsid w:val="00166309"/>
    <w:rsid w:val="00170004"/>
    <w:rsid w:val="00174AE6"/>
    <w:rsid w:val="001758D3"/>
    <w:rsid w:val="00177B51"/>
    <w:rsid w:val="0018078B"/>
    <w:rsid w:val="00181A89"/>
    <w:rsid w:val="00183284"/>
    <w:rsid w:val="00183344"/>
    <w:rsid w:val="0019682B"/>
    <w:rsid w:val="001968CD"/>
    <w:rsid w:val="001A1FCB"/>
    <w:rsid w:val="001B74B3"/>
    <w:rsid w:val="001C2086"/>
    <w:rsid w:val="001C4AC2"/>
    <w:rsid w:val="001C6FAA"/>
    <w:rsid w:val="001D00B3"/>
    <w:rsid w:val="001D5A65"/>
    <w:rsid w:val="001D6B15"/>
    <w:rsid w:val="001E32CD"/>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96EC1"/>
    <w:rsid w:val="00297133"/>
    <w:rsid w:val="002A3EB3"/>
    <w:rsid w:val="002B1734"/>
    <w:rsid w:val="002B5DBC"/>
    <w:rsid w:val="002B7423"/>
    <w:rsid w:val="002B7CA9"/>
    <w:rsid w:val="002C4A4A"/>
    <w:rsid w:val="002D0003"/>
    <w:rsid w:val="002D1442"/>
    <w:rsid w:val="002E393B"/>
    <w:rsid w:val="002E4079"/>
    <w:rsid w:val="002F68EE"/>
    <w:rsid w:val="002F7DEF"/>
    <w:rsid w:val="003014E2"/>
    <w:rsid w:val="00302D85"/>
    <w:rsid w:val="0030753D"/>
    <w:rsid w:val="00311DA1"/>
    <w:rsid w:val="003121B1"/>
    <w:rsid w:val="0031709C"/>
    <w:rsid w:val="0032056A"/>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1AE7"/>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0576"/>
    <w:rsid w:val="0045081C"/>
    <w:rsid w:val="004551D1"/>
    <w:rsid w:val="0045753C"/>
    <w:rsid w:val="004577C3"/>
    <w:rsid w:val="0046038A"/>
    <w:rsid w:val="00460F3E"/>
    <w:rsid w:val="00464570"/>
    <w:rsid w:val="004724D1"/>
    <w:rsid w:val="004761B2"/>
    <w:rsid w:val="00481AFA"/>
    <w:rsid w:val="004864BB"/>
    <w:rsid w:val="0049337D"/>
    <w:rsid w:val="004B093D"/>
    <w:rsid w:val="004B604C"/>
    <w:rsid w:val="004E4ADE"/>
    <w:rsid w:val="004E5028"/>
    <w:rsid w:val="004E5F4E"/>
    <w:rsid w:val="004F01C0"/>
    <w:rsid w:val="004F2802"/>
    <w:rsid w:val="00500B9E"/>
    <w:rsid w:val="00503499"/>
    <w:rsid w:val="00506501"/>
    <w:rsid w:val="00507BC4"/>
    <w:rsid w:val="00513DB6"/>
    <w:rsid w:val="00524E92"/>
    <w:rsid w:val="00531E28"/>
    <w:rsid w:val="005344B1"/>
    <w:rsid w:val="005423E7"/>
    <w:rsid w:val="00544B50"/>
    <w:rsid w:val="005572B4"/>
    <w:rsid w:val="0056010A"/>
    <w:rsid w:val="00563302"/>
    <w:rsid w:val="00571307"/>
    <w:rsid w:val="005743EA"/>
    <w:rsid w:val="00576F2E"/>
    <w:rsid w:val="00581210"/>
    <w:rsid w:val="00581C0A"/>
    <w:rsid w:val="00581FC3"/>
    <w:rsid w:val="005832B2"/>
    <w:rsid w:val="005851F1"/>
    <w:rsid w:val="005910B4"/>
    <w:rsid w:val="00596A23"/>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61E"/>
    <w:rsid w:val="00612EB1"/>
    <w:rsid w:val="0061352C"/>
    <w:rsid w:val="0061522B"/>
    <w:rsid w:val="006165C8"/>
    <w:rsid w:val="006175B4"/>
    <w:rsid w:val="00617AAD"/>
    <w:rsid w:val="00621CDC"/>
    <w:rsid w:val="006229B2"/>
    <w:rsid w:val="00625E3D"/>
    <w:rsid w:val="00626487"/>
    <w:rsid w:val="00626B78"/>
    <w:rsid w:val="00630B61"/>
    <w:rsid w:val="006355D9"/>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2C4"/>
    <w:rsid w:val="006C2D84"/>
    <w:rsid w:val="006C2F7D"/>
    <w:rsid w:val="006C3580"/>
    <w:rsid w:val="006C3F4D"/>
    <w:rsid w:val="006C6349"/>
    <w:rsid w:val="006C6E11"/>
    <w:rsid w:val="006D479F"/>
    <w:rsid w:val="006E0C10"/>
    <w:rsid w:val="006E2E51"/>
    <w:rsid w:val="006E2EF1"/>
    <w:rsid w:val="006F6DB2"/>
    <w:rsid w:val="00704B3A"/>
    <w:rsid w:val="007067B2"/>
    <w:rsid w:val="00710CF8"/>
    <w:rsid w:val="00711E08"/>
    <w:rsid w:val="007138FD"/>
    <w:rsid w:val="00716BB1"/>
    <w:rsid w:val="007172FD"/>
    <w:rsid w:val="007200C8"/>
    <w:rsid w:val="007215F6"/>
    <w:rsid w:val="00721BAA"/>
    <w:rsid w:val="007402CA"/>
    <w:rsid w:val="00745968"/>
    <w:rsid w:val="00747A3E"/>
    <w:rsid w:val="00770F81"/>
    <w:rsid w:val="007730C9"/>
    <w:rsid w:val="00775150"/>
    <w:rsid w:val="00776B48"/>
    <w:rsid w:val="0078099D"/>
    <w:rsid w:val="00787DE8"/>
    <w:rsid w:val="007942D8"/>
    <w:rsid w:val="00794983"/>
    <w:rsid w:val="00796ED7"/>
    <w:rsid w:val="007A7740"/>
    <w:rsid w:val="007B4F1D"/>
    <w:rsid w:val="007C002A"/>
    <w:rsid w:val="007C024B"/>
    <w:rsid w:val="007C14DC"/>
    <w:rsid w:val="007C50C5"/>
    <w:rsid w:val="007D408A"/>
    <w:rsid w:val="007D43BF"/>
    <w:rsid w:val="007D4A5A"/>
    <w:rsid w:val="007D6B20"/>
    <w:rsid w:val="007E0673"/>
    <w:rsid w:val="007E32FC"/>
    <w:rsid w:val="007F01A2"/>
    <w:rsid w:val="007F0378"/>
    <w:rsid w:val="007F2ABC"/>
    <w:rsid w:val="007F7A77"/>
    <w:rsid w:val="007F7FEC"/>
    <w:rsid w:val="00807AC3"/>
    <w:rsid w:val="0081027D"/>
    <w:rsid w:val="00817B3D"/>
    <w:rsid w:val="00822299"/>
    <w:rsid w:val="0082648B"/>
    <w:rsid w:val="008270D5"/>
    <w:rsid w:val="008279A7"/>
    <w:rsid w:val="00831B7F"/>
    <w:rsid w:val="00831D4B"/>
    <w:rsid w:val="0085250F"/>
    <w:rsid w:val="008525D6"/>
    <w:rsid w:val="00852B47"/>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441E"/>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2FDC"/>
    <w:rsid w:val="0094670F"/>
    <w:rsid w:val="009479D0"/>
    <w:rsid w:val="00961BA9"/>
    <w:rsid w:val="00967923"/>
    <w:rsid w:val="009701D2"/>
    <w:rsid w:val="00970774"/>
    <w:rsid w:val="00972DD0"/>
    <w:rsid w:val="00972FAE"/>
    <w:rsid w:val="0097462A"/>
    <w:rsid w:val="00986292"/>
    <w:rsid w:val="00987779"/>
    <w:rsid w:val="00995ACA"/>
    <w:rsid w:val="009A21A8"/>
    <w:rsid w:val="009A2AA5"/>
    <w:rsid w:val="009A5B30"/>
    <w:rsid w:val="009A63FB"/>
    <w:rsid w:val="009A7757"/>
    <w:rsid w:val="009B55D4"/>
    <w:rsid w:val="009B787A"/>
    <w:rsid w:val="009B7A49"/>
    <w:rsid w:val="009B7AD9"/>
    <w:rsid w:val="009C387D"/>
    <w:rsid w:val="009C571F"/>
    <w:rsid w:val="009D03D2"/>
    <w:rsid w:val="009D0461"/>
    <w:rsid w:val="009D4188"/>
    <w:rsid w:val="009D4EFC"/>
    <w:rsid w:val="009D7FA3"/>
    <w:rsid w:val="009E216D"/>
    <w:rsid w:val="009E6283"/>
    <w:rsid w:val="009E63CA"/>
    <w:rsid w:val="009F34CB"/>
    <w:rsid w:val="009F487D"/>
    <w:rsid w:val="009F7460"/>
    <w:rsid w:val="00A03E44"/>
    <w:rsid w:val="00A075A8"/>
    <w:rsid w:val="00A10A7B"/>
    <w:rsid w:val="00A15F6A"/>
    <w:rsid w:val="00A311C2"/>
    <w:rsid w:val="00A32233"/>
    <w:rsid w:val="00A36A24"/>
    <w:rsid w:val="00A376FB"/>
    <w:rsid w:val="00A40572"/>
    <w:rsid w:val="00A44926"/>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6C8F"/>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2C69"/>
    <w:rsid w:val="00BB6C9A"/>
    <w:rsid w:val="00BC0594"/>
    <w:rsid w:val="00BC11FC"/>
    <w:rsid w:val="00BC1F54"/>
    <w:rsid w:val="00BC4C9D"/>
    <w:rsid w:val="00BC54FC"/>
    <w:rsid w:val="00BC6935"/>
    <w:rsid w:val="00BC694D"/>
    <w:rsid w:val="00BD2118"/>
    <w:rsid w:val="00BD5092"/>
    <w:rsid w:val="00BD5997"/>
    <w:rsid w:val="00BE6F50"/>
    <w:rsid w:val="00BF1BA3"/>
    <w:rsid w:val="00BF588D"/>
    <w:rsid w:val="00C01FD0"/>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0DEA"/>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1191"/>
    <w:rsid w:val="00D34FE4"/>
    <w:rsid w:val="00D3669B"/>
    <w:rsid w:val="00D377A7"/>
    <w:rsid w:val="00D44C95"/>
    <w:rsid w:val="00D452A7"/>
    <w:rsid w:val="00D4584F"/>
    <w:rsid w:val="00D51C91"/>
    <w:rsid w:val="00D54725"/>
    <w:rsid w:val="00D559FF"/>
    <w:rsid w:val="00D62B8C"/>
    <w:rsid w:val="00D63276"/>
    <w:rsid w:val="00D66F39"/>
    <w:rsid w:val="00D84B36"/>
    <w:rsid w:val="00D85853"/>
    <w:rsid w:val="00D936A0"/>
    <w:rsid w:val="00D959D4"/>
    <w:rsid w:val="00D97162"/>
    <w:rsid w:val="00D97CE9"/>
    <w:rsid w:val="00DA36E7"/>
    <w:rsid w:val="00DA4FC7"/>
    <w:rsid w:val="00DA550D"/>
    <w:rsid w:val="00DA7017"/>
    <w:rsid w:val="00DA7EE4"/>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7A15"/>
    <w:rsid w:val="00E4144C"/>
    <w:rsid w:val="00E44F84"/>
    <w:rsid w:val="00E463C6"/>
    <w:rsid w:val="00E53121"/>
    <w:rsid w:val="00E5318E"/>
    <w:rsid w:val="00E53532"/>
    <w:rsid w:val="00E6034D"/>
    <w:rsid w:val="00E704F2"/>
    <w:rsid w:val="00E71967"/>
    <w:rsid w:val="00E74711"/>
    <w:rsid w:val="00E754B1"/>
    <w:rsid w:val="00E75B5D"/>
    <w:rsid w:val="00E801B5"/>
    <w:rsid w:val="00E84001"/>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1294"/>
    <w:rsid w:val="00F2391C"/>
    <w:rsid w:val="00F31E30"/>
    <w:rsid w:val="00F3326F"/>
    <w:rsid w:val="00F34781"/>
    <w:rsid w:val="00F41A5D"/>
    <w:rsid w:val="00F470A2"/>
    <w:rsid w:val="00F50594"/>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28F407C"/>
    <w:rsid w:val="02A0745C"/>
    <w:rsid w:val="02AE55E9"/>
    <w:rsid w:val="02C80459"/>
    <w:rsid w:val="03015719"/>
    <w:rsid w:val="030A119C"/>
    <w:rsid w:val="03393105"/>
    <w:rsid w:val="037D42D2"/>
    <w:rsid w:val="03C03826"/>
    <w:rsid w:val="04041910"/>
    <w:rsid w:val="040E4592"/>
    <w:rsid w:val="04620439"/>
    <w:rsid w:val="051554AC"/>
    <w:rsid w:val="05162DCF"/>
    <w:rsid w:val="058F7720"/>
    <w:rsid w:val="06231E4A"/>
    <w:rsid w:val="06840B3B"/>
    <w:rsid w:val="068723D9"/>
    <w:rsid w:val="06A75D00"/>
    <w:rsid w:val="070B3431"/>
    <w:rsid w:val="07952E3A"/>
    <w:rsid w:val="08053EFD"/>
    <w:rsid w:val="08144141"/>
    <w:rsid w:val="08591B53"/>
    <w:rsid w:val="08B21E29"/>
    <w:rsid w:val="08F157D6"/>
    <w:rsid w:val="09075A53"/>
    <w:rsid w:val="09C3197A"/>
    <w:rsid w:val="09D647DF"/>
    <w:rsid w:val="0A281EEF"/>
    <w:rsid w:val="0A917CCA"/>
    <w:rsid w:val="0AA417AC"/>
    <w:rsid w:val="0B7B7935"/>
    <w:rsid w:val="0BC038D2"/>
    <w:rsid w:val="0BE5207C"/>
    <w:rsid w:val="0BFE4EEC"/>
    <w:rsid w:val="0C0544CC"/>
    <w:rsid w:val="0C9C64B3"/>
    <w:rsid w:val="0CA77331"/>
    <w:rsid w:val="0CAB702B"/>
    <w:rsid w:val="0CC55B89"/>
    <w:rsid w:val="0D350DE1"/>
    <w:rsid w:val="0D501777"/>
    <w:rsid w:val="0D611BD6"/>
    <w:rsid w:val="0D735465"/>
    <w:rsid w:val="0D771249"/>
    <w:rsid w:val="0DED346A"/>
    <w:rsid w:val="0E3914FE"/>
    <w:rsid w:val="0E6974A5"/>
    <w:rsid w:val="0E8F4521"/>
    <w:rsid w:val="0EE54141"/>
    <w:rsid w:val="0EF10D38"/>
    <w:rsid w:val="0F241091"/>
    <w:rsid w:val="0F29161B"/>
    <w:rsid w:val="0F8120BC"/>
    <w:rsid w:val="0F8B4658"/>
    <w:rsid w:val="0F985657"/>
    <w:rsid w:val="0FBB03DB"/>
    <w:rsid w:val="102869DB"/>
    <w:rsid w:val="10BC03C7"/>
    <w:rsid w:val="10D03F34"/>
    <w:rsid w:val="11294683"/>
    <w:rsid w:val="11667BB7"/>
    <w:rsid w:val="117401CE"/>
    <w:rsid w:val="118041DE"/>
    <w:rsid w:val="11D96D2F"/>
    <w:rsid w:val="123E62CC"/>
    <w:rsid w:val="125E784D"/>
    <w:rsid w:val="12C0114D"/>
    <w:rsid w:val="12C02EFB"/>
    <w:rsid w:val="12DC5736"/>
    <w:rsid w:val="130F4A87"/>
    <w:rsid w:val="13834841"/>
    <w:rsid w:val="14237C67"/>
    <w:rsid w:val="14395098"/>
    <w:rsid w:val="143D057B"/>
    <w:rsid w:val="14693EF4"/>
    <w:rsid w:val="14D24E71"/>
    <w:rsid w:val="14E804E7"/>
    <w:rsid w:val="151A3879"/>
    <w:rsid w:val="15674B2D"/>
    <w:rsid w:val="15A13C38"/>
    <w:rsid w:val="163C4F8E"/>
    <w:rsid w:val="166E2C6E"/>
    <w:rsid w:val="16917C74"/>
    <w:rsid w:val="16B60189"/>
    <w:rsid w:val="16CB3E87"/>
    <w:rsid w:val="16DD0B6D"/>
    <w:rsid w:val="16F07B27"/>
    <w:rsid w:val="16F969DB"/>
    <w:rsid w:val="1700420E"/>
    <w:rsid w:val="17146A2E"/>
    <w:rsid w:val="17606A5A"/>
    <w:rsid w:val="17C60E60"/>
    <w:rsid w:val="17D554A5"/>
    <w:rsid w:val="18221F62"/>
    <w:rsid w:val="18595ED3"/>
    <w:rsid w:val="18E72462"/>
    <w:rsid w:val="19754EE1"/>
    <w:rsid w:val="198343FB"/>
    <w:rsid w:val="198D4854"/>
    <w:rsid w:val="19981E2F"/>
    <w:rsid w:val="199D3F96"/>
    <w:rsid w:val="1AE14356"/>
    <w:rsid w:val="1AE54A0E"/>
    <w:rsid w:val="1AE833AF"/>
    <w:rsid w:val="1B0940FF"/>
    <w:rsid w:val="1B5B3CD7"/>
    <w:rsid w:val="1C27223D"/>
    <w:rsid w:val="1C72434F"/>
    <w:rsid w:val="1CAE64BA"/>
    <w:rsid w:val="1CD57C7B"/>
    <w:rsid w:val="1CD622FA"/>
    <w:rsid w:val="1CE36717"/>
    <w:rsid w:val="1D554A05"/>
    <w:rsid w:val="1D583653"/>
    <w:rsid w:val="1D7D7BBC"/>
    <w:rsid w:val="1D8F11D2"/>
    <w:rsid w:val="1DE2466D"/>
    <w:rsid w:val="1E7B6870"/>
    <w:rsid w:val="1EA43628"/>
    <w:rsid w:val="1EA9759F"/>
    <w:rsid w:val="1EC71AB5"/>
    <w:rsid w:val="1F114ADE"/>
    <w:rsid w:val="1F4875E2"/>
    <w:rsid w:val="1F501AAA"/>
    <w:rsid w:val="1FBB33C8"/>
    <w:rsid w:val="1FF0173A"/>
    <w:rsid w:val="203D2BA3"/>
    <w:rsid w:val="205B0707"/>
    <w:rsid w:val="207A1985"/>
    <w:rsid w:val="20915ED7"/>
    <w:rsid w:val="20A0611A"/>
    <w:rsid w:val="20B16579"/>
    <w:rsid w:val="20E27B73"/>
    <w:rsid w:val="211762CF"/>
    <w:rsid w:val="21826735"/>
    <w:rsid w:val="218C669E"/>
    <w:rsid w:val="21F4671D"/>
    <w:rsid w:val="21F678A6"/>
    <w:rsid w:val="22351B45"/>
    <w:rsid w:val="22C5455D"/>
    <w:rsid w:val="22C62CF4"/>
    <w:rsid w:val="23451001"/>
    <w:rsid w:val="23A06120"/>
    <w:rsid w:val="24053DA7"/>
    <w:rsid w:val="24667E33"/>
    <w:rsid w:val="247104F9"/>
    <w:rsid w:val="24782AD4"/>
    <w:rsid w:val="247B4A27"/>
    <w:rsid w:val="24DE1906"/>
    <w:rsid w:val="24F353B2"/>
    <w:rsid w:val="2559758D"/>
    <w:rsid w:val="259D70CC"/>
    <w:rsid w:val="260E093B"/>
    <w:rsid w:val="26F21627"/>
    <w:rsid w:val="27027B2E"/>
    <w:rsid w:val="27027FD4"/>
    <w:rsid w:val="27082C6B"/>
    <w:rsid w:val="277D71B5"/>
    <w:rsid w:val="27952750"/>
    <w:rsid w:val="27CB3585"/>
    <w:rsid w:val="280E0D54"/>
    <w:rsid w:val="28207F86"/>
    <w:rsid w:val="283A6E54"/>
    <w:rsid w:val="286E02B3"/>
    <w:rsid w:val="28AC24C6"/>
    <w:rsid w:val="28B27332"/>
    <w:rsid w:val="28C8735A"/>
    <w:rsid w:val="28CD7B64"/>
    <w:rsid w:val="28DA73F5"/>
    <w:rsid w:val="292329C4"/>
    <w:rsid w:val="29932000"/>
    <w:rsid w:val="29A712B9"/>
    <w:rsid w:val="29AE6B2F"/>
    <w:rsid w:val="29B449E4"/>
    <w:rsid w:val="29F55728"/>
    <w:rsid w:val="2A141CA3"/>
    <w:rsid w:val="2A286500"/>
    <w:rsid w:val="2A30050E"/>
    <w:rsid w:val="2A8E3487"/>
    <w:rsid w:val="2A9E4307"/>
    <w:rsid w:val="2AAE58D7"/>
    <w:rsid w:val="2ACD3FAF"/>
    <w:rsid w:val="2AF43C32"/>
    <w:rsid w:val="2AFE1A2C"/>
    <w:rsid w:val="2B015ADF"/>
    <w:rsid w:val="2B163BA8"/>
    <w:rsid w:val="2B7A0AA7"/>
    <w:rsid w:val="2BA1778A"/>
    <w:rsid w:val="2C025EDA"/>
    <w:rsid w:val="2C1D2D14"/>
    <w:rsid w:val="2C3B056B"/>
    <w:rsid w:val="2CFC2BFE"/>
    <w:rsid w:val="2D7357AD"/>
    <w:rsid w:val="2D742E08"/>
    <w:rsid w:val="2D855015"/>
    <w:rsid w:val="2DA90D03"/>
    <w:rsid w:val="2DD3023A"/>
    <w:rsid w:val="2DF13843"/>
    <w:rsid w:val="2DF225C7"/>
    <w:rsid w:val="2E12514F"/>
    <w:rsid w:val="2E421B72"/>
    <w:rsid w:val="2EAD216B"/>
    <w:rsid w:val="2F052DD8"/>
    <w:rsid w:val="2F195A15"/>
    <w:rsid w:val="2F642A08"/>
    <w:rsid w:val="2F7F157A"/>
    <w:rsid w:val="2FC35462"/>
    <w:rsid w:val="30B17ECF"/>
    <w:rsid w:val="30CD2F5B"/>
    <w:rsid w:val="312955B3"/>
    <w:rsid w:val="314D028A"/>
    <w:rsid w:val="321E77E6"/>
    <w:rsid w:val="32780CA4"/>
    <w:rsid w:val="32BC3287"/>
    <w:rsid w:val="32DD31FD"/>
    <w:rsid w:val="33095B3D"/>
    <w:rsid w:val="33233306"/>
    <w:rsid w:val="339A2E9C"/>
    <w:rsid w:val="33BA151A"/>
    <w:rsid w:val="345F7433"/>
    <w:rsid w:val="3505165F"/>
    <w:rsid w:val="355530AA"/>
    <w:rsid w:val="358E07DF"/>
    <w:rsid w:val="35EB7A48"/>
    <w:rsid w:val="36383696"/>
    <w:rsid w:val="364631D7"/>
    <w:rsid w:val="36806379"/>
    <w:rsid w:val="368928C2"/>
    <w:rsid w:val="36E52680"/>
    <w:rsid w:val="371638DF"/>
    <w:rsid w:val="376A1FCD"/>
    <w:rsid w:val="3776777C"/>
    <w:rsid w:val="377E4FAF"/>
    <w:rsid w:val="37850378"/>
    <w:rsid w:val="37BD420F"/>
    <w:rsid w:val="384E5875"/>
    <w:rsid w:val="38EB0748"/>
    <w:rsid w:val="38F00B77"/>
    <w:rsid w:val="39A20CFD"/>
    <w:rsid w:val="39ED01CA"/>
    <w:rsid w:val="39FF1B87"/>
    <w:rsid w:val="3A2D43ED"/>
    <w:rsid w:val="3A571AE7"/>
    <w:rsid w:val="3A5D7BD1"/>
    <w:rsid w:val="3A79380C"/>
    <w:rsid w:val="3B1F29B6"/>
    <w:rsid w:val="3B8D45DF"/>
    <w:rsid w:val="3B940D0C"/>
    <w:rsid w:val="3BCA5C37"/>
    <w:rsid w:val="3C0D02B8"/>
    <w:rsid w:val="3C123489"/>
    <w:rsid w:val="3C5C711F"/>
    <w:rsid w:val="3C8A61A4"/>
    <w:rsid w:val="3C964B49"/>
    <w:rsid w:val="3C9943D8"/>
    <w:rsid w:val="3CAD798A"/>
    <w:rsid w:val="3D1D2A82"/>
    <w:rsid w:val="3D734E8A"/>
    <w:rsid w:val="3DD53747"/>
    <w:rsid w:val="3DF67891"/>
    <w:rsid w:val="3E18158D"/>
    <w:rsid w:val="3E1D38C4"/>
    <w:rsid w:val="3ECB49F2"/>
    <w:rsid w:val="3ED14C7B"/>
    <w:rsid w:val="3EDE6333"/>
    <w:rsid w:val="3F5B255F"/>
    <w:rsid w:val="3F6B1EDC"/>
    <w:rsid w:val="3FC217B1"/>
    <w:rsid w:val="40275AB8"/>
    <w:rsid w:val="402F5BFF"/>
    <w:rsid w:val="40844CB8"/>
    <w:rsid w:val="408B24EB"/>
    <w:rsid w:val="40A36A84"/>
    <w:rsid w:val="40DC5A18"/>
    <w:rsid w:val="41D209BF"/>
    <w:rsid w:val="423050F8"/>
    <w:rsid w:val="42385C98"/>
    <w:rsid w:val="42C7371B"/>
    <w:rsid w:val="42D02437"/>
    <w:rsid w:val="42F94AE0"/>
    <w:rsid w:val="434846C3"/>
    <w:rsid w:val="437377FC"/>
    <w:rsid w:val="4377703C"/>
    <w:rsid w:val="439A6EE9"/>
    <w:rsid w:val="43B50E83"/>
    <w:rsid w:val="43D4348D"/>
    <w:rsid w:val="44202F4A"/>
    <w:rsid w:val="444B446B"/>
    <w:rsid w:val="44755AC2"/>
    <w:rsid w:val="44A50CAA"/>
    <w:rsid w:val="44D75CFE"/>
    <w:rsid w:val="45154A79"/>
    <w:rsid w:val="45231B23"/>
    <w:rsid w:val="45461087"/>
    <w:rsid w:val="454F6D22"/>
    <w:rsid w:val="458A2D71"/>
    <w:rsid w:val="458E697F"/>
    <w:rsid w:val="459534C4"/>
    <w:rsid w:val="45A100BA"/>
    <w:rsid w:val="468C0D6B"/>
    <w:rsid w:val="46D32016"/>
    <w:rsid w:val="4700584E"/>
    <w:rsid w:val="47280A93"/>
    <w:rsid w:val="47337020"/>
    <w:rsid w:val="474D4056"/>
    <w:rsid w:val="475E2757"/>
    <w:rsid w:val="476D6EF5"/>
    <w:rsid w:val="479C322F"/>
    <w:rsid w:val="47ED3A8B"/>
    <w:rsid w:val="482B7A7B"/>
    <w:rsid w:val="48586940"/>
    <w:rsid w:val="49873024"/>
    <w:rsid w:val="498D2E30"/>
    <w:rsid w:val="49A11F60"/>
    <w:rsid w:val="49CC7DFC"/>
    <w:rsid w:val="4A0155CC"/>
    <w:rsid w:val="4A335BCE"/>
    <w:rsid w:val="4A431F7F"/>
    <w:rsid w:val="4AD11442"/>
    <w:rsid w:val="4B596751"/>
    <w:rsid w:val="4BAC4FAF"/>
    <w:rsid w:val="4BC8467F"/>
    <w:rsid w:val="4BEA27BB"/>
    <w:rsid w:val="4CE2021B"/>
    <w:rsid w:val="4CFE53E3"/>
    <w:rsid w:val="4D435B20"/>
    <w:rsid w:val="4D6C37E5"/>
    <w:rsid w:val="4DB3043D"/>
    <w:rsid w:val="4DCE5C2B"/>
    <w:rsid w:val="4DD70B1D"/>
    <w:rsid w:val="4E0D453F"/>
    <w:rsid w:val="4E1B4533"/>
    <w:rsid w:val="4E8F31A6"/>
    <w:rsid w:val="4ED96B17"/>
    <w:rsid w:val="4EE26052"/>
    <w:rsid w:val="4F04178B"/>
    <w:rsid w:val="4F0A4599"/>
    <w:rsid w:val="4F9E636D"/>
    <w:rsid w:val="4FE63648"/>
    <w:rsid w:val="505F4453"/>
    <w:rsid w:val="50D30FD6"/>
    <w:rsid w:val="50D852D8"/>
    <w:rsid w:val="51905BB3"/>
    <w:rsid w:val="51EF5042"/>
    <w:rsid w:val="52075749"/>
    <w:rsid w:val="521C44FF"/>
    <w:rsid w:val="525A1D1D"/>
    <w:rsid w:val="531E2D4A"/>
    <w:rsid w:val="53773B5B"/>
    <w:rsid w:val="53EC64A0"/>
    <w:rsid w:val="54096788"/>
    <w:rsid w:val="549A2AEF"/>
    <w:rsid w:val="54BF6A11"/>
    <w:rsid w:val="54C53DC5"/>
    <w:rsid w:val="54EA7388"/>
    <w:rsid w:val="54F06565"/>
    <w:rsid w:val="55031D82"/>
    <w:rsid w:val="554F0427"/>
    <w:rsid w:val="55BF6A67"/>
    <w:rsid w:val="56044191"/>
    <w:rsid w:val="560E7CB4"/>
    <w:rsid w:val="564203BE"/>
    <w:rsid w:val="566B274A"/>
    <w:rsid w:val="56B37004"/>
    <w:rsid w:val="56B91708"/>
    <w:rsid w:val="56C854A7"/>
    <w:rsid w:val="570D3802"/>
    <w:rsid w:val="572F5526"/>
    <w:rsid w:val="57573E4D"/>
    <w:rsid w:val="57AF60A5"/>
    <w:rsid w:val="57E24C8E"/>
    <w:rsid w:val="580544D9"/>
    <w:rsid w:val="58104D51"/>
    <w:rsid w:val="581A4BFA"/>
    <w:rsid w:val="586B0FE3"/>
    <w:rsid w:val="588C0756"/>
    <w:rsid w:val="58BA6D2D"/>
    <w:rsid w:val="59017667"/>
    <w:rsid w:val="59185336"/>
    <w:rsid w:val="592409DF"/>
    <w:rsid w:val="59633BAD"/>
    <w:rsid w:val="596C1B0D"/>
    <w:rsid w:val="599975CF"/>
    <w:rsid w:val="59B26A4A"/>
    <w:rsid w:val="59FB128F"/>
    <w:rsid w:val="59FE7432"/>
    <w:rsid w:val="5A04713E"/>
    <w:rsid w:val="5A5F4810"/>
    <w:rsid w:val="5B0E04AE"/>
    <w:rsid w:val="5B0E436F"/>
    <w:rsid w:val="5B0F11F3"/>
    <w:rsid w:val="5B286E5C"/>
    <w:rsid w:val="5B310151"/>
    <w:rsid w:val="5B3572FB"/>
    <w:rsid w:val="5B3B6561"/>
    <w:rsid w:val="5B4A50BF"/>
    <w:rsid w:val="5B9A03B8"/>
    <w:rsid w:val="5BE12FA3"/>
    <w:rsid w:val="5C4D6613"/>
    <w:rsid w:val="5C7659A5"/>
    <w:rsid w:val="5CD10E2D"/>
    <w:rsid w:val="5CFF3BED"/>
    <w:rsid w:val="5D320005"/>
    <w:rsid w:val="5D384590"/>
    <w:rsid w:val="5D8866EC"/>
    <w:rsid w:val="5D8B5480"/>
    <w:rsid w:val="5E221EA4"/>
    <w:rsid w:val="5E286051"/>
    <w:rsid w:val="5E5A7849"/>
    <w:rsid w:val="5E8C14B0"/>
    <w:rsid w:val="5EBF421E"/>
    <w:rsid w:val="5ED910CD"/>
    <w:rsid w:val="5EED2465"/>
    <w:rsid w:val="5F096FA4"/>
    <w:rsid w:val="5F4C0C3F"/>
    <w:rsid w:val="5F6146EB"/>
    <w:rsid w:val="5FCD3F3D"/>
    <w:rsid w:val="603A7008"/>
    <w:rsid w:val="60B22ECB"/>
    <w:rsid w:val="61347A04"/>
    <w:rsid w:val="618D2305"/>
    <w:rsid w:val="61A42FB4"/>
    <w:rsid w:val="621E2D67"/>
    <w:rsid w:val="62373E29"/>
    <w:rsid w:val="62586279"/>
    <w:rsid w:val="629848C7"/>
    <w:rsid w:val="62B13874"/>
    <w:rsid w:val="62C01E93"/>
    <w:rsid w:val="62F12229"/>
    <w:rsid w:val="630C0E11"/>
    <w:rsid w:val="63672753"/>
    <w:rsid w:val="63972DD1"/>
    <w:rsid w:val="63B61C48"/>
    <w:rsid w:val="63FA5FE0"/>
    <w:rsid w:val="644A6859"/>
    <w:rsid w:val="646937B4"/>
    <w:rsid w:val="649317EA"/>
    <w:rsid w:val="64BF74AD"/>
    <w:rsid w:val="64CE1249"/>
    <w:rsid w:val="652274FC"/>
    <w:rsid w:val="6554084E"/>
    <w:rsid w:val="65E62E7A"/>
    <w:rsid w:val="66743F27"/>
    <w:rsid w:val="66C739CD"/>
    <w:rsid w:val="66DB09CF"/>
    <w:rsid w:val="66EC7F6C"/>
    <w:rsid w:val="66FD119D"/>
    <w:rsid w:val="67287B59"/>
    <w:rsid w:val="6761038C"/>
    <w:rsid w:val="6762507E"/>
    <w:rsid w:val="67B57CC9"/>
    <w:rsid w:val="67BB5990"/>
    <w:rsid w:val="688357CB"/>
    <w:rsid w:val="68B27D65"/>
    <w:rsid w:val="69075AE0"/>
    <w:rsid w:val="69156FF4"/>
    <w:rsid w:val="69F452BC"/>
    <w:rsid w:val="6A37733C"/>
    <w:rsid w:val="6A6B466F"/>
    <w:rsid w:val="6AAD178D"/>
    <w:rsid w:val="6AD246EE"/>
    <w:rsid w:val="6B2A62D8"/>
    <w:rsid w:val="6B4F71B4"/>
    <w:rsid w:val="6BB40298"/>
    <w:rsid w:val="6BE627E7"/>
    <w:rsid w:val="6C2766C6"/>
    <w:rsid w:val="6C6A466A"/>
    <w:rsid w:val="6C7D68DC"/>
    <w:rsid w:val="6C946C78"/>
    <w:rsid w:val="6CC649E7"/>
    <w:rsid w:val="6CE626D3"/>
    <w:rsid w:val="6D06067F"/>
    <w:rsid w:val="6DA305C4"/>
    <w:rsid w:val="6DDA5CDD"/>
    <w:rsid w:val="6E105C5A"/>
    <w:rsid w:val="6E124509"/>
    <w:rsid w:val="6E1F5E9D"/>
    <w:rsid w:val="6E612D84"/>
    <w:rsid w:val="6EC801D0"/>
    <w:rsid w:val="6F5F71DE"/>
    <w:rsid w:val="6FAD6799"/>
    <w:rsid w:val="6FBC4288"/>
    <w:rsid w:val="70A41F02"/>
    <w:rsid w:val="70BC3E77"/>
    <w:rsid w:val="70D535C3"/>
    <w:rsid w:val="70DD61B2"/>
    <w:rsid w:val="70F34B3D"/>
    <w:rsid w:val="7151758B"/>
    <w:rsid w:val="71BD3B6F"/>
    <w:rsid w:val="729C445C"/>
    <w:rsid w:val="7318171D"/>
    <w:rsid w:val="736507F6"/>
    <w:rsid w:val="738F5872"/>
    <w:rsid w:val="73A47784"/>
    <w:rsid w:val="7420488D"/>
    <w:rsid w:val="74DD63C6"/>
    <w:rsid w:val="74FD02DE"/>
    <w:rsid w:val="751D3132"/>
    <w:rsid w:val="75470E99"/>
    <w:rsid w:val="763767F1"/>
    <w:rsid w:val="764861AD"/>
    <w:rsid w:val="766E2F60"/>
    <w:rsid w:val="76A75BFB"/>
    <w:rsid w:val="77281627"/>
    <w:rsid w:val="772A5792"/>
    <w:rsid w:val="776E1C43"/>
    <w:rsid w:val="781B45E8"/>
    <w:rsid w:val="78BE0AD8"/>
    <w:rsid w:val="78CD2873"/>
    <w:rsid w:val="78D930EC"/>
    <w:rsid w:val="790D22C6"/>
    <w:rsid w:val="792C51C7"/>
    <w:rsid w:val="79346574"/>
    <w:rsid w:val="79BC3831"/>
    <w:rsid w:val="79E166FC"/>
    <w:rsid w:val="7A0C287B"/>
    <w:rsid w:val="7A146AD1"/>
    <w:rsid w:val="7A1545F8"/>
    <w:rsid w:val="7A4B0B98"/>
    <w:rsid w:val="7A6171B2"/>
    <w:rsid w:val="7A637111"/>
    <w:rsid w:val="7AB76BC1"/>
    <w:rsid w:val="7AC73B44"/>
    <w:rsid w:val="7B1149A6"/>
    <w:rsid w:val="7B226FCC"/>
    <w:rsid w:val="7B4B6523"/>
    <w:rsid w:val="7B7E1775"/>
    <w:rsid w:val="7C9C2DAE"/>
    <w:rsid w:val="7CD67231"/>
    <w:rsid w:val="7CF32EBB"/>
    <w:rsid w:val="7D630A43"/>
    <w:rsid w:val="7D637428"/>
    <w:rsid w:val="7D6457E7"/>
    <w:rsid w:val="7D8D2D92"/>
    <w:rsid w:val="7DBB7264"/>
    <w:rsid w:val="7E8848F2"/>
    <w:rsid w:val="7E933E58"/>
    <w:rsid w:val="7EA52C7F"/>
    <w:rsid w:val="7ED14F91"/>
    <w:rsid w:val="7EE6351F"/>
    <w:rsid w:val="7EF46ED2"/>
    <w:rsid w:val="7F2826D7"/>
    <w:rsid w:val="7F857B2A"/>
    <w:rsid w:val="7FAB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20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229"/>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20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26"/>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22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20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20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21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6"/>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21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22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233"/>
    <w:unhideWhenUsed/>
    <w:qFormat/>
    <w:uiPriority w:val="99"/>
    <w:pPr>
      <w:jc w:val="left"/>
    </w:pPr>
  </w:style>
  <w:style w:type="paragraph" w:styleId="17">
    <w:name w:val="Body Text 3"/>
    <w:basedOn w:val="1"/>
    <w:link w:val="232"/>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223"/>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34"/>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2"/>
    <w:qFormat/>
    <w:uiPriority w:val="99"/>
    <w:pPr>
      <w:spacing w:after="120"/>
      <w:ind w:left="420" w:leftChars="200" w:firstLine="420"/>
    </w:pPr>
    <w:rPr>
      <w:szCs w:val="24"/>
    </w:rPr>
  </w:style>
  <w:style w:type="paragraph" w:styleId="21">
    <w:name w:val="Body Text Indent"/>
    <w:basedOn w:val="1"/>
    <w:next w:val="18"/>
    <w:link w:val="216"/>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218"/>
    <w:qFormat/>
    <w:uiPriority w:val="0"/>
    <w:rPr>
      <w:rFonts w:ascii="宋体" w:hAnsi="Courier New" w:eastAsia="宋体"/>
    </w:rPr>
  </w:style>
  <w:style w:type="paragraph" w:styleId="24">
    <w:name w:val="Date"/>
    <w:basedOn w:val="1"/>
    <w:next w:val="1"/>
    <w:link w:val="220"/>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219"/>
    <w:qFormat/>
    <w:uiPriority w:val="0"/>
    <w:pPr>
      <w:tabs>
        <w:tab w:val="left" w:pos="8640"/>
      </w:tabs>
      <w:ind w:left="1260"/>
    </w:pPr>
    <w:rPr>
      <w:rFonts w:ascii="宋体" w:hAnsi="Times New Roman" w:eastAsia="宋体" w:cs="Times New Roman"/>
      <w:szCs w:val="20"/>
    </w:rPr>
  </w:style>
  <w:style w:type="paragraph" w:styleId="26">
    <w:name w:val="Balloon Text"/>
    <w:basedOn w:val="1"/>
    <w:link w:val="212"/>
    <w:qFormat/>
    <w:uiPriority w:val="0"/>
    <w:rPr>
      <w:rFonts w:ascii="Times New Roman" w:hAnsi="Times New Roman" w:eastAsia="宋体" w:cs="Times New Roman"/>
      <w:sz w:val="18"/>
      <w:szCs w:val="18"/>
    </w:rPr>
  </w:style>
  <w:style w:type="paragraph" w:styleId="27">
    <w:name w:val="footer"/>
    <w:basedOn w:val="1"/>
    <w:link w:val="213"/>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224"/>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23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228"/>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2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217"/>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211"/>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221"/>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semiHidden/>
    <w:unhideWhenUsed/>
    <w:qFormat/>
    <w:uiPriority w:val="99"/>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basedOn w:val="40"/>
    <w:qFormat/>
    <w:uiPriority w:val="99"/>
    <w:rPr>
      <w:sz w:val="21"/>
      <w:szCs w:val="21"/>
    </w:rPr>
  </w:style>
  <w:style w:type="paragraph" w:customStyle="1" w:styleId="47">
    <w:name w:val="文档正文"/>
    <w:basedOn w:val="1"/>
    <w:qFormat/>
    <w:uiPriority w:val="0"/>
    <w:pPr>
      <w:spacing w:line="360" w:lineRule="auto"/>
    </w:pPr>
    <w:rPr>
      <w:rFonts w:ascii="宋体" w:cs="Arial"/>
      <w:bCs/>
    </w:rPr>
  </w:style>
  <w:style w:type="paragraph" w:customStyle="1" w:styleId="48">
    <w:name w:val="首行缩进"/>
    <w:basedOn w:val="1"/>
    <w:qFormat/>
    <w:uiPriority w:val="0"/>
    <w:pPr>
      <w:ind w:firstLine="480" w:firstLineChars="200"/>
    </w:pPr>
    <w:rPr>
      <w:lang w:val="zh-CN"/>
    </w:rPr>
  </w:style>
  <w:style w:type="character" w:customStyle="1" w:styleId="49">
    <w:name w:val="标题 1 字符"/>
    <w:basedOn w:val="40"/>
    <w:qFormat/>
    <w:uiPriority w:val="0"/>
    <w:rPr>
      <w:b/>
      <w:bCs/>
      <w:kern w:val="44"/>
      <w:sz w:val="44"/>
      <w:szCs w:val="44"/>
    </w:rPr>
  </w:style>
  <w:style w:type="character" w:customStyle="1" w:styleId="50">
    <w:name w:val="标题 2 Char"/>
    <w:basedOn w:val="40"/>
    <w:link w:val="3"/>
    <w:qFormat/>
    <w:uiPriority w:val="0"/>
    <w:rPr>
      <w:rFonts w:ascii="宋体" w:hAnsi="Calibri" w:eastAsia="宋体" w:cs="Times New Roman"/>
      <w:kern w:val="0"/>
      <w:sz w:val="24"/>
      <w:szCs w:val="24"/>
    </w:rPr>
  </w:style>
  <w:style w:type="character" w:customStyle="1" w:styleId="51">
    <w:name w:val="标题 3 字符"/>
    <w:basedOn w:val="40"/>
    <w:qFormat/>
    <w:uiPriority w:val="0"/>
    <w:rPr>
      <w:b/>
      <w:bCs/>
      <w:sz w:val="32"/>
      <w:szCs w:val="32"/>
    </w:rPr>
  </w:style>
  <w:style w:type="character" w:customStyle="1" w:styleId="52">
    <w:name w:val="标题 4 Char1"/>
    <w:basedOn w:val="40"/>
    <w:link w:val="5"/>
    <w:qFormat/>
    <w:uiPriority w:val="9"/>
    <w:rPr>
      <w:rFonts w:ascii="Arial" w:hAnsi="Arial" w:eastAsia="黑体" w:cs="Times New Roman"/>
      <w:b/>
      <w:bCs/>
      <w:kern w:val="0"/>
      <w:sz w:val="28"/>
      <w:szCs w:val="28"/>
    </w:rPr>
  </w:style>
  <w:style w:type="character" w:customStyle="1" w:styleId="53">
    <w:name w:val="标题 5 字符"/>
    <w:basedOn w:val="40"/>
    <w:qFormat/>
    <w:uiPriority w:val="9"/>
    <w:rPr>
      <w:b/>
      <w:bCs/>
      <w:sz w:val="28"/>
      <w:szCs w:val="28"/>
    </w:rPr>
  </w:style>
  <w:style w:type="character" w:customStyle="1" w:styleId="54">
    <w:name w:val="标题 6 字符"/>
    <w:basedOn w:val="40"/>
    <w:qFormat/>
    <w:uiPriority w:val="0"/>
    <w:rPr>
      <w:rFonts w:asciiTheme="majorHAnsi" w:hAnsiTheme="majorHAnsi" w:eastAsiaTheme="majorEastAsia" w:cstheme="majorBidi"/>
      <w:b/>
      <w:bCs/>
      <w:sz w:val="24"/>
      <w:szCs w:val="24"/>
    </w:rPr>
  </w:style>
  <w:style w:type="character" w:customStyle="1" w:styleId="55">
    <w:name w:val="标题 7 Char"/>
    <w:basedOn w:val="40"/>
    <w:link w:val="9"/>
    <w:qFormat/>
    <w:uiPriority w:val="9"/>
    <w:rPr>
      <w:rFonts w:ascii="Times New Roman" w:hAnsi="Calibri" w:eastAsia="黑体" w:cs="Times New Roman"/>
      <w:b/>
      <w:bCs/>
      <w:kern w:val="0"/>
      <w:sz w:val="28"/>
      <w:szCs w:val="24"/>
    </w:rPr>
  </w:style>
  <w:style w:type="character" w:customStyle="1" w:styleId="56">
    <w:name w:val="标题 8 Char"/>
    <w:basedOn w:val="40"/>
    <w:link w:val="10"/>
    <w:qFormat/>
    <w:uiPriority w:val="9"/>
    <w:rPr>
      <w:rFonts w:ascii="Times New Roman" w:hAnsi="Calibri" w:eastAsia="黑体" w:cs="Times New Roman"/>
      <w:b/>
      <w:kern w:val="0"/>
      <w:sz w:val="28"/>
      <w:szCs w:val="24"/>
    </w:rPr>
  </w:style>
  <w:style w:type="character" w:customStyle="1" w:styleId="57">
    <w:name w:val="标题 9 Char"/>
    <w:basedOn w:val="40"/>
    <w:link w:val="11"/>
    <w:qFormat/>
    <w:uiPriority w:val="9"/>
    <w:rPr>
      <w:rFonts w:ascii="Times New Roman" w:hAnsi="Calibri" w:eastAsia="黑体" w:cs="Times New Roman"/>
      <w:b/>
      <w:kern w:val="0"/>
      <w:sz w:val="28"/>
      <w:szCs w:val="24"/>
    </w:rPr>
  </w:style>
  <w:style w:type="character" w:customStyle="1" w:styleId="58">
    <w:name w:val="正文文本缩进 字符"/>
    <w:qFormat/>
    <w:uiPriority w:val="0"/>
    <w:rPr>
      <w:rFonts w:ascii="Times New Roman" w:hAnsi="Times New Roman" w:eastAsia="宋体" w:cs="Times New Roman"/>
      <w:szCs w:val="20"/>
    </w:rPr>
  </w:style>
  <w:style w:type="character" w:customStyle="1" w:styleId="59">
    <w:name w:val="普通(网站) Char"/>
    <w:qFormat/>
    <w:locked/>
    <w:uiPriority w:val="0"/>
    <w:rPr>
      <w:rFonts w:ascii="宋体" w:hAnsi="宋体"/>
      <w:sz w:val="15"/>
      <w:szCs w:val="15"/>
    </w:rPr>
  </w:style>
  <w:style w:type="character" w:customStyle="1" w:styleId="60">
    <w:name w:val="标题 Char"/>
    <w:link w:val="36"/>
    <w:qFormat/>
    <w:uiPriority w:val="10"/>
    <w:rPr>
      <w:rFonts w:ascii="等线 Light" w:hAnsi="等线 Light" w:eastAsia="仿宋"/>
      <w:b/>
      <w:bCs/>
      <w:sz w:val="28"/>
      <w:szCs w:val="32"/>
    </w:rPr>
  </w:style>
  <w:style w:type="character" w:customStyle="1" w:styleId="61">
    <w:name w:val="日期 Char"/>
    <w:semiHidden/>
    <w:qFormat/>
    <w:uiPriority w:val="99"/>
    <w:rPr>
      <w:kern w:val="2"/>
      <w:sz w:val="21"/>
    </w:rPr>
  </w:style>
  <w:style w:type="character" w:customStyle="1" w:styleId="62">
    <w:name w:val="文档结构图 字符1"/>
    <w:semiHidden/>
    <w:qFormat/>
    <w:uiPriority w:val="99"/>
    <w:rPr>
      <w:rFonts w:ascii="Microsoft YaHei UI" w:hAnsi="Calibri" w:eastAsia="Microsoft YaHei UI" w:cs="Times New Roman"/>
      <w:kern w:val="0"/>
      <w:sz w:val="18"/>
      <w:szCs w:val="18"/>
    </w:rPr>
  </w:style>
  <w:style w:type="character" w:customStyle="1" w:styleId="63">
    <w:name w:val="批注文字 Char"/>
    <w:semiHidden/>
    <w:qFormat/>
    <w:uiPriority w:val="99"/>
    <w:rPr>
      <w:kern w:val="2"/>
      <w:sz w:val="21"/>
    </w:rPr>
  </w:style>
  <w:style w:type="character" w:customStyle="1" w:styleId="64">
    <w:name w:val="正文缩进2格 Char"/>
    <w:link w:val="65"/>
    <w:qFormat/>
    <w:uiPriority w:val="0"/>
    <w:rPr>
      <w:rFonts w:ascii="仿宋_GB2312" w:hAnsi="宋体" w:eastAsia="仿宋_GB2312"/>
      <w:sz w:val="31"/>
      <w:szCs w:val="28"/>
    </w:rPr>
  </w:style>
  <w:style w:type="paragraph" w:customStyle="1" w:styleId="65">
    <w:name w:val="正文缩进2格"/>
    <w:basedOn w:val="1"/>
    <w:next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semiHidden/>
    <w:qFormat/>
    <w:uiPriority w:val="99"/>
    <w:rPr>
      <w:rFonts w:ascii="Times New Roman" w:hAnsi="Times New Roman"/>
      <w:kern w:val="2"/>
      <w:sz w:val="24"/>
      <w:szCs w:val="24"/>
    </w:rPr>
  </w:style>
  <w:style w:type="character" w:customStyle="1" w:styleId="67">
    <w:name w:val="正文文本缩进 Char"/>
    <w:qFormat/>
    <w:uiPriority w:val="0"/>
    <w:rPr>
      <w:rFonts w:ascii="Times New Roman" w:hAnsi="Times New Roman" w:eastAsia="宋体" w:cs="Times New Roman"/>
      <w:szCs w:val="20"/>
      <w:lang w:val="en-US" w:eastAsia="zh-CN"/>
    </w:rPr>
  </w:style>
  <w:style w:type="character" w:customStyle="1" w:styleId="68">
    <w:name w:val="批注框文本 字符1"/>
    <w:semiHidden/>
    <w:qFormat/>
    <w:uiPriority w:val="99"/>
    <w:rPr>
      <w:rFonts w:ascii="宋体" w:hAnsi="Calibri" w:eastAsia="宋体" w:cs="Times New Roman"/>
      <w:kern w:val="0"/>
      <w:sz w:val="18"/>
      <w:szCs w:val="18"/>
    </w:rPr>
  </w:style>
  <w:style w:type="character" w:customStyle="1" w:styleId="69">
    <w:name w:val="List Paragraph Char"/>
    <w:link w:val="70"/>
    <w:qFormat/>
    <w:uiPriority w:val="34"/>
    <w:rPr>
      <w:rFonts w:ascii="Calibri" w:hAnsi="Calibri"/>
    </w:rPr>
  </w:style>
  <w:style w:type="paragraph" w:customStyle="1" w:styleId="70">
    <w:name w:val="列出段落1"/>
    <w:basedOn w:val="1"/>
    <w:link w:val="69"/>
    <w:qFormat/>
    <w:uiPriority w:val="34"/>
    <w:pPr>
      <w:ind w:firstLine="420" w:firstLineChars="200"/>
    </w:pPr>
    <w:rPr>
      <w:rFonts w:ascii="Calibri" w:hAnsi="Calibri"/>
    </w:rPr>
  </w:style>
  <w:style w:type="character" w:customStyle="1" w:styleId="71">
    <w:name w:val="标书正文 字符"/>
    <w:link w:val="72"/>
    <w:qFormat/>
    <w:uiPriority w:val="0"/>
    <w:rPr>
      <w:rFonts w:ascii="Calibri" w:hAnsi="Calibri" w:eastAsia="仿宋"/>
      <w:sz w:val="24"/>
      <w:szCs w:val="21"/>
    </w:rPr>
  </w:style>
  <w:style w:type="paragraph" w:customStyle="1" w:styleId="72">
    <w:name w:val="标书正文"/>
    <w:basedOn w:val="1"/>
    <w:link w:val="71"/>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semiHidden/>
    <w:qFormat/>
    <w:uiPriority w:val="99"/>
    <w:rPr>
      <w:rFonts w:ascii="Times New Roman" w:hAnsi="Times New Roman"/>
      <w:kern w:val="2"/>
      <w:sz w:val="24"/>
      <w:szCs w:val="24"/>
    </w:rPr>
  </w:style>
  <w:style w:type="character" w:customStyle="1" w:styleId="74">
    <w:name w:val="页脚 Char"/>
    <w:qFormat/>
    <w:uiPriority w:val="0"/>
    <w:rPr>
      <w:kern w:val="2"/>
      <w:sz w:val="18"/>
      <w:szCs w:val="18"/>
    </w:rPr>
  </w:style>
  <w:style w:type="character" w:customStyle="1" w:styleId="75">
    <w:name w:val="neir1"/>
    <w:qFormat/>
    <w:uiPriority w:val="0"/>
    <w:rPr>
      <w:rFonts w:hint="default" w:ascii="ˎ̥" w:hAnsi="ˎ̥"/>
      <w:color w:val="333333"/>
      <w:sz w:val="21"/>
      <w:szCs w:val="21"/>
      <w:u w:val="none"/>
    </w:rPr>
  </w:style>
  <w:style w:type="character" w:customStyle="1" w:styleId="76">
    <w:name w:val="批注框文本 Char1"/>
    <w:link w:val="26"/>
    <w:qFormat/>
    <w:uiPriority w:val="0"/>
    <w:rPr>
      <w:rFonts w:ascii="Times New Roman" w:hAnsi="Times New Roman" w:eastAsia="宋体" w:cs="Times New Roman"/>
      <w:sz w:val="18"/>
      <w:szCs w:val="18"/>
    </w:rPr>
  </w:style>
  <w:style w:type="character" w:customStyle="1" w:styleId="77">
    <w:name w:val="正文文本 3 字符1"/>
    <w:semiHidden/>
    <w:qFormat/>
    <w:uiPriority w:val="99"/>
    <w:rPr>
      <w:rFonts w:ascii="宋体" w:hAnsi="Calibri" w:eastAsia="宋体" w:cs="Times New Roman"/>
      <w:kern w:val="0"/>
      <w:sz w:val="16"/>
      <w:szCs w:val="16"/>
    </w:rPr>
  </w:style>
  <w:style w:type="character" w:customStyle="1" w:styleId="78">
    <w:name w:val="正文文本 字符3"/>
    <w:semiHidden/>
    <w:qFormat/>
    <w:uiPriority w:val="99"/>
    <w:rPr>
      <w:rFonts w:ascii="宋体" w:hAnsi="Calibri" w:eastAsia="宋体" w:cs="Times New Roman"/>
      <w:kern w:val="0"/>
      <w:sz w:val="24"/>
      <w:szCs w:val="24"/>
    </w:rPr>
  </w:style>
  <w:style w:type="character" w:customStyle="1" w:styleId="79">
    <w:name w:val="日期 字符1"/>
    <w:semiHidden/>
    <w:qFormat/>
    <w:uiPriority w:val="99"/>
    <w:rPr>
      <w:rFonts w:ascii="宋体" w:hAnsi="Calibri" w:eastAsia="宋体" w:cs="Times New Roman"/>
      <w:kern w:val="0"/>
      <w:sz w:val="24"/>
      <w:szCs w:val="24"/>
    </w:rPr>
  </w:style>
  <w:style w:type="character" w:customStyle="1" w:styleId="80">
    <w:name w:val="页脚 Char2"/>
    <w:link w:val="27"/>
    <w:qFormat/>
    <w:uiPriority w:val="99"/>
    <w:rPr>
      <w:rFonts w:ascii="宋体" w:eastAsia="宋体"/>
      <w:sz w:val="18"/>
      <w:szCs w:val="18"/>
    </w:rPr>
  </w:style>
  <w:style w:type="character" w:customStyle="1" w:styleId="81">
    <w:name w:val="吉奥正文 Char"/>
    <w:link w:val="82"/>
    <w:qFormat/>
    <w:locked/>
    <w:uiPriority w:val="0"/>
    <w:rPr>
      <w:rFonts w:eastAsia="仿宋_GB2312"/>
      <w:sz w:val="28"/>
    </w:rPr>
  </w:style>
  <w:style w:type="paragraph" w:customStyle="1" w:styleId="82">
    <w:name w:val="吉奥正文"/>
    <w:basedOn w:val="1"/>
    <w:link w:val="81"/>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qFormat/>
    <w:uiPriority w:val="99"/>
    <w:rPr>
      <w:rFonts w:ascii="宋体" w:hAnsi="Times New Roman" w:eastAsia="宋体" w:cs="Times New Roman"/>
      <w:kern w:val="0"/>
      <w:sz w:val="18"/>
      <w:szCs w:val="18"/>
    </w:rPr>
  </w:style>
  <w:style w:type="character" w:customStyle="1" w:styleId="84">
    <w:name w:val="标题 字符"/>
    <w:qFormat/>
    <w:uiPriority w:val="10"/>
    <w:rPr>
      <w:rFonts w:ascii="Cambria" w:hAnsi="Cambria" w:eastAsia="宋体" w:cs="Times New Roman"/>
      <w:b/>
      <w:bCs/>
      <w:kern w:val="0"/>
      <w:sz w:val="32"/>
      <w:szCs w:val="32"/>
      <w:lang w:val="en-US" w:eastAsia="zh-CN"/>
    </w:rPr>
  </w:style>
  <w:style w:type="character" w:customStyle="1" w:styleId="85">
    <w:name w:val="题注 Char"/>
    <w:link w:val="13"/>
    <w:qFormat/>
    <w:uiPriority w:val="0"/>
    <w:rPr>
      <w:rFonts w:ascii="Arial" w:hAnsi="Arial" w:eastAsia="黑体" w:cs="Arial"/>
    </w:rPr>
  </w:style>
  <w:style w:type="character" w:customStyle="1" w:styleId="86">
    <w:name w:val="批注文字 字符2"/>
    <w:qFormat/>
    <w:uiPriority w:val="99"/>
    <w:rPr>
      <w:rFonts w:ascii="宋体" w:hAnsi="Times New Roman" w:eastAsia="宋体" w:cs="Times New Roman"/>
      <w:kern w:val="0"/>
      <w:sz w:val="24"/>
      <w:szCs w:val="24"/>
    </w:rPr>
  </w:style>
  <w:style w:type="character" w:customStyle="1" w:styleId="87">
    <w:name w:val="批注主题 字符1"/>
    <w:semiHidden/>
    <w:qFormat/>
    <w:uiPriority w:val="99"/>
    <w:rPr>
      <w:rFonts w:ascii="宋体" w:hAnsi="Calibri" w:eastAsia="宋体" w:cs="Times New Roman"/>
      <w:b/>
      <w:bCs/>
      <w:kern w:val="0"/>
      <w:sz w:val="24"/>
      <w:szCs w:val="24"/>
    </w:rPr>
  </w:style>
  <w:style w:type="character" w:customStyle="1" w:styleId="88">
    <w:name w:val="HTML 预设格式 Char"/>
    <w:link w:val="34"/>
    <w:qFormat/>
    <w:uiPriority w:val="99"/>
    <w:rPr>
      <w:rFonts w:ascii="Arial" w:hAnsi="Arial" w:eastAsia="宋体" w:cs="Arial"/>
      <w:szCs w:val="21"/>
    </w:rPr>
  </w:style>
  <w:style w:type="character" w:customStyle="1" w:styleId="89">
    <w:name w:val="标题 3.1 Char"/>
    <w:link w:val="90"/>
    <w:qFormat/>
    <w:uiPriority w:val="0"/>
    <w:rPr>
      <w:rFonts w:ascii="宋体" w:hAnsi="宋体"/>
      <w:b/>
      <w:bCs/>
      <w:sz w:val="32"/>
      <w:szCs w:val="32"/>
    </w:rPr>
  </w:style>
  <w:style w:type="paragraph" w:customStyle="1" w:styleId="90">
    <w:name w:val="标题 3.1"/>
    <w:basedOn w:val="4"/>
    <w:link w:val="89"/>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semiHidden/>
    <w:qFormat/>
    <w:uiPriority w:val="99"/>
    <w:rPr>
      <w:rFonts w:ascii="Courier New" w:hAnsi="Courier New" w:eastAsia="宋体" w:cs="Courier New"/>
      <w:kern w:val="0"/>
      <w:sz w:val="20"/>
      <w:szCs w:val="20"/>
    </w:rPr>
  </w:style>
  <w:style w:type="character" w:customStyle="1" w:styleId="92">
    <w:name w:val="批注文字 字符1"/>
    <w:qFormat/>
    <w:uiPriority w:val="0"/>
    <w:rPr>
      <w:rFonts w:eastAsia="宋体"/>
      <w:kern w:val="2"/>
      <w:sz w:val="24"/>
      <w:szCs w:val="24"/>
      <w:lang w:val="en-US" w:eastAsia="zh-CN" w:bidi="ar-SA"/>
    </w:rPr>
  </w:style>
  <w:style w:type="character" w:customStyle="1" w:styleId="93">
    <w:name w:val="正文文本缩进 字符2"/>
    <w:semiHidden/>
    <w:qFormat/>
    <w:uiPriority w:val="99"/>
    <w:rPr>
      <w:rFonts w:ascii="宋体" w:hAnsi="Calibri" w:eastAsia="宋体" w:cs="Times New Roman"/>
      <w:kern w:val="0"/>
      <w:sz w:val="24"/>
      <w:szCs w:val="24"/>
    </w:rPr>
  </w:style>
  <w:style w:type="character" w:customStyle="1" w:styleId="94">
    <w:name w:val="正文文本缩进 Char1"/>
    <w:link w:val="21"/>
    <w:qFormat/>
    <w:uiPriority w:val="0"/>
    <w:rPr>
      <w:rFonts w:ascii="Times New Roman" w:hAnsi="Times New Roman" w:eastAsia="宋体" w:cs="Times New Roman"/>
      <w:szCs w:val="20"/>
    </w:rPr>
  </w:style>
  <w:style w:type="character" w:customStyle="1" w:styleId="95">
    <w:name w:val="普通(网站) Char1"/>
    <w:link w:val="35"/>
    <w:qFormat/>
    <w:locked/>
    <w:uiPriority w:val="0"/>
    <w:rPr>
      <w:rFonts w:ascii="宋体" w:hAnsi="宋体"/>
      <w:sz w:val="15"/>
      <w:szCs w:val="15"/>
    </w:rPr>
  </w:style>
  <w:style w:type="character" w:customStyle="1" w:styleId="96">
    <w:name w:val="模板正文 Char"/>
    <w:link w:val="8"/>
    <w:qFormat/>
    <w:uiPriority w:val="0"/>
    <w:rPr>
      <w:rFonts w:ascii="宋体" w:eastAsia="仿宋"/>
      <w:sz w:val="24"/>
      <w:szCs w:val="21"/>
    </w:rPr>
  </w:style>
  <w:style w:type="character" w:customStyle="1" w:styleId="97">
    <w:name w:val="批注主题 Char"/>
    <w:semiHidden/>
    <w:qFormat/>
    <w:uiPriority w:val="99"/>
    <w:rPr>
      <w:b/>
      <w:bCs/>
      <w:kern w:val="2"/>
      <w:sz w:val="21"/>
    </w:rPr>
  </w:style>
  <w:style w:type="character" w:customStyle="1" w:styleId="98">
    <w:name w:val="正文文本 Char1"/>
    <w:qFormat/>
    <w:uiPriority w:val="0"/>
    <w:rPr>
      <w:rFonts w:ascii="宋体" w:hAnsi="Times New Roman" w:eastAsia="宋体" w:cs="Times New Roman"/>
      <w:kern w:val="0"/>
      <w:sz w:val="24"/>
      <w:szCs w:val="24"/>
    </w:rPr>
  </w:style>
  <w:style w:type="character" w:customStyle="1" w:styleId="99">
    <w:name w:val="正文文本 字符1"/>
    <w:qFormat/>
    <w:uiPriority w:val="99"/>
    <w:rPr>
      <w:rFonts w:ascii="宋体" w:eastAsia="宋体"/>
      <w:b/>
      <w:bCs/>
      <w:sz w:val="84"/>
      <w:szCs w:val="84"/>
      <w:lang w:val="zh-CN"/>
    </w:rPr>
  </w:style>
  <w:style w:type="character" w:customStyle="1" w:styleId="100">
    <w:name w:val="标题 1 Char"/>
    <w:qFormat/>
    <w:uiPriority w:val="9"/>
    <w:rPr>
      <w:rFonts w:ascii="宋体" w:hAnsi="Times New Roman" w:eastAsia="宋体" w:cs="Times New Roman"/>
      <w:kern w:val="0"/>
      <w:sz w:val="24"/>
      <w:szCs w:val="24"/>
    </w:rPr>
  </w:style>
  <w:style w:type="character" w:customStyle="1" w:styleId="101">
    <w:name w:val="正文文本 Char2"/>
    <w:qFormat/>
    <w:uiPriority w:val="99"/>
    <w:rPr>
      <w:rFonts w:ascii="宋体" w:eastAsia="宋体"/>
      <w:b/>
      <w:bCs/>
      <w:sz w:val="84"/>
      <w:szCs w:val="84"/>
      <w:lang w:val="zh-CN"/>
    </w:rPr>
  </w:style>
  <w:style w:type="character" w:customStyle="1" w:styleId="102">
    <w:name w:val="纯文本 Char2"/>
    <w:link w:val="23"/>
    <w:qFormat/>
    <w:uiPriority w:val="0"/>
    <w:rPr>
      <w:rFonts w:ascii="宋体" w:hAnsi="Courier New" w:eastAsia="宋体"/>
    </w:rPr>
  </w:style>
  <w:style w:type="character" w:customStyle="1" w:styleId="103">
    <w:name w:val="正文文本缩进 2 Char"/>
    <w:link w:val="25"/>
    <w:qFormat/>
    <w:uiPriority w:val="0"/>
    <w:rPr>
      <w:rFonts w:ascii="宋体" w:hAnsi="Times New Roman" w:eastAsia="宋体" w:cs="Times New Roman"/>
      <w:szCs w:val="20"/>
    </w:rPr>
  </w:style>
  <w:style w:type="character" w:customStyle="1" w:styleId="104">
    <w:name w:val="HTML Markup"/>
    <w:qFormat/>
    <w:uiPriority w:val="0"/>
    <w:rPr>
      <w:vanish/>
      <w:color w:val="FF0000"/>
    </w:rPr>
  </w:style>
  <w:style w:type="character" w:customStyle="1" w:styleId="105">
    <w:name w:val="页眉 Char1"/>
    <w:qFormat/>
    <w:uiPriority w:val="0"/>
    <w:rPr>
      <w:rFonts w:ascii="宋体" w:hAnsi="Times New Roman" w:eastAsia="宋体" w:cs="Times New Roman"/>
      <w:kern w:val="0"/>
      <w:sz w:val="18"/>
      <w:szCs w:val="18"/>
    </w:rPr>
  </w:style>
  <w:style w:type="character" w:customStyle="1" w:styleId="106">
    <w:name w:val="font11"/>
    <w:qFormat/>
    <w:uiPriority w:val="0"/>
    <w:rPr>
      <w:rFonts w:hint="eastAsia" w:ascii="宋体" w:hAnsi="宋体" w:eastAsia="宋体" w:cs="宋体"/>
      <w:color w:val="FF0000"/>
      <w:sz w:val="22"/>
      <w:szCs w:val="22"/>
      <w:u w:val="none"/>
    </w:rPr>
  </w:style>
  <w:style w:type="character" w:customStyle="1" w:styleId="107">
    <w:name w:val="style61"/>
    <w:qFormat/>
    <w:uiPriority w:val="0"/>
    <w:rPr>
      <w:b/>
      <w:bCs/>
    </w:rPr>
  </w:style>
  <w:style w:type="character" w:customStyle="1" w:styleId="108">
    <w:name w:val="表头文字 Char"/>
    <w:link w:val="109"/>
    <w:qFormat/>
    <w:uiPriority w:val="0"/>
    <w:rPr>
      <w:rFonts w:eastAsia="仿宋_GB2312"/>
      <w:b/>
      <w:sz w:val="28"/>
      <w:szCs w:val="21"/>
    </w:rPr>
  </w:style>
  <w:style w:type="paragraph" w:customStyle="1" w:styleId="109">
    <w:name w:val="表头文字"/>
    <w:basedOn w:val="1"/>
    <w:link w:val="108"/>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qFormat/>
    <w:uiPriority w:val="99"/>
    <w:rPr>
      <w:rFonts w:ascii="宋体" w:hAnsi="Times New Roman" w:eastAsia="宋体" w:cs="Times New Roman"/>
      <w:b/>
      <w:bCs/>
      <w:szCs w:val="21"/>
      <w:lang w:val="zh-CN"/>
    </w:rPr>
  </w:style>
  <w:style w:type="character" w:customStyle="1" w:styleId="111">
    <w:name w:val="纯文本 Char1"/>
    <w:qFormat/>
    <w:uiPriority w:val="0"/>
    <w:rPr>
      <w:rFonts w:ascii="宋体" w:hAnsi="Courier New" w:eastAsia="宋体" w:cs="Courier New"/>
      <w:kern w:val="0"/>
      <w:szCs w:val="21"/>
    </w:rPr>
  </w:style>
  <w:style w:type="character" w:customStyle="1" w:styleId="112">
    <w:name w:val="批注主题 Char1"/>
    <w:link w:val="37"/>
    <w:qFormat/>
    <w:uiPriority w:val="99"/>
    <w:rPr>
      <w:rFonts w:ascii="宋体" w:hAnsi="Times New Roman" w:eastAsia="宋体" w:cs="Times New Roman"/>
      <w:b/>
      <w:bCs/>
      <w:kern w:val="0"/>
      <w:sz w:val="24"/>
      <w:szCs w:val="24"/>
    </w:rPr>
  </w:style>
  <w:style w:type="character" w:customStyle="1" w:styleId="113">
    <w:name w:val="纯文本 字符"/>
    <w:qFormat/>
    <w:uiPriority w:val="99"/>
    <w:rPr>
      <w:rFonts w:ascii="宋体" w:hAnsi="Courier New" w:eastAsia="宋体" w:cs="Times New Roman"/>
      <w:szCs w:val="20"/>
      <w:lang w:val="en-US" w:eastAsia="zh-CN"/>
    </w:rPr>
  </w:style>
  <w:style w:type="character" w:customStyle="1" w:styleId="114">
    <w:name w:val="font71"/>
    <w:qFormat/>
    <w:uiPriority w:val="0"/>
    <w:rPr>
      <w:rFonts w:hint="eastAsia" w:ascii="宋体" w:hAnsi="宋体" w:eastAsia="宋体" w:cs="宋体"/>
      <w:color w:val="FF0000"/>
      <w:sz w:val="18"/>
      <w:szCs w:val="18"/>
      <w:u w:val="none"/>
    </w:rPr>
  </w:style>
  <w:style w:type="character" w:customStyle="1" w:styleId="115">
    <w:name w:val="font21"/>
    <w:qFormat/>
    <w:uiPriority w:val="0"/>
    <w:rPr>
      <w:rFonts w:hint="eastAsia" w:ascii="宋体" w:hAnsi="宋体" w:eastAsia="宋体" w:cs="宋体"/>
      <w:b/>
      <w:color w:val="000000"/>
      <w:sz w:val="21"/>
      <w:szCs w:val="21"/>
      <w:u w:val="none"/>
    </w:rPr>
  </w:style>
  <w:style w:type="character" w:customStyle="1" w:styleId="116">
    <w:name w:val="纯文本 字符3"/>
    <w:semiHidden/>
    <w:qFormat/>
    <w:uiPriority w:val="99"/>
    <w:rPr>
      <w:rFonts w:ascii="等线" w:hAnsi="Courier New" w:cs="Courier New"/>
      <w:kern w:val="0"/>
      <w:sz w:val="24"/>
      <w:szCs w:val="24"/>
    </w:rPr>
  </w:style>
  <w:style w:type="character" w:customStyle="1" w:styleId="117">
    <w:name w:val="font31"/>
    <w:qFormat/>
    <w:uiPriority w:val="0"/>
    <w:rPr>
      <w:rFonts w:hint="eastAsia" w:ascii="宋体" w:hAnsi="宋体" w:eastAsia="宋体" w:cs="宋体"/>
      <w:color w:val="000000"/>
      <w:sz w:val="18"/>
      <w:szCs w:val="18"/>
      <w:u w:val="none"/>
    </w:rPr>
  </w:style>
  <w:style w:type="character" w:customStyle="1" w:styleId="118">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qFormat/>
    <w:locked/>
    <w:uiPriority w:val="0"/>
    <w:rPr>
      <w:rFonts w:ascii="宋体" w:hAnsi="宋体"/>
      <w:sz w:val="15"/>
      <w:szCs w:val="15"/>
    </w:rPr>
  </w:style>
  <w:style w:type="character" w:customStyle="1" w:styleId="120">
    <w:name w:val="正文文本 Char3"/>
    <w:link w:val="18"/>
    <w:qFormat/>
    <w:uiPriority w:val="99"/>
    <w:rPr>
      <w:rFonts w:ascii="宋体" w:eastAsia="宋体"/>
      <w:b/>
      <w:bCs/>
      <w:sz w:val="84"/>
      <w:szCs w:val="84"/>
      <w:lang w:val="zh-CN"/>
    </w:rPr>
  </w:style>
  <w:style w:type="character" w:customStyle="1" w:styleId="121">
    <w:name w:val="标题 5 Char"/>
    <w:semiHidden/>
    <w:qFormat/>
    <w:uiPriority w:val="9"/>
    <w:rPr>
      <w:b/>
      <w:bCs/>
      <w:kern w:val="2"/>
      <w:sz w:val="28"/>
      <w:szCs w:val="28"/>
    </w:rPr>
  </w:style>
  <w:style w:type="character" w:customStyle="1" w:styleId="122">
    <w:name w:val="页眉 Char2"/>
    <w:link w:val="28"/>
    <w:qFormat/>
    <w:uiPriority w:val="99"/>
    <w:rPr>
      <w:rFonts w:ascii="宋体" w:eastAsia="宋体"/>
      <w:sz w:val="18"/>
      <w:szCs w:val="18"/>
    </w:rPr>
  </w:style>
  <w:style w:type="character" w:customStyle="1" w:styleId="123">
    <w:name w:val="表格文字 Char"/>
    <w:link w:val="124"/>
    <w:qFormat/>
    <w:uiPriority w:val="0"/>
    <w:rPr>
      <w:rFonts w:eastAsia="仿宋_GB2312"/>
      <w:sz w:val="28"/>
      <w:szCs w:val="24"/>
    </w:rPr>
  </w:style>
  <w:style w:type="paragraph" w:customStyle="1" w:styleId="124">
    <w:name w:val="表格文字"/>
    <w:basedOn w:val="1"/>
    <w:link w:val="123"/>
    <w:qFormat/>
    <w:uiPriority w:val="0"/>
    <w:rPr>
      <w:rFonts w:eastAsia="仿宋_GB2312"/>
      <w:sz w:val="28"/>
      <w:szCs w:val="24"/>
    </w:rPr>
  </w:style>
  <w:style w:type="character" w:customStyle="1" w:styleId="125">
    <w:name w:val="标题 字符2"/>
    <w:qFormat/>
    <w:uiPriority w:val="10"/>
    <w:rPr>
      <w:rFonts w:ascii="等线 Light" w:hAnsi="等线 Light" w:eastAsia="等线 Light" w:cs="Times New Roman"/>
      <w:b/>
      <w:bCs/>
      <w:kern w:val="0"/>
      <w:sz w:val="32"/>
      <w:szCs w:val="32"/>
    </w:rPr>
  </w:style>
  <w:style w:type="character" w:customStyle="1" w:styleId="126">
    <w:name w:val="正文缩进2格 Char Char"/>
    <w:qFormat/>
    <w:uiPriority w:val="0"/>
    <w:rPr>
      <w:rFonts w:ascii="仿宋_GB2312" w:hAnsi="宋体" w:eastAsia="仿宋_GB2312"/>
      <w:kern w:val="2"/>
      <w:sz w:val="31"/>
      <w:szCs w:val="28"/>
      <w:lang w:val="en-US" w:eastAsia="zh-CN" w:bidi="ar-SA"/>
    </w:rPr>
  </w:style>
  <w:style w:type="character" w:customStyle="1" w:styleId="127">
    <w:name w:val="小 Char"/>
    <w:qFormat/>
    <w:uiPriority w:val="0"/>
    <w:rPr>
      <w:rFonts w:ascii="宋体" w:hAnsi="Courier New" w:eastAsia="宋体"/>
      <w:kern w:val="2"/>
      <w:sz w:val="21"/>
      <w:lang w:val="en-US" w:eastAsia="zh-CN" w:bidi="ar-SA"/>
    </w:rPr>
  </w:style>
  <w:style w:type="character" w:customStyle="1" w:styleId="128">
    <w:name w:val="themebody1"/>
    <w:qFormat/>
    <w:uiPriority w:val="0"/>
    <w:rPr>
      <w:color w:val="FFFFFF"/>
    </w:rPr>
  </w:style>
  <w:style w:type="character" w:customStyle="1" w:styleId="129">
    <w:name w:val="页脚 字符1"/>
    <w:semiHidden/>
    <w:qFormat/>
    <w:uiPriority w:val="99"/>
    <w:rPr>
      <w:rFonts w:ascii="宋体" w:hAnsi="Calibri" w:eastAsia="宋体" w:cs="Times New Roman"/>
      <w:kern w:val="0"/>
      <w:sz w:val="18"/>
      <w:szCs w:val="18"/>
    </w:rPr>
  </w:style>
  <w:style w:type="character" w:customStyle="1" w:styleId="130">
    <w:name w:val="列出段落 Char"/>
    <w:qFormat/>
    <w:uiPriority w:val="34"/>
    <w:rPr>
      <w:kern w:val="2"/>
      <w:sz w:val="21"/>
      <w:szCs w:val="22"/>
    </w:rPr>
  </w:style>
  <w:style w:type="paragraph" w:styleId="131">
    <w:name w:val="List Paragraph"/>
    <w:basedOn w:val="1"/>
    <w:link w:val="225"/>
    <w:qFormat/>
    <w:uiPriority w:val="34"/>
    <w:pPr>
      <w:ind w:firstLine="420" w:firstLineChars="200"/>
    </w:pPr>
  </w:style>
  <w:style w:type="character" w:customStyle="1" w:styleId="132">
    <w:name w:val="正文文本 Char"/>
    <w:qFormat/>
    <w:uiPriority w:val="99"/>
    <w:rPr>
      <w:rFonts w:ascii="宋体" w:eastAsia="宋体"/>
      <w:b/>
      <w:bCs/>
      <w:sz w:val="84"/>
      <w:szCs w:val="84"/>
      <w:lang w:val="zh-CN"/>
    </w:rPr>
  </w:style>
  <w:style w:type="character" w:customStyle="1" w:styleId="133">
    <w:name w:val="页眉 字符1"/>
    <w:semiHidden/>
    <w:qFormat/>
    <w:uiPriority w:val="99"/>
    <w:rPr>
      <w:rFonts w:ascii="宋体" w:hAnsi="Calibri" w:eastAsia="宋体" w:cs="Times New Roman"/>
      <w:kern w:val="0"/>
      <w:sz w:val="18"/>
      <w:szCs w:val="18"/>
    </w:rPr>
  </w:style>
  <w:style w:type="character" w:customStyle="1" w:styleId="134">
    <w:name w:val="标题 5 Char1"/>
    <w:link w:val="6"/>
    <w:qFormat/>
    <w:uiPriority w:val="9"/>
    <w:rPr>
      <w:rFonts w:ascii="宋体" w:hAnsi="Calibri" w:eastAsia="宋体" w:cs="Times New Roman"/>
      <w:b/>
      <w:bCs/>
      <w:kern w:val="0"/>
      <w:sz w:val="28"/>
      <w:szCs w:val="28"/>
    </w:rPr>
  </w:style>
  <w:style w:type="character" w:customStyle="1" w:styleId="135">
    <w:name w:val="keyfeatures1"/>
    <w:qFormat/>
    <w:uiPriority w:val="0"/>
    <w:rPr>
      <w:rFonts w:hint="default" w:ascii="Arial" w:hAnsi="Arial" w:cs="Arial"/>
      <w:color w:val="003366"/>
      <w:sz w:val="17"/>
      <w:szCs w:val="17"/>
      <w:u w:val="none"/>
    </w:rPr>
  </w:style>
  <w:style w:type="character" w:customStyle="1" w:styleId="136">
    <w:name w:val="题注 字符"/>
    <w:qFormat/>
    <w:uiPriority w:val="0"/>
    <w:rPr>
      <w:rFonts w:ascii="宋体" w:hAnsi="宋体" w:eastAsia="黑体" w:cs="Times New Roman"/>
      <w:b/>
      <w:szCs w:val="21"/>
    </w:rPr>
  </w:style>
  <w:style w:type="character" w:customStyle="1" w:styleId="137">
    <w:name w:val="标题 4 Char"/>
    <w:qFormat/>
    <w:uiPriority w:val="0"/>
    <w:rPr>
      <w:rFonts w:ascii="宋体" w:hAnsi="宋体" w:eastAsia="宋体"/>
      <w:b/>
      <w:kern w:val="2"/>
      <w:sz w:val="21"/>
      <w:szCs w:val="24"/>
      <w:lang w:val="en-US" w:eastAsia="zh-CN" w:bidi="ar-SA"/>
    </w:rPr>
  </w:style>
  <w:style w:type="character" w:customStyle="1" w:styleId="138">
    <w:name w:val="批注文字 字符3"/>
    <w:semiHidden/>
    <w:qFormat/>
    <w:uiPriority w:val="99"/>
    <w:rPr>
      <w:rFonts w:ascii="宋体" w:hAnsi="Calibri" w:eastAsia="宋体" w:cs="Times New Roman"/>
      <w:kern w:val="0"/>
      <w:sz w:val="24"/>
      <w:szCs w:val="24"/>
    </w:rPr>
  </w:style>
  <w:style w:type="character" w:customStyle="1" w:styleId="139">
    <w:name w:val="纯文本 字符1"/>
    <w:qFormat/>
    <w:uiPriority w:val="0"/>
    <w:rPr>
      <w:rFonts w:ascii="宋体" w:hAnsi="Courier New" w:eastAsia="宋体"/>
      <w:kern w:val="2"/>
      <w:sz w:val="21"/>
      <w:szCs w:val="24"/>
      <w:lang w:val="en-US" w:eastAsia="zh-CN" w:bidi="ar-SA"/>
    </w:rPr>
  </w:style>
  <w:style w:type="character" w:customStyle="1" w:styleId="140">
    <w:name w:val="列出段落 Char1"/>
    <w:qFormat/>
    <w:uiPriority w:val="34"/>
    <w:rPr>
      <w:rFonts w:ascii="宋体"/>
      <w:sz w:val="24"/>
      <w:szCs w:val="24"/>
    </w:rPr>
  </w:style>
  <w:style w:type="character" w:customStyle="1" w:styleId="141">
    <w:name w:val="彩色列表 - 着色 1 字符"/>
    <w:link w:val="142"/>
    <w:qFormat/>
    <w:uiPriority w:val="0"/>
    <w:rPr>
      <w:rFonts w:ascii="Calibri" w:hAnsi="Calibri"/>
    </w:rPr>
  </w:style>
  <w:style w:type="paragraph" w:customStyle="1" w:styleId="142">
    <w:name w:val="彩色列表 - 着色 11"/>
    <w:basedOn w:val="1"/>
    <w:link w:val="141"/>
    <w:qFormat/>
    <w:uiPriority w:val="0"/>
    <w:pPr>
      <w:ind w:firstLine="420" w:firstLineChars="200"/>
    </w:pPr>
    <w:rPr>
      <w:rFonts w:ascii="Calibri" w:hAnsi="Calibri"/>
    </w:rPr>
  </w:style>
  <w:style w:type="character" w:customStyle="1" w:styleId="143">
    <w:name w:val="纯文本 Char"/>
    <w:qFormat/>
    <w:uiPriority w:val="0"/>
    <w:rPr>
      <w:rFonts w:ascii="宋体" w:hAnsi="Courier New" w:eastAsia="宋体" w:cs="Times New Roman"/>
      <w:szCs w:val="20"/>
    </w:rPr>
  </w:style>
  <w:style w:type="character" w:customStyle="1" w:styleId="144">
    <w:name w:val="标题 6 Char"/>
    <w:link w:val="7"/>
    <w:qFormat/>
    <w:uiPriority w:val="9"/>
    <w:rPr>
      <w:rFonts w:ascii="Times New Roman" w:hAnsi="Calibri" w:eastAsia="黑体" w:cs="Times New Roman"/>
      <w:b/>
      <w:bCs/>
      <w:kern w:val="0"/>
      <w:sz w:val="28"/>
      <w:szCs w:val="24"/>
    </w:rPr>
  </w:style>
  <w:style w:type="character" w:customStyle="1" w:styleId="145">
    <w:name w:val="正文文本 2 Char"/>
    <w:link w:val="33"/>
    <w:qFormat/>
    <w:uiPriority w:val="0"/>
    <w:rPr>
      <w:rFonts w:ascii="Arial" w:hAnsi="Arial" w:eastAsia="宋体" w:cs="Times New Roman"/>
      <w:color w:val="000000"/>
      <w:szCs w:val="24"/>
    </w:rPr>
  </w:style>
  <w:style w:type="character" w:customStyle="1" w:styleId="146">
    <w:name w:val="标题 3 Char"/>
    <w:link w:val="4"/>
    <w:qFormat/>
    <w:uiPriority w:val="0"/>
    <w:rPr>
      <w:rFonts w:ascii="宋体" w:hAnsi="Calibri" w:eastAsia="宋体" w:cs="Times New Roman"/>
      <w:kern w:val="0"/>
      <w:sz w:val="24"/>
      <w:szCs w:val="24"/>
    </w:rPr>
  </w:style>
  <w:style w:type="character" w:customStyle="1" w:styleId="147">
    <w:name w:val="正文文本缩进 2 字符1"/>
    <w:semiHidden/>
    <w:qFormat/>
    <w:uiPriority w:val="99"/>
    <w:rPr>
      <w:rFonts w:ascii="宋体" w:hAnsi="Calibri" w:eastAsia="宋体" w:cs="Times New Roman"/>
      <w:kern w:val="0"/>
      <w:sz w:val="24"/>
      <w:szCs w:val="24"/>
    </w:rPr>
  </w:style>
  <w:style w:type="character" w:customStyle="1" w:styleId="148">
    <w:name w:val="正文文本缩进 3 字符1"/>
    <w:semiHidden/>
    <w:qFormat/>
    <w:uiPriority w:val="99"/>
    <w:rPr>
      <w:rFonts w:ascii="宋体" w:hAnsi="Calibri" w:eastAsia="宋体" w:cs="Times New Roman"/>
      <w:kern w:val="0"/>
      <w:sz w:val="16"/>
      <w:szCs w:val="16"/>
    </w:rPr>
  </w:style>
  <w:style w:type="character" w:customStyle="1" w:styleId="149">
    <w:name w:val="正文文本 2 字符1"/>
    <w:semiHidden/>
    <w:qFormat/>
    <w:uiPriority w:val="99"/>
    <w:rPr>
      <w:rFonts w:ascii="宋体" w:hAnsi="Calibri" w:eastAsia="宋体" w:cs="Times New Roman"/>
      <w:kern w:val="0"/>
      <w:sz w:val="24"/>
      <w:szCs w:val="24"/>
    </w:rPr>
  </w:style>
  <w:style w:type="character" w:customStyle="1" w:styleId="150">
    <w:name w:val="eschoolnr"/>
    <w:qFormat/>
    <w:uiPriority w:val="0"/>
    <w:rPr>
      <w:sz w:val="23"/>
      <w:szCs w:val="23"/>
    </w:rPr>
  </w:style>
  <w:style w:type="character" w:customStyle="1" w:styleId="151">
    <w:name w:val="访问过的超链接1"/>
    <w:qFormat/>
    <w:uiPriority w:val="0"/>
    <w:rPr>
      <w:rFonts w:ascii="Arial" w:hAnsi="Arial" w:cs="Arial"/>
      <w:color w:val="000000"/>
      <w:sz w:val="20"/>
      <w:szCs w:val="20"/>
      <w:u w:val="none"/>
    </w:rPr>
  </w:style>
  <w:style w:type="character" w:customStyle="1" w:styleId="152">
    <w:name w:val="标题 1 Char1"/>
    <w:link w:val="2"/>
    <w:qFormat/>
    <w:uiPriority w:val="0"/>
    <w:rPr>
      <w:rFonts w:ascii="宋体" w:hAnsi="Calibri" w:eastAsia="宋体" w:cs="Times New Roman"/>
      <w:kern w:val="0"/>
      <w:sz w:val="24"/>
      <w:szCs w:val="24"/>
    </w:rPr>
  </w:style>
  <w:style w:type="character" w:customStyle="1" w:styleId="153">
    <w:name w:val="批注文字 Char1"/>
    <w:qFormat/>
    <w:uiPriority w:val="0"/>
    <w:rPr>
      <w:kern w:val="2"/>
      <w:sz w:val="21"/>
      <w:szCs w:val="24"/>
    </w:rPr>
  </w:style>
  <w:style w:type="character" w:customStyle="1" w:styleId="154">
    <w:name w:val="批注框文本 Char"/>
    <w:semiHidden/>
    <w:qFormat/>
    <w:uiPriority w:val="99"/>
    <w:rPr>
      <w:kern w:val="2"/>
      <w:sz w:val="18"/>
      <w:szCs w:val="18"/>
    </w:rPr>
  </w:style>
  <w:style w:type="character" w:customStyle="1" w:styleId="155">
    <w:name w:val="DAS正文 Char"/>
    <w:qFormat/>
    <w:uiPriority w:val="0"/>
    <w:rPr>
      <w:rFonts w:ascii="Verdana" w:hAnsi="Verdana" w:eastAsia="宋体"/>
      <w:kern w:val="2"/>
      <w:sz w:val="21"/>
      <w:szCs w:val="21"/>
      <w:lang w:val="en-US" w:eastAsia="zh-CN" w:bidi="ar-SA"/>
    </w:rPr>
  </w:style>
  <w:style w:type="character" w:customStyle="1" w:styleId="156">
    <w:name w:val="正文文本缩进 3 Char"/>
    <w:link w:val="31"/>
    <w:qFormat/>
    <w:uiPriority w:val="0"/>
    <w:rPr>
      <w:rFonts w:ascii="宋体" w:hAnsi="Times New Roman" w:eastAsia="宋体" w:cs="Times New Roman"/>
      <w:kern w:val="0"/>
      <w:sz w:val="24"/>
      <w:szCs w:val="24"/>
    </w:rPr>
  </w:style>
  <w:style w:type="character" w:customStyle="1" w:styleId="157">
    <w:name w:val="页眉 Char"/>
    <w:qFormat/>
    <w:uiPriority w:val="99"/>
    <w:rPr>
      <w:kern w:val="2"/>
      <w:sz w:val="18"/>
      <w:szCs w:val="18"/>
    </w:rPr>
  </w:style>
  <w:style w:type="character" w:customStyle="1" w:styleId="158">
    <w:name w:val="正文文本 3 Char"/>
    <w:link w:val="17"/>
    <w:qFormat/>
    <w:uiPriority w:val="0"/>
    <w:rPr>
      <w:rFonts w:ascii="宋体" w:hAnsi="Times New Roman" w:eastAsia="宋体" w:cs="Times New Roman"/>
      <w:b/>
      <w:bCs/>
      <w:color w:val="3366FF"/>
      <w:sz w:val="52"/>
      <w:szCs w:val="52"/>
      <w:lang w:val="zh-CN"/>
    </w:rPr>
  </w:style>
  <w:style w:type="character" w:customStyle="1" w:styleId="159">
    <w:name w:val="HTML 预设格式 字符1"/>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qFormat/>
    <w:uiPriority w:val="0"/>
    <w:rPr>
      <w:rFonts w:ascii="宋体"/>
      <w:sz w:val="24"/>
      <w:szCs w:val="24"/>
    </w:rPr>
  </w:style>
  <w:style w:type="paragraph" w:customStyle="1" w:styleId="161">
    <w:name w:val="彩色列表 - 强调文字颜色 11"/>
    <w:basedOn w:val="1"/>
    <w:link w:val="160"/>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semiHidden/>
    <w:qFormat/>
    <w:uiPriority w:val="99"/>
    <w:rPr>
      <w:rFonts w:hAnsi="Courier New" w:cs="Courier New" w:asciiTheme="minorEastAsia"/>
    </w:rPr>
  </w:style>
  <w:style w:type="character" w:customStyle="1" w:styleId="165">
    <w:name w:val="批注文字 Char2"/>
    <w:basedOn w:val="40"/>
    <w:link w:val="16"/>
    <w:semiHidden/>
    <w:qFormat/>
    <w:uiPriority w:val="99"/>
  </w:style>
  <w:style w:type="character" w:customStyle="1" w:styleId="166">
    <w:name w:val="批注主题 字符2"/>
    <w:basedOn w:val="165"/>
    <w:semiHidden/>
    <w:qFormat/>
    <w:uiPriority w:val="99"/>
    <w:rPr>
      <w:b/>
      <w:bCs/>
    </w:rPr>
  </w:style>
  <w:style w:type="character" w:customStyle="1" w:styleId="167">
    <w:name w:val="标题 字符3"/>
    <w:basedOn w:val="40"/>
    <w:qFormat/>
    <w:uiPriority w:val="10"/>
    <w:rPr>
      <w:rFonts w:asciiTheme="majorHAnsi" w:hAnsiTheme="majorHAnsi" w:eastAsiaTheme="majorEastAsia" w:cstheme="majorBidi"/>
      <w:b/>
      <w:bCs/>
      <w:sz w:val="32"/>
      <w:szCs w:val="32"/>
    </w:rPr>
  </w:style>
  <w:style w:type="character" w:customStyle="1" w:styleId="168">
    <w:name w:val="正文文本缩进 字符3"/>
    <w:basedOn w:val="40"/>
    <w:semiHidden/>
    <w:qFormat/>
    <w:uiPriority w:val="99"/>
  </w:style>
  <w:style w:type="character" w:customStyle="1" w:styleId="169">
    <w:name w:val="正文文本 字符4"/>
    <w:basedOn w:val="40"/>
    <w:semiHidden/>
    <w:qFormat/>
    <w:uiPriority w:val="99"/>
  </w:style>
  <w:style w:type="character" w:customStyle="1" w:styleId="170">
    <w:name w:val="正文文本缩进 3 字符2"/>
    <w:basedOn w:val="40"/>
    <w:semiHidden/>
    <w:qFormat/>
    <w:uiPriority w:val="99"/>
    <w:rPr>
      <w:sz w:val="16"/>
      <w:szCs w:val="16"/>
    </w:rPr>
  </w:style>
  <w:style w:type="character" w:customStyle="1" w:styleId="171">
    <w:name w:val="页眉 字符2"/>
    <w:basedOn w:val="40"/>
    <w:semiHidden/>
    <w:qFormat/>
    <w:uiPriority w:val="99"/>
    <w:rPr>
      <w:sz w:val="18"/>
      <w:szCs w:val="18"/>
    </w:rPr>
  </w:style>
  <w:style w:type="character" w:customStyle="1" w:styleId="172">
    <w:name w:val="批注框文本 字符2"/>
    <w:basedOn w:val="40"/>
    <w:semiHidden/>
    <w:qFormat/>
    <w:uiPriority w:val="99"/>
    <w:rPr>
      <w:sz w:val="18"/>
      <w:szCs w:val="18"/>
    </w:rPr>
  </w:style>
  <w:style w:type="character" w:customStyle="1" w:styleId="173">
    <w:name w:val="HTML 预设格式 字符2"/>
    <w:basedOn w:val="40"/>
    <w:semiHidden/>
    <w:qFormat/>
    <w:uiPriority w:val="99"/>
    <w:rPr>
      <w:rFonts w:ascii="Courier New" w:hAnsi="Courier New" w:cs="Courier New"/>
      <w:sz w:val="20"/>
      <w:szCs w:val="20"/>
    </w:rPr>
  </w:style>
  <w:style w:type="character" w:customStyle="1" w:styleId="174">
    <w:name w:val="页脚 字符2"/>
    <w:basedOn w:val="40"/>
    <w:semiHidden/>
    <w:qFormat/>
    <w:uiPriority w:val="99"/>
    <w:rPr>
      <w:sz w:val="18"/>
      <w:szCs w:val="18"/>
    </w:rPr>
  </w:style>
  <w:style w:type="character" w:customStyle="1" w:styleId="175">
    <w:name w:val="正文文本缩进 2 字符2"/>
    <w:basedOn w:val="40"/>
    <w:semiHidden/>
    <w:qFormat/>
    <w:uiPriority w:val="99"/>
  </w:style>
  <w:style w:type="character" w:customStyle="1" w:styleId="176">
    <w:name w:val="正文文本 3 字符2"/>
    <w:basedOn w:val="40"/>
    <w:semiHidden/>
    <w:qFormat/>
    <w:uiPriority w:val="99"/>
    <w:rPr>
      <w:sz w:val="16"/>
      <w:szCs w:val="16"/>
    </w:rPr>
  </w:style>
  <w:style w:type="character" w:customStyle="1" w:styleId="177">
    <w:name w:val="正文文本 2 字符2"/>
    <w:basedOn w:val="40"/>
    <w:semiHidden/>
    <w:qFormat/>
    <w:uiPriority w:val="99"/>
  </w:style>
  <w:style w:type="paragraph" w:customStyle="1" w:styleId="178">
    <w:name w:val="WPSOffice手动目录 3"/>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semiHidden/>
    <w:qFormat/>
    <w:uiPriority w:val="99"/>
    <w:rPr>
      <w:rFonts w:ascii="Microsoft YaHei UI" w:eastAsia="Microsoft YaHei UI"/>
      <w:sz w:val="18"/>
      <w:szCs w:val="18"/>
    </w:rPr>
  </w:style>
  <w:style w:type="character" w:customStyle="1" w:styleId="181">
    <w:name w:val="日期 字符2"/>
    <w:basedOn w:val="40"/>
    <w:semiHidden/>
    <w:qFormat/>
    <w:uiPriority w:val="99"/>
  </w:style>
  <w:style w:type="paragraph" w:customStyle="1" w:styleId="182">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3">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semiHidden/>
    <w:qFormat/>
    <w:uiPriority w:val="99"/>
    <w:rPr>
      <w:rFonts w:ascii="宋体" w:hAnsi="Calibri" w:eastAsia="宋体" w:cs="Times New Roman"/>
      <w:sz w:val="24"/>
      <w:szCs w:val="24"/>
      <w:lang w:val="en-US" w:eastAsia="zh-CN" w:bidi="ar-SA"/>
    </w:rPr>
  </w:style>
  <w:style w:type="paragraph" w:customStyle="1" w:styleId="185">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qFormat/>
    <w:uiPriority w:val="0"/>
    <w:pPr>
      <w:widowControl/>
    </w:pPr>
    <w:rPr>
      <w:rFonts w:ascii="Times New Roman" w:hAnsi="Calibri" w:eastAsia="宋体" w:cs="Times New Roman"/>
      <w:kern w:val="0"/>
      <w:szCs w:val="20"/>
    </w:rPr>
  </w:style>
  <w:style w:type="paragraph" w:customStyle="1" w:styleId="190">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qFormat/>
    <w:uiPriority w:val="0"/>
    <w:rPr>
      <w:rFonts w:ascii="Calibri" w:hAnsi="Calibri" w:eastAsia="宋体" w:cs="Times New Roman"/>
      <w:lang w:val="en-US" w:eastAsia="zh-CN" w:bidi="ar-SA"/>
    </w:rPr>
  </w:style>
  <w:style w:type="paragraph" w:customStyle="1" w:styleId="194">
    <w:name w:val="_Style 69"/>
    <w:basedOn w:val="1"/>
    <w:next w:val="131"/>
    <w:qFormat/>
    <w:uiPriority w:val="34"/>
    <w:pPr>
      <w:spacing w:line="360" w:lineRule="auto"/>
      <w:ind w:firstLine="420" w:firstLineChars="200"/>
    </w:pPr>
    <w:rPr>
      <w:rFonts w:ascii="Calibri" w:hAnsi="Calibri" w:eastAsia="宋体" w:cs="Times New Roman"/>
    </w:rPr>
  </w:style>
  <w:style w:type="paragraph" w:customStyle="1" w:styleId="19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semiHidden/>
    <w:qFormat/>
    <w:uiPriority w:val="99"/>
    <w:rPr>
      <w:rFonts w:ascii="宋体" w:hAnsi="Calibri" w:eastAsia="宋体" w:cs="Times New Roman"/>
      <w:sz w:val="24"/>
      <w:szCs w:val="24"/>
      <w:lang w:val="en-US" w:eastAsia="zh-CN" w:bidi="ar-SA"/>
    </w:rPr>
  </w:style>
  <w:style w:type="paragraph" w:customStyle="1" w:styleId="198">
    <w:name w:val="WPSOffice手动目录 2"/>
    <w:qFormat/>
    <w:uiPriority w:val="0"/>
    <w:pPr>
      <w:ind w:left="200" w:leftChars="200"/>
    </w:pPr>
    <w:rPr>
      <w:rFonts w:ascii="Calibri" w:hAnsi="Calibri" w:eastAsia="宋体" w:cs="Times New Roman"/>
      <w:lang w:val="en-US" w:eastAsia="zh-CN" w:bidi="ar-SA"/>
    </w:rPr>
  </w:style>
  <w:style w:type="paragraph" w:customStyle="1" w:styleId="199">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qFormat/>
    <w:uiPriority w:val="0"/>
    <w:pPr>
      <w:jc w:val="center"/>
    </w:pPr>
    <w:rPr>
      <w:rFonts w:cs="宋体"/>
      <w:szCs w:val="20"/>
    </w:rPr>
  </w:style>
  <w:style w:type="paragraph" w:customStyle="1" w:styleId="201">
    <w:name w:val="正文缩进4格"/>
    <w:basedOn w:val="65"/>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19"/>
    <w:semiHidden/>
    <w:qFormat/>
    <w:uiPriority w:val="99"/>
    <w:rPr>
      <w:rFonts w:ascii="宋体" w:eastAsia="宋体"/>
      <w:b w:val="0"/>
      <w:bCs w:val="0"/>
      <w:sz w:val="84"/>
      <w:szCs w:val="84"/>
      <w:lang w:val="zh-CN"/>
    </w:rPr>
  </w:style>
  <w:style w:type="paragraph" w:customStyle="1" w:styleId="20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character" w:customStyle="1" w:styleId="206">
    <w:name w:val="标题 2 字符"/>
    <w:basedOn w:val="40"/>
    <w:link w:val="3"/>
    <w:autoRedefine/>
    <w:qFormat/>
    <w:uiPriority w:val="0"/>
    <w:rPr>
      <w:rFonts w:ascii="宋体" w:hAnsi="Calibri" w:eastAsia="宋体" w:cs="Times New Roman"/>
      <w:kern w:val="0"/>
      <w:sz w:val="24"/>
      <w:szCs w:val="24"/>
    </w:rPr>
  </w:style>
  <w:style w:type="character" w:customStyle="1" w:styleId="207">
    <w:name w:val="标题 4 字符"/>
    <w:basedOn w:val="40"/>
    <w:link w:val="5"/>
    <w:autoRedefine/>
    <w:qFormat/>
    <w:uiPriority w:val="9"/>
    <w:rPr>
      <w:rFonts w:ascii="Arial" w:hAnsi="Arial" w:eastAsia="黑体" w:cs="Times New Roman"/>
      <w:b/>
      <w:bCs/>
      <w:kern w:val="0"/>
      <w:sz w:val="28"/>
      <w:szCs w:val="28"/>
    </w:rPr>
  </w:style>
  <w:style w:type="character" w:customStyle="1" w:styleId="208">
    <w:name w:val="标题 7 字符"/>
    <w:basedOn w:val="40"/>
    <w:link w:val="9"/>
    <w:autoRedefine/>
    <w:qFormat/>
    <w:uiPriority w:val="9"/>
    <w:rPr>
      <w:rFonts w:ascii="Times New Roman" w:hAnsi="Calibri" w:eastAsia="黑体" w:cs="Times New Roman"/>
      <w:b/>
      <w:bCs/>
      <w:kern w:val="0"/>
      <w:sz w:val="28"/>
      <w:szCs w:val="24"/>
    </w:rPr>
  </w:style>
  <w:style w:type="character" w:customStyle="1" w:styleId="209">
    <w:name w:val="标题 8 字符"/>
    <w:basedOn w:val="40"/>
    <w:link w:val="10"/>
    <w:autoRedefine/>
    <w:qFormat/>
    <w:uiPriority w:val="9"/>
    <w:rPr>
      <w:rFonts w:ascii="Times New Roman" w:hAnsi="Calibri" w:eastAsia="黑体" w:cs="Times New Roman"/>
      <w:b/>
      <w:kern w:val="0"/>
      <w:sz w:val="28"/>
      <w:szCs w:val="24"/>
    </w:rPr>
  </w:style>
  <w:style w:type="character" w:customStyle="1" w:styleId="210">
    <w:name w:val="标题 9 字符"/>
    <w:basedOn w:val="40"/>
    <w:link w:val="11"/>
    <w:autoRedefine/>
    <w:qFormat/>
    <w:uiPriority w:val="9"/>
    <w:rPr>
      <w:rFonts w:ascii="Times New Roman" w:hAnsi="Calibri" w:eastAsia="黑体" w:cs="Times New Roman"/>
      <w:b/>
      <w:kern w:val="0"/>
      <w:sz w:val="28"/>
      <w:szCs w:val="24"/>
    </w:rPr>
  </w:style>
  <w:style w:type="character" w:customStyle="1" w:styleId="211">
    <w:name w:val="标题 字符1"/>
    <w:link w:val="36"/>
    <w:autoRedefine/>
    <w:qFormat/>
    <w:uiPriority w:val="10"/>
    <w:rPr>
      <w:rFonts w:ascii="等线 Light" w:hAnsi="等线 Light" w:eastAsia="仿宋" w:cs="Times New Roman"/>
      <w:b/>
      <w:bCs/>
      <w:sz w:val="28"/>
      <w:szCs w:val="32"/>
    </w:rPr>
  </w:style>
  <w:style w:type="character" w:customStyle="1" w:styleId="212">
    <w:name w:val="批注框文本 字符"/>
    <w:link w:val="26"/>
    <w:autoRedefine/>
    <w:qFormat/>
    <w:uiPriority w:val="0"/>
    <w:rPr>
      <w:rFonts w:ascii="Times New Roman" w:hAnsi="Times New Roman" w:eastAsia="宋体" w:cs="Times New Roman"/>
      <w:sz w:val="18"/>
      <w:szCs w:val="18"/>
    </w:rPr>
  </w:style>
  <w:style w:type="character" w:customStyle="1" w:styleId="213">
    <w:name w:val="页脚 字符"/>
    <w:link w:val="27"/>
    <w:autoRedefine/>
    <w:qFormat/>
    <w:uiPriority w:val="99"/>
    <w:rPr>
      <w:rFonts w:ascii="宋体" w:hAnsi="Times New Roman" w:eastAsia="宋体" w:cs="Times New Roman"/>
      <w:sz w:val="18"/>
      <w:szCs w:val="18"/>
    </w:rPr>
  </w:style>
  <w:style w:type="character" w:customStyle="1" w:styleId="214">
    <w:name w:val="题注 字符1"/>
    <w:link w:val="13"/>
    <w:autoRedefine/>
    <w:qFormat/>
    <w:uiPriority w:val="0"/>
    <w:rPr>
      <w:rFonts w:ascii="Arial" w:hAnsi="Arial" w:eastAsia="黑体" w:cs="Arial"/>
    </w:rPr>
  </w:style>
  <w:style w:type="character" w:customStyle="1" w:styleId="215">
    <w:name w:val="HTML 预设格式 字符"/>
    <w:link w:val="34"/>
    <w:autoRedefine/>
    <w:qFormat/>
    <w:uiPriority w:val="99"/>
    <w:rPr>
      <w:rFonts w:ascii="Arial" w:hAnsi="Arial" w:eastAsia="宋体" w:cs="Arial"/>
      <w:szCs w:val="21"/>
    </w:rPr>
  </w:style>
  <w:style w:type="character" w:customStyle="1" w:styleId="216">
    <w:name w:val="正文文本缩进 字符1"/>
    <w:link w:val="21"/>
    <w:autoRedefine/>
    <w:qFormat/>
    <w:uiPriority w:val="0"/>
    <w:rPr>
      <w:rFonts w:ascii="Times New Roman" w:hAnsi="Times New Roman" w:eastAsia="宋体" w:cs="Times New Roman"/>
      <w:szCs w:val="20"/>
    </w:rPr>
  </w:style>
  <w:style w:type="character" w:customStyle="1" w:styleId="217">
    <w:name w:val="普通(网站) 字符2"/>
    <w:link w:val="35"/>
    <w:autoRedefine/>
    <w:qFormat/>
    <w:locked/>
    <w:uiPriority w:val="0"/>
    <w:rPr>
      <w:rFonts w:ascii="宋体" w:hAnsi="宋体" w:eastAsia="宋体" w:cs="Times New Roman"/>
      <w:sz w:val="15"/>
      <w:szCs w:val="15"/>
    </w:rPr>
  </w:style>
  <w:style w:type="character" w:customStyle="1" w:styleId="218">
    <w:name w:val="纯文本 字符2"/>
    <w:link w:val="23"/>
    <w:autoRedefine/>
    <w:qFormat/>
    <w:uiPriority w:val="0"/>
    <w:rPr>
      <w:rFonts w:ascii="宋体" w:hAnsi="Courier New" w:eastAsia="宋体" w:cs="Times New Roman"/>
    </w:rPr>
  </w:style>
  <w:style w:type="character" w:customStyle="1" w:styleId="219">
    <w:name w:val="正文文本缩进 2 字符"/>
    <w:link w:val="25"/>
    <w:autoRedefine/>
    <w:qFormat/>
    <w:uiPriority w:val="0"/>
    <w:rPr>
      <w:rFonts w:ascii="宋体" w:hAnsi="Times New Roman" w:eastAsia="宋体" w:cs="Times New Roman"/>
      <w:szCs w:val="20"/>
    </w:rPr>
  </w:style>
  <w:style w:type="character" w:customStyle="1" w:styleId="220">
    <w:name w:val="日期 字符"/>
    <w:link w:val="24"/>
    <w:autoRedefine/>
    <w:qFormat/>
    <w:uiPriority w:val="99"/>
    <w:rPr>
      <w:rFonts w:ascii="宋体" w:hAnsi="Times New Roman" w:eastAsia="宋体" w:cs="Times New Roman"/>
      <w:b/>
      <w:bCs/>
      <w:szCs w:val="21"/>
      <w:lang w:val="zh-CN"/>
    </w:rPr>
  </w:style>
  <w:style w:type="character" w:customStyle="1" w:styleId="221">
    <w:name w:val="批注主题 字符"/>
    <w:link w:val="37"/>
    <w:autoRedefine/>
    <w:qFormat/>
    <w:uiPriority w:val="99"/>
    <w:rPr>
      <w:rFonts w:ascii="宋体" w:hAnsi="Times New Roman" w:eastAsia="宋体" w:cs="Times New Roman"/>
      <w:b/>
      <w:bCs/>
      <w:kern w:val="0"/>
      <w:sz w:val="24"/>
      <w:szCs w:val="24"/>
    </w:rPr>
  </w:style>
  <w:style w:type="character" w:customStyle="1" w:styleId="222">
    <w:name w:val="文档结构图 字符"/>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223">
    <w:name w:val="正文文本 字符2"/>
    <w:link w:val="18"/>
    <w:autoRedefine/>
    <w:qFormat/>
    <w:uiPriority w:val="99"/>
    <w:rPr>
      <w:rFonts w:ascii="宋体" w:hAnsi="Times New Roman" w:eastAsia="宋体" w:cs="Times New Roman"/>
      <w:b/>
      <w:bCs/>
      <w:sz w:val="84"/>
      <w:szCs w:val="84"/>
      <w:lang w:val="zh-CN"/>
    </w:rPr>
  </w:style>
  <w:style w:type="character" w:customStyle="1" w:styleId="224">
    <w:name w:val="页眉 字符"/>
    <w:link w:val="28"/>
    <w:autoRedefine/>
    <w:qFormat/>
    <w:uiPriority w:val="99"/>
    <w:rPr>
      <w:rFonts w:ascii="宋体" w:hAnsi="Times New Roman" w:eastAsia="宋体" w:cs="Times New Roman"/>
      <w:sz w:val="18"/>
      <w:szCs w:val="18"/>
    </w:rPr>
  </w:style>
  <w:style w:type="character" w:customStyle="1" w:styleId="225">
    <w:name w:val="列表段落 字符"/>
    <w:link w:val="131"/>
    <w:autoRedefine/>
    <w:qFormat/>
    <w:uiPriority w:val="34"/>
    <w:rPr>
      <w:rFonts w:ascii="Times New Roman" w:hAnsi="Times New Roman" w:eastAsia="宋体" w:cs="Times New Roman"/>
      <w:kern w:val="2"/>
      <w:sz w:val="21"/>
      <w:szCs w:val="22"/>
    </w:rPr>
  </w:style>
  <w:style w:type="character" w:customStyle="1" w:styleId="226">
    <w:name w:val="标题 5 字符1"/>
    <w:link w:val="6"/>
    <w:autoRedefine/>
    <w:qFormat/>
    <w:uiPriority w:val="9"/>
    <w:rPr>
      <w:rFonts w:ascii="宋体" w:hAnsi="Calibri" w:eastAsia="宋体" w:cs="Times New Roman"/>
      <w:b/>
      <w:bCs/>
      <w:kern w:val="0"/>
      <w:sz w:val="28"/>
      <w:szCs w:val="28"/>
    </w:rPr>
  </w:style>
  <w:style w:type="character" w:customStyle="1" w:styleId="227">
    <w:name w:val="标题 6 字符1"/>
    <w:link w:val="7"/>
    <w:autoRedefine/>
    <w:qFormat/>
    <w:uiPriority w:val="9"/>
    <w:rPr>
      <w:rFonts w:ascii="Times New Roman" w:hAnsi="Calibri" w:eastAsia="黑体" w:cs="Times New Roman"/>
      <w:b/>
      <w:bCs/>
      <w:kern w:val="0"/>
      <w:sz w:val="28"/>
      <w:szCs w:val="24"/>
    </w:rPr>
  </w:style>
  <w:style w:type="character" w:customStyle="1" w:styleId="228">
    <w:name w:val="正文文本 2 字符"/>
    <w:link w:val="33"/>
    <w:autoRedefine/>
    <w:qFormat/>
    <w:uiPriority w:val="0"/>
    <w:rPr>
      <w:rFonts w:ascii="Arial" w:hAnsi="Arial" w:eastAsia="宋体" w:cs="Times New Roman"/>
      <w:color w:val="000000"/>
      <w:szCs w:val="24"/>
    </w:rPr>
  </w:style>
  <w:style w:type="character" w:customStyle="1" w:styleId="229">
    <w:name w:val="标题 3 字符1"/>
    <w:link w:val="4"/>
    <w:autoRedefine/>
    <w:qFormat/>
    <w:uiPriority w:val="0"/>
    <w:rPr>
      <w:rFonts w:ascii="宋体" w:hAnsi="Calibri" w:eastAsia="宋体" w:cs="Times New Roman"/>
      <w:kern w:val="0"/>
      <w:sz w:val="24"/>
      <w:szCs w:val="24"/>
    </w:rPr>
  </w:style>
  <w:style w:type="character" w:customStyle="1" w:styleId="230">
    <w:name w:val="标题 1 字符1"/>
    <w:link w:val="2"/>
    <w:autoRedefine/>
    <w:qFormat/>
    <w:uiPriority w:val="0"/>
    <w:rPr>
      <w:rFonts w:ascii="宋体" w:hAnsi="Calibri" w:eastAsia="宋体" w:cs="Times New Roman"/>
      <w:kern w:val="0"/>
      <w:sz w:val="24"/>
      <w:szCs w:val="24"/>
    </w:rPr>
  </w:style>
  <w:style w:type="character" w:customStyle="1" w:styleId="231">
    <w:name w:val="正文文本缩进 3 字符"/>
    <w:link w:val="31"/>
    <w:autoRedefine/>
    <w:qFormat/>
    <w:uiPriority w:val="0"/>
    <w:rPr>
      <w:rFonts w:ascii="宋体" w:hAnsi="Times New Roman" w:eastAsia="宋体" w:cs="Times New Roman"/>
      <w:kern w:val="0"/>
      <w:sz w:val="24"/>
      <w:szCs w:val="24"/>
    </w:rPr>
  </w:style>
  <w:style w:type="character" w:customStyle="1" w:styleId="232">
    <w:name w:val="正文文本 3 字符"/>
    <w:link w:val="17"/>
    <w:autoRedefine/>
    <w:qFormat/>
    <w:uiPriority w:val="0"/>
    <w:rPr>
      <w:rFonts w:ascii="宋体" w:hAnsi="Times New Roman" w:eastAsia="宋体" w:cs="Times New Roman"/>
      <w:b/>
      <w:bCs/>
      <w:color w:val="3366FF"/>
      <w:sz w:val="52"/>
      <w:szCs w:val="52"/>
      <w:lang w:val="zh-CN"/>
    </w:rPr>
  </w:style>
  <w:style w:type="character" w:customStyle="1" w:styleId="233">
    <w:name w:val="批注文字 字符4"/>
    <w:basedOn w:val="40"/>
    <w:link w:val="16"/>
    <w:autoRedefine/>
    <w:semiHidden/>
    <w:qFormat/>
    <w:uiPriority w:val="99"/>
    <w:rPr>
      <w:rFonts w:ascii="Times New Roman" w:hAnsi="Times New Roman" w:eastAsia="宋体" w:cs="Times New Roman"/>
    </w:rPr>
  </w:style>
  <w:style w:type="character" w:customStyle="1" w:styleId="234">
    <w:name w:val="正文文本首行缩进 字符"/>
    <w:basedOn w:val="223"/>
    <w:link w:val="19"/>
    <w:autoRedefine/>
    <w:semiHidden/>
    <w:qFormat/>
    <w:uiPriority w:val="99"/>
    <w:rPr>
      <w:rFonts w:ascii="宋体" w:eastAsia="宋体"/>
      <w:b w:val="0"/>
      <w:bCs w:val="0"/>
      <w:sz w:val="84"/>
      <w:szCs w:val="8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21025</Words>
  <Characters>22272</Characters>
  <Lines>594</Lines>
  <Paragraphs>167</Paragraphs>
  <TotalTime>26</TotalTime>
  <ScaleCrop>false</ScaleCrop>
  <LinksUpToDate>false</LinksUpToDate>
  <CharactersWithSpaces>22701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2025-08-28T07:52:00Z</cp:lastPrinted>
  <dcterms:modified xsi:type="dcterms:W3CDTF">2026-01-12T03:49:50Z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3E56525081594170828AF8D39CFB37CD_13</vt:lpwstr>
  </property>
  <property fmtid="{D5CDD505-2E9C-101B-9397-08002B2CF9AE}" pid="4" name="KSOTemplateDocerSaveRecord">
    <vt:lpwstr>eyJoZGlkIjoiODM5NDdjMTgwYzEzNTE2ZGVmMDA1ZDRhZTg3NDI0ZGUiLCJ1c2VySWQiOiIzNzQxMjY2MjUifQ==</vt:lpwstr>
  </property>
</Properties>
</file>