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4C9A0">
      <w:pPr>
        <w:snapToGrid w:val="0"/>
        <w:spacing w:line="360" w:lineRule="auto"/>
        <w:ind w:right="-26"/>
        <w:jc w:val="center"/>
        <w:rPr>
          <w:rFonts w:hAnsi="宋体"/>
          <w:b/>
          <w:bCs/>
          <w:color w:val="auto"/>
          <w:kern w:val="2"/>
          <w:sz w:val="44"/>
          <w:szCs w:val="44"/>
          <w:highlight w:val="none"/>
          <w:lang w:val="zh-CN"/>
        </w:rPr>
      </w:pPr>
    </w:p>
    <w:p w14:paraId="3F79C305">
      <w:pPr>
        <w:spacing w:line="360" w:lineRule="auto"/>
        <w:jc w:val="center"/>
        <w:rPr>
          <w:rFonts w:hAnsi="宋体"/>
          <w:b/>
          <w:bCs/>
          <w:color w:val="auto"/>
          <w:kern w:val="2"/>
          <w:sz w:val="44"/>
          <w:szCs w:val="44"/>
          <w:highlight w:val="none"/>
          <w:lang w:val="zh-CN"/>
        </w:rPr>
      </w:pPr>
      <w:r>
        <w:rPr>
          <w:rFonts w:hint="default" w:hAnsi="宋体"/>
          <w:b/>
          <w:bCs/>
          <w:color w:val="auto"/>
          <w:kern w:val="2"/>
          <w:sz w:val="44"/>
          <w:szCs w:val="44"/>
          <w:highlight w:val="none"/>
          <w:lang w:val="zh-CN"/>
        </w:rPr>
        <w:t>东莞市东引运河流域樟村断面综合治理工程（污水管网完善工程第二标段）施工合同纠纷专项法律服务（重新采购）项目</w:t>
      </w:r>
      <w:r>
        <w:rPr>
          <w:rFonts w:hAnsi="宋体"/>
          <w:b/>
          <w:bCs/>
          <w:color w:val="auto"/>
          <w:kern w:val="2"/>
          <w:sz w:val="44"/>
          <w:szCs w:val="44"/>
          <w:highlight w:val="none"/>
          <w:lang w:val="zh-CN"/>
        </w:rPr>
        <w:t>询价文件</w:t>
      </w:r>
    </w:p>
    <w:p w14:paraId="554F0561">
      <w:pPr>
        <w:snapToGrid w:val="0"/>
        <w:spacing w:line="360" w:lineRule="auto"/>
        <w:ind w:right="-26"/>
        <w:jc w:val="center"/>
        <w:rPr>
          <w:rFonts w:hAnsi="宋体"/>
          <w:b/>
          <w:bCs/>
          <w:color w:val="auto"/>
          <w:kern w:val="2"/>
          <w:sz w:val="32"/>
          <w:szCs w:val="32"/>
          <w:highlight w:val="none"/>
          <w:lang w:val="zh-CN"/>
        </w:rPr>
      </w:pPr>
    </w:p>
    <w:p w14:paraId="39EA40BE">
      <w:pPr>
        <w:snapToGrid w:val="0"/>
        <w:spacing w:line="360" w:lineRule="auto"/>
        <w:ind w:right="-26"/>
        <w:jc w:val="center"/>
        <w:rPr>
          <w:rFonts w:hAnsi="宋体"/>
          <w:b/>
          <w:bCs/>
          <w:color w:val="auto"/>
          <w:kern w:val="2"/>
          <w:sz w:val="44"/>
          <w:szCs w:val="44"/>
          <w:highlight w:val="none"/>
          <w:lang w:val="zh-CN"/>
        </w:rPr>
      </w:pPr>
    </w:p>
    <w:p w14:paraId="3DA16CDF">
      <w:pPr>
        <w:snapToGrid w:val="0"/>
        <w:spacing w:line="360" w:lineRule="auto"/>
        <w:ind w:right="-26"/>
        <w:jc w:val="center"/>
        <w:rPr>
          <w:rFonts w:hAnsi="宋体"/>
          <w:b/>
          <w:bCs/>
          <w:color w:val="auto"/>
          <w:kern w:val="2"/>
          <w:sz w:val="44"/>
          <w:szCs w:val="44"/>
          <w:highlight w:val="none"/>
          <w:lang w:val="zh-CN"/>
        </w:rPr>
      </w:pPr>
      <w:bookmarkStart w:id="33" w:name="_GoBack"/>
      <w:bookmarkEnd w:id="33"/>
    </w:p>
    <w:p w14:paraId="74B4855E">
      <w:pPr>
        <w:snapToGrid w:val="0"/>
        <w:spacing w:line="360" w:lineRule="auto"/>
        <w:ind w:right="-26"/>
        <w:jc w:val="center"/>
        <w:rPr>
          <w:rFonts w:hAnsi="宋体"/>
          <w:b/>
          <w:bCs/>
          <w:color w:val="auto"/>
          <w:kern w:val="2"/>
          <w:sz w:val="44"/>
          <w:szCs w:val="44"/>
          <w:highlight w:val="none"/>
          <w:lang w:val="zh-CN"/>
        </w:rPr>
      </w:pPr>
    </w:p>
    <w:p w14:paraId="2D58CE2D">
      <w:pPr>
        <w:snapToGrid w:val="0"/>
        <w:spacing w:line="360" w:lineRule="auto"/>
        <w:ind w:right="-26"/>
        <w:jc w:val="both"/>
        <w:rPr>
          <w:rFonts w:hAnsi="宋体"/>
          <w:b/>
          <w:bCs/>
          <w:color w:val="auto"/>
          <w:kern w:val="2"/>
          <w:sz w:val="44"/>
          <w:szCs w:val="44"/>
          <w:highlight w:val="none"/>
          <w:lang w:val="zh-CN"/>
        </w:rPr>
      </w:pPr>
    </w:p>
    <w:p w14:paraId="16F4C945">
      <w:pPr>
        <w:snapToGrid w:val="0"/>
        <w:spacing w:line="360" w:lineRule="auto"/>
        <w:ind w:right="-26"/>
        <w:jc w:val="both"/>
        <w:rPr>
          <w:rFonts w:hAnsi="宋体"/>
          <w:b/>
          <w:bCs/>
          <w:color w:val="auto"/>
          <w:kern w:val="2"/>
          <w:sz w:val="44"/>
          <w:szCs w:val="44"/>
          <w:highlight w:val="none"/>
          <w:lang w:val="zh-CN"/>
        </w:rPr>
      </w:pPr>
    </w:p>
    <w:p w14:paraId="475DC9F3">
      <w:pPr>
        <w:snapToGrid w:val="0"/>
        <w:spacing w:line="360" w:lineRule="auto"/>
        <w:ind w:right="-26"/>
        <w:jc w:val="both"/>
        <w:rPr>
          <w:rFonts w:hAnsi="宋体"/>
          <w:b/>
          <w:bCs/>
          <w:color w:val="auto"/>
          <w:kern w:val="2"/>
          <w:sz w:val="44"/>
          <w:szCs w:val="44"/>
          <w:highlight w:val="none"/>
          <w:lang w:val="zh-CN"/>
        </w:rPr>
      </w:pPr>
    </w:p>
    <w:p w14:paraId="53A094C9">
      <w:pPr>
        <w:snapToGrid w:val="0"/>
        <w:spacing w:line="360" w:lineRule="auto"/>
        <w:ind w:right="-26"/>
        <w:jc w:val="both"/>
        <w:rPr>
          <w:rFonts w:hAnsi="宋体"/>
          <w:b/>
          <w:bCs/>
          <w:color w:val="auto"/>
          <w:kern w:val="2"/>
          <w:sz w:val="44"/>
          <w:szCs w:val="44"/>
          <w:highlight w:val="none"/>
          <w:lang w:val="zh-CN"/>
        </w:rPr>
      </w:pPr>
    </w:p>
    <w:p w14:paraId="7958FD33">
      <w:pPr>
        <w:pStyle w:val="3"/>
        <w:rPr>
          <w:color w:val="auto"/>
          <w:highlight w:val="none"/>
          <w:lang w:val="zh-CN"/>
        </w:rPr>
      </w:pPr>
    </w:p>
    <w:p w14:paraId="03BDE60E">
      <w:pPr>
        <w:snapToGrid w:val="0"/>
        <w:spacing w:after="120" w:afterLines="50" w:line="360" w:lineRule="auto"/>
        <w:jc w:val="center"/>
        <w:outlineLvl w:val="0"/>
        <w:rPr>
          <w:rFonts w:hAnsi="宋体"/>
          <w:b/>
          <w:bCs/>
          <w:color w:val="auto"/>
          <w:kern w:val="2"/>
          <w:sz w:val="32"/>
          <w:szCs w:val="32"/>
          <w:highlight w:val="none"/>
          <w:lang w:val="zh-CN"/>
        </w:rPr>
      </w:pPr>
      <w:bookmarkStart w:id="0" w:name="_Toc10568"/>
      <w:r>
        <w:rPr>
          <w:rFonts w:hint="eastAsia" w:hAnsi="宋体"/>
          <w:b/>
          <w:bCs/>
          <w:color w:val="auto"/>
          <w:kern w:val="2"/>
          <w:sz w:val="32"/>
          <w:szCs w:val="32"/>
          <w:highlight w:val="none"/>
          <w:lang w:val="zh-CN"/>
        </w:rPr>
        <w:t>东莞市水务环境投资控股集团管网有限公司</w:t>
      </w:r>
      <w:bookmarkEnd w:id="0"/>
    </w:p>
    <w:p w14:paraId="79927561">
      <w:pPr>
        <w:snapToGrid w:val="0"/>
        <w:spacing w:after="120" w:afterLines="50" w:line="360" w:lineRule="auto"/>
        <w:jc w:val="center"/>
        <w:rPr>
          <w:rFonts w:hAnsi="宋体"/>
          <w:b/>
          <w:bCs/>
          <w:color w:val="auto"/>
          <w:kern w:val="2"/>
          <w:sz w:val="32"/>
          <w:szCs w:val="32"/>
          <w:highlight w:val="none"/>
          <w:lang w:val="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bookmarkStart w:id="1" w:name="a12ff54d0b30f11f09cebfb70091900a4"/>
      <w:r>
        <w:rPr>
          <w:rFonts w:hAnsi="宋体"/>
          <w:b/>
          <w:bCs/>
          <w:color w:val="auto"/>
          <w:kern w:val="2"/>
          <w:sz w:val="32"/>
          <w:szCs w:val="32"/>
          <w:highlight w:val="none"/>
          <w:lang w:val="zh-CN"/>
        </w:rPr>
        <w:t>202</w:t>
      </w:r>
      <w:r>
        <w:rPr>
          <w:rFonts w:hint="eastAsia" w:hAnsi="宋体"/>
          <w:b/>
          <w:bCs/>
          <w:color w:val="auto"/>
          <w:kern w:val="2"/>
          <w:sz w:val="32"/>
          <w:szCs w:val="32"/>
          <w:highlight w:val="none"/>
          <w:lang w:val="en-US" w:eastAsia="zh-CN"/>
        </w:rPr>
        <w:t>6</w:t>
      </w:r>
      <w:r>
        <w:rPr>
          <w:rFonts w:hAnsi="宋体"/>
          <w:b/>
          <w:bCs/>
          <w:color w:val="auto"/>
          <w:kern w:val="2"/>
          <w:sz w:val="32"/>
          <w:szCs w:val="32"/>
          <w:highlight w:val="none"/>
          <w:lang w:val="zh-CN"/>
        </w:rPr>
        <w:t>年</w:t>
      </w:r>
      <w:r>
        <w:rPr>
          <w:rFonts w:hint="eastAsia" w:hAnsi="宋体"/>
          <w:b/>
          <w:bCs/>
          <w:color w:val="auto"/>
          <w:kern w:val="2"/>
          <w:sz w:val="32"/>
          <w:szCs w:val="32"/>
          <w:highlight w:val="none"/>
          <w:lang w:val="en-US" w:eastAsia="zh-CN"/>
        </w:rPr>
        <w:t>1</w:t>
      </w:r>
      <w:r>
        <w:rPr>
          <w:rFonts w:hAnsi="宋体"/>
          <w:b/>
          <w:bCs/>
          <w:color w:val="auto"/>
          <w:kern w:val="2"/>
          <w:sz w:val="32"/>
          <w:szCs w:val="32"/>
          <w:highlight w:val="none"/>
          <w:lang w:val="zh-CN"/>
        </w:rPr>
        <w:t>月</w:t>
      </w:r>
      <w:r>
        <w:rPr>
          <w:rFonts w:hint="eastAsia" w:hAnsi="宋体"/>
          <w:b/>
          <w:bCs/>
          <w:color w:val="auto"/>
          <w:kern w:val="2"/>
          <w:sz w:val="32"/>
          <w:szCs w:val="32"/>
          <w:highlight w:val="none"/>
          <w:lang w:val="en-US" w:eastAsia="zh-CN"/>
        </w:rPr>
        <w:t>13</w:t>
      </w:r>
      <w:r>
        <w:rPr>
          <w:rFonts w:hAnsi="宋体"/>
          <w:b/>
          <w:bCs/>
          <w:color w:val="auto"/>
          <w:kern w:val="2"/>
          <w:sz w:val="32"/>
          <w:szCs w:val="32"/>
          <w:highlight w:val="none"/>
          <w:lang w:val="zh-CN"/>
        </w:rPr>
        <w:t>日</w:t>
      </w:r>
      <w:bookmarkEnd w:id="1"/>
    </w:p>
    <w:sdt>
      <w:sdtPr>
        <w:rPr>
          <w:rFonts w:hint="eastAsia" w:ascii="宋体" w:hAnsi="宋体" w:eastAsia="宋体" w:cs="宋体"/>
          <w:color w:val="auto"/>
          <w:kern w:val="0"/>
          <w:sz w:val="24"/>
          <w:szCs w:val="24"/>
          <w:highlight w:val="none"/>
          <w:lang w:val="en-US" w:eastAsia="zh-CN" w:bidi="ar-SA"/>
        </w:rPr>
        <w:id w:val="147466770"/>
        <w15:color w:val="DBDBDB"/>
        <w:docPartObj>
          <w:docPartGallery w:val="Table of Contents"/>
          <w:docPartUnique/>
        </w:docPartObj>
      </w:sdtPr>
      <w:sdtEndPr>
        <w:rPr>
          <w:rFonts w:hint="eastAsia" w:ascii="宋体" w:hAnsi="宋体" w:eastAsia="宋体" w:cs="Times New Roman"/>
          <w:bCs/>
          <w:color w:val="auto"/>
          <w:spacing w:val="28"/>
          <w:kern w:val="0"/>
          <w:sz w:val="24"/>
          <w:szCs w:val="32"/>
          <w:highlight w:val="none"/>
          <w:lang w:val="en-US" w:eastAsia="zh-CN" w:bidi="ar-SA"/>
        </w:rPr>
      </w:sdtEndPr>
      <w:sdtContent>
        <w:p w14:paraId="051BFB2C">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14:paraId="10A828B1">
          <w:pPr>
            <w:pStyle w:val="13"/>
            <w:tabs>
              <w:tab w:val="right" w:leader="dot" w:pos="8312"/>
              <w:tab w:val="clear" w:pos="8296"/>
            </w:tabs>
            <w:rPr>
              <w:color w:val="auto"/>
            </w:rPr>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r>
            <w:rPr>
              <w:color w:val="auto"/>
            </w:rPr>
            <w:fldChar w:fldCharType="begin"/>
          </w:r>
          <w:r>
            <w:rPr>
              <w:color w:val="auto"/>
            </w:rPr>
            <w:instrText xml:space="preserve"> HYPERLINK \l "_Toc5573" </w:instrText>
          </w:r>
          <w:r>
            <w:rPr>
              <w:color w:val="auto"/>
            </w:rPr>
            <w:fldChar w:fldCharType="separate"/>
          </w:r>
          <w:r>
            <w:rPr>
              <w:rFonts w:hAnsi="宋体"/>
              <w:color w:val="auto"/>
              <w:szCs w:val="32"/>
              <w:highlight w:val="none"/>
            </w:rPr>
            <w:t>第一章 询价邀请函</w:t>
          </w:r>
          <w:r>
            <w:rPr>
              <w:color w:val="auto"/>
            </w:rPr>
            <w:tab/>
          </w:r>
          <w:r>
            <w:rPr>
              <w:color w:val="auto"/>
            </w:rPr>
            <w:fldChar w:fldCharType="begin"/>
          </w:r>
          <w:r>
            <w:rPr>
              <w:color w:val="auto"/>
            </w:rPr>
            <w:instrText xml:space="preserve"> PAGEREF _Toc5573 \h </w:instrText>
          </w:r>
          <w:r>
            <w:rPr>
              <w:color w:val="auto"/>
            </w:rPr>
            <w:fldChar w:fldCharType="separate"/>
          </w:r>
          <w:r>
            <w:rPr>
              <w:color w:val="auto"/>
            </w:rPr>
            <w:t>3</w:t>
          </w:r>
          <w:r>
            <w:rPr>
              <w:color w:val="auto"/>
            </w:rPr>
            <w:fldChar w:fldCharType="end"/>
          </w:r>
          <w:r>
            <w:rPr>
              <w:color w:val="auto"/>
            </w:rPr>
            <w:fldChar w:fldCharType="end"/>
          </w:r>
        </w:p>
        <w:p w14:paraId="6B7790ED">
          <w:pPr>
            <w:pStyle w:val="13"/>
            <w:tabs>
              <w:tab w:val="right" w:leader="dot" w:pos="8312"/>
              <w:tab w:val="clear" w:pos="8296"/>
            </w:tabs>
            <w:rPr>
              <w:color w:val="auto"/>
            </w:rPr>
          </w:pPr>
          <w:r>
            <w:rPr>
              <w:color w:val="auto"/>
            </w:rPr>
            <w:fldChar w:fldCharType="begin"/>
          </w:r>
          <w:r>
            <w:rPr>
              <w:color w:val="auto"/>
            </w:rPr>
            <w:instrText xml:space="preserve"> HYPERLINK \l "_Toc10962" </w:instrText>
          </w:r>
          <w:r>
            <w:rPr>
              <w:color w:val="auto"/>
            </w:rPr>
            <w:fldChar w:fldCharType="separate"/>
          </w:r>
          <w:r>
            <w:rPr>
              <w:rFonts w:hint="eastAsia" w:hAnsi="宋体"/>
              <w:color w:val="auto"/>
              <w:szCs w:val="32"/>
            </w:rPr>
            <w:t xml:space="preserve">第二章 </w:t>
          </w:r>
          <w:r>
            <w:rPr>
              <w:rFonts w:hAnsi="宋体"/>
              <w:color w:val="auto"/>
              <w:szCs w:val="32"/>
              <w:highlight w:val="none"/>
            </w:rPr>
            <w:t>用户需求书</w:t>
          </w:r>
          <w:r>
            <w:rPr>
              <w:color w:val="auto"/>
            </w:rPr>
            <w:tab/>
          </w:r>
          <w:r>
            <w:rPr>
              <w:color w:val="auto"/>
            </w:rPr>
            <w:fldChar w:fldCharType="begin"/>
          </w:r>
          <w:r>
            <w:rPr>
              <w:color w:val="auto"/>
            </w:rPr>
            <w:instrText xml:space="preserve"> PAGEREF _Toc10962 \h </w:instrText>
          </w:r>
          <w:r>
            <w:rPr>
              <w:color w:val="auto"/>
            </w:rPr>
            <w:fldChar w:fldCharType="separate"/>
          </w:r>
          <w:r>
            <w:rPr>
              <w:color w:val="auto"/>
            </w:rPr>
            <w:t>4</w:t>
          </w:r>
          <w:r>
            <w:rPr>
              <w:color w:val="auto"/>
            </w:rPr>
            <w:fldChar w:fldCharType="end"/>
          </w:r>
          <w:r>
            <w:rPr>
              <w:color w:val="auto"/>
            </w:rPr>
            <w:fldChar w:fldCharType="end"/>
          </w:r>
        </w:p>
        <w:p w14:paraId="5E4818F8">
          <w:pPr>
            <w:pStyle w:val="13"/>
            <w:tabs>
              <w:tab w:val="right" w:leader="dot" w:pos="8312"/>
              <w:tab w:val="clear" w:pos="8296"/>
            </w:tabs>
            <w:rPr>
              <w:color w:val="auto"/>
            </w:rPr>
          </w:pPr>
          <w:r>
            <w:rPr>
              <w:color w:val="auto"/>
            </w:rPr>
            <w:fldChar w:fldCharType="begin"/>
          </w:r>
          <w:r>
            <w:rPr>
              <w:color w:val="auto"/>
            </w:rPr>
            <w:instrText xml:space="preserve"> HYPERLINK \l "_Toc32395" </w:instrText>
          </w:r>
          <w:r>
            <w:rPr>
              <w:color w:val="auto"/>
            </w:rPr>
            <w:fldChar w:fldCharType="separate"/>
          </w:r>
          <w:r>
            <w:rPr>
              <w:rFonts w:hint="eastAsia" w:hAnsi="宋体"/>
              <w:bCs/>
              <w:color w:val="auto"/>
              <w:szCs w:val="32"/>
            </w:rPr>
            <w:t xml:space="preserve">第三章 </w:t>
          </w:r>
          <w:r>
            <w:rPr>
              <w:rFonts w:hint="eastAsia" w:hAnsi="宋体"/>
              <w:bCs/>
              <w:color w:val="auto"/>
              <w:szCs w:val="32"/>
              <w:highlight w:val="none"/>
              <w:lang w:val="en-US" w:eastAsia="zh-CN"/>
            </w:rPr>
            <w:t>合同条款</w:t>
          </w:r>
          <w:r>
            <w:rPr>
              <w:color w:val="auto"/>
            </w:rPr>
            <w:tab/>
          </w:r>
          <w:r>
            <w:rPr>
              <w:color w:val="auto"/>
            </w:rPr>
            <w:fldChar w:fldCharType="begin"/>
          </w:r>
          <w:r>
            <w:rPr>
              <w:color w:val="auto"/>
            </w:rPr>
            <w:instrText xml:space="preserve"> PAGEREF _Toc32395 \h </w:instrText>
          </w:r>
          <w:r>
            <w:rPr>
              <w:color w:val="auto"/>
            </w:rPr>
            <w:fldChar w:fldCharType="separate"/>
          </w:r>
          <w:r>
            <w:rPr>
              <w:color w:val="auto"/>
            </w:rPr>
            <w:t>11</w:t>
          </w:r>
          <w:r>
            <w:rPr>
              <w:color w:val="auto"/>
            </w:rPr>
            <w:fldChar w:fldCharType="end"/>
          </w:r>
          <w:r>
            <w:rPr>
              <w:color w:val="auto"/>
            </w:rPr>
            <w:fldChar w:fldCharType="end"/>
          </w:r>
        </w:p>
        <w:p w14:paraId="3046DAFA">
          <w:pPr>
            <w:pStyle w:val="13"/>
            <w:tabs>
              <w:tab w:val="right" w:leader="dot" w:pos="8312"/>
              <w:tab w:val="clear" w:pos="8296"/>
            </w:tabs>
            <w:rPr>
              <w:color w:val="auto"/>
            </w:rPr>
          </w:pPr>
          <w:r>
            <w:rPr>
              <w:color w:val="auto"/>
            </w:rPr>
            <w:fldChar w:fldCharType="begin"/>
          </w:r>
          <w:r>
            <w:rPr>
              <w:color w:val="auto"/>
            </w:rPr>
            <w:instrText xml:space="preserve"> HYPERLINK \l "_Toc9076" </w:instrText>
          </w:r>
          <w:r>
            <w:rPr>
              <w:color w:val="auto"/>
            </w:rPr>
            <w:fldChar w:fldCharType="separate"/>
          </w:r>
          <w:r>
            <w:rPr>
              <w:rFonts w:hint="eastAsia" w:hAnsi="宋体"/>
              <w:bCs/>
              <w:color w:val="auto"/>
              <w:szCs w:val="32"/>
            </w:rPr>
            <w:t xml:space="preserve">第四章 </w:t>
          </w:r>
          <w:r>
            <w:rPr>
              <w:rFonts w:hAnsi="宋体"/>
              <w:bCs/>
              <w:color w:val="auto"/>
              <w:szCs w:val="32"/>
              <w:highlight w:val="none"/>
            </w:rPr>
            <w:t>报价须知</w:t>
          </w:r>
          <w:r>
            <w:rPr>
              <w:color w:val="auto"/>
            </w:rPr>
            <w:tab/>
          </w:r>
          <w:r>
            <w:rPr>
              <w:color w:val="auto"/>
            </w:rPr>
            <w:fldChar w:fldCharType="begin"/>
          </w:r>
          <w:r>
            <w:rPr>
              <w:color w:val="auto"/>
            </w:rPr>
            <w:instrText xml:space="preserve"> PAGEREF _Toc9076 \h </w:instrText>
          </w:r>
          <w:r>
            <w:rPr>
              <w:color w:val="auto"/>
            </w:rPr>
            <w:fldChar w:fldCharType="separate"/>
          </w:r>
          <w:r>
            <w:rPr>
              <w:color w:val="auto"/>
            </w:rPr>
            <w:t>30</w:t>
          </w:r>
          <w:r>
            <w:rPr>
              <w:color w:val="auto"/>
            </w:rPr>
            <w:fldChar w:fldCharType="end"/>
          </w:r>
          <w:r>
            <w:rPr>
              <w:color w:val="auto"/>
            </w:rPr>
            <w:fldChar w:fldCharType="end"/>
          </w:r>
        </w:p>
        <w:p w14:paraId="5B1BD769">
          <w:pPr>
            <w:pStyle w:val="13"/>
            <w:tabs>
              <w:tab w:val="right" w:leader="dot" w:pos="8312"/>
              <w:tab w:val="clear" w:pos="8296"/>
            </w:tabs>
            <w:rPr>
              <w:color w:val="auto"/>
            </w:rPr>
          </w:pPr>
          <w:r>
            <w:rPr>
              <w:color w:val="auto"/>
            </w:rPr>
            <w:fldChar w:fldCharType="begin"/>
          </w:r>
          <w:r>
            <w:rPr>
              <w:color w:val="auto"/>
            </w:rPr>
            <w:instrText xml:space="preserve"> HYPERLINK \l "_Toc2666" </w:instrText>
          </w:r>
          <w:r>
            <w:rPr>
              <w:color w:val="auto"/>
            </w:rPr>
            <w:fldChar w:fldCharType="separate"/>
          </w:r>
          <w:r>
            <w:rPr>
              <w:rFonts w:hAnsi="宋体"/>
              <w:bCs/>
              <w:color w:val="auto"/>
              <w:szCs w:val="32"/>
              <w:highlight w:val="none"/>
            </w:rPr>
            <w:t>第</w:t>
          </w:r>
          <w:r>
            <w:rPr>
              <w:rFonts w:hint="eastAsia" w:hAnsi="宋体"/>
              <w:bCs/>
              <w:color w:val="auto"/>
              <w:szCs w:val="32"/>
              <w:highlight w:val="none"/>
              <w:lang w:val="en-US" w:eastAsia="zh-CN"/>
            </w:rPr>
            <w:t>五</w:t>
          </w:r>
          <w:r>
            <w:rPr>
              <w:rFonts w:hAnsi="宋体"/>
              <w:bCs/>
              <w:color w:val="auto"/>
              <w:szCs w:val="32"/>
              <w:highlight w:val="none"/>
            </w:rPr>
            <w:t>章 报价文件（格式）</w:t>
          </w:r>
          <w:r>
            <w:rPr>
              <w:color w:val="auto"/>
            </w:rPr>
            <w:tab/>
          </w:r>
          <w:r>
            <w:rPr>
              <w:color w:val="auto"/>
            </w:rPr>
            <w:fldChar w:fldCharType="begin"/>
          </w:r>
          <w:r>
            <w:rPr>
              <w:color w:val="auto"/>
            </w:rPr>
            <w:instrText xml:space="preserve"> PAGEREF _Toc2666 \h </w:instrText>
          </w:r>
          <w:r>
            <w:rPr>
              <w:color w:val="auto"/>
            </w:rPr>
            <w:fldChar w:fldCharType="separate"/>
          </w:r>
          <w:r>
            <w:rPr>
              <w:color w:val="auto"/>
            </w:rPr>
            <w:t>31</w:t>
          </w:r>
          <w:r>
            <w:rPr>
              <w:color w:val="auto"/>
            </w:rPr>
            <w:fldChar w:fldCharType="end"/>
          </w:r>
          <w:r>
            <w:rPr>
              <w:color w:val="auto"/>
            </w:rPr>
            <w:fldChar w:fldCharType="end"/>
          </w:r>
        </w:p>
        <w:p w14:paraId="3C0DF760">
          <w:pPr>
            <w:keepNext w:val="0"/>
            <w:keepLines w:val="0"/>
            <w:pageBreakBefore w:val="0"/>
            <w:kinsoku/>
            <w:wordWrap/>
            <w:overflowPunct/>
            <w:topLinePunct w:val="0"/>
            <w:bidi w:val="0"/>
            <w:snapToGrid w:val="0"/>
            <w:spacing w:after="120" w:afterLines="50" w:line="360" w:lineRule="auto"/>
            <w:textAlignment w:val="auto"/>
            <w:rPr>
              <w:rFonts w:hAnsi="宋体"/>
              <w:b/>
              <w:bCs/>
              <w:color w:val="auto"/>
              <w:spacing w:val="28"/>
              <w:sz w:val="32"/>
              <w:szCs w:val="32"/>
              <w:highlight w:val="none"/>
            </w:rPr>
          </w:pPr>
          <w:r>
            <w:rPr>
              <w:rFonts w:hint="eastAsia" w:ascii="宋体" w:hAnsi="宋体" w:eastAsia="宋体" w:cs="宋体"/>
              <w:bCs/>
              <w:color w:val="auto"/>
              <w:spacing w:val="28"/>
              <w:szCs w:val="24"/>
              <w:highlight w:val="none"/>
            </w:rPr>
            <w:fldChar w:fldCharType="end"/>
          </w:r>
        </w:p>
      </w:sdtContent>
    </w:sdt>
    <w:p w14:paraId="3EDC5738">
      <w:pPr>
        <w:snapToGrid w:val="0"/>
        <w:spacing w:after="120" w:afterLines="50" w:line="360" w:lineRule="auto"/>
        <w:rPr>
          <w:rFonts w:hAnsi="宋体"/>
          <w:b/>
          <w:bCs/>
          <w:color w:val="auto"/>
          <w:spacing w:val="28"/>
          <w:sz w:val="32"/>
          <w:szCs w:val="32"/>
          <w:highlight w:val="none"/>
        </w:rPr>
      </w:pPr>
    </w:p>
    <w:p w14:paraId="511BB56F">
      <w:pPr>
        <w:snapToGrid w:val="0"/>
        <w:spacing w:after="120" w:afterLines="50" w:line="360" w:lineRule="auto"/>
        <w:jc w:val="center"/>
        <w:rPr>
          <w:rFonts w:hAnsi="宋体"/>
          <w:b/>
          <w:bCs/>
          <w:color w:val="auto"/>
          <w:spacing w:val="28"/>
          <w:sz w:val="32"/>
          <w:szCs w:val="32"/>
          <w:highlight w:val="none"/>
        </w:rPr>
      </w:pPr>
    </w:p>
    <w:p w14:paraId="5E013F60">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41B9BB32">
      <w:pPr>
        <w:pStyle w:val="4"/>
        <w:snapToGrid w:val="0"/>
        <w:spacing w:before="0" w:after="0"/>
        <w:jc w:val="center"/>
        <w:rPr>
          <w:rFonts w:hAnsi="宋体"/>
          <w:b w:val="0"/>
          <w:bCs w:val="0"/>
          <w:color w:val="auto"/>
          <w:szCs w:val="32"/>
          <w:highlight w:val="none"/>
        </w:rPr>
      </w:pPr>
      <w:bookmarkStart w:id="2" w:name="_Toc5573"/>
      <w:r>
        <w:rPr>
          <w:rFonts w:hAnsi="宋体"/>
          <w:color w:val="auto"/>
          <w:szCs w:val="32"/>
          <w:highlight w:val="none"/>
        </w:rPr>
        <w:t>第一章 询价邀请函</w:t>
      </w:r>
      <w:bookmarkEnd w:id="2"/>
    </w:p>
    <w:p w14:paraId="03F77B5E">
      <w:pPr>
        <w:snapToGrid w:val="0"/>
        <w:spacing w:line="360" w:lineRule="auto"/>
        <w:rPr>
          <w:rFonts w:hAnsi="宋体"/>
          <w:color w:val="auto"/>
          <w:highlight w:val="none"/>
        </w:rPr>
      </w:pPr>
      <w:r>
        <w:rPr>
          <w:rFonts w:hAnsi="宋体"/>
          <w:color w:val="auto"/>
          <w:highlight w:val="none"/>
        </w:rPr>
        <w:t>各供应商:</w:t>
      </w:r>
    </w:p>
    <w:p w14:paraId="08852B92">
      <w:pPr>
        <w:snapToGrid w:val="0"/>
        <w:spacing w:line="360" w:lineRule="auto"/>
        <w:ind w:firstLine="480" w:firstLineChars="200"/>
        <w:rPr>
          <w:rFonts w:hAnsi="宋体"/>
          <w:color w:val="auto"/>
          <w:highlight w:val="none"/>
        </w:rPr>
      </w:pPr>
      <w:r>
        <w:rPr>
          <w:rFonts w:hAnsi="宋体"/>
          <w:color w:val="auto"/>
          <w:highlight w:val="none"/>
        </w:rPr>
        <w:t>我公</w:t>
      </w:r>
      <w:r>
        <w:rPr>
          <w:rFonts w:hAnsi="宋体" w:cs="Times New Roman"/>
          <w:color w:val="auto"/>
          <w:highlight w:val="none"/>
        </w:rPr>
        <w:t>司的“</w:t>
      </w:r>
      <w:r>
        <w:rPr>
          <w:rFonts w:hint="eastAsia" w:hAnsi="宋体" w:cs="Times New Roman"/>
          <w:color w:val="auto"/>
          <w:highlight w:val="none"/>
        </w:rPr>
        <w:t>东莞市东引运河流域樟村断面综合治理工程（污水管网完善工程第二标段）施工合同纠纷专项法律服务</w:t>
      </w:r>
      <w:r>
        <w:rPr>
          <w:rFonts w:hint="eastAsia" w:hAnsi="宋体" w:cs="Times New Roman"/>
          <w:color w:val="auto"/>
          <w:highlight w:val="none"/>
          <w:lang w:eastAsia="zh-CN"/>
        </w:rPr>
        <w:t>（</w:t>
      </w:r>
      <w:r>
        <w:rPr>
          <w:rFonts w:hint="eastAsia" w:hAnsi="宋体" w:cs="Times New Roman"/>
          <w:color w:val="auto"/>
          <w:highlight w:val="none"/>
          <w:lang w:val="en-US" w:eastAsia="zh-CN"/>
        </w:rPr>
        <w:t>重新采购</w:t>
      </w:r>
      <w:r>
        <w:rPr>
          <w:rFonts w:hint="eastAsia" w:hAnsi="宋体" w:cs="Times New Roman"/>
          <w:color w:val="auto"/>
          <w:highlight w:val="none"/>
          <w:lang w:eastAsia="zh-CN"/>
        </w:rPr>
        <w:t>）</w:t>
      </w:r>
      <w:r>
        <w:rPr>
          <w:rFonts w:hint="eastAsia" w:hAnsi="宋体" w:cs="Times New Roman"/>
          <w:color w:val="auto"/>
          <w:highlight w:val="none"/>
        </w:rPr>
        <w:t>项目</w:t>
      </w:r>
      <w:r>
        <w:rPr>
          <w:rFonts w:hAnsi="宋体" w:cs="Times New Roman"/>
          <w:color w:val="auto"/>
          <w:highlight w:val="none"/>
        </w:rPr>
        <w:t>”</w:t>
      </w:r>
      <w:r>
        <w:rPr>
          <w:rFonts w:hAnsi="宋体"/>
          <w:color w:val="auto"/>
          <w:highlight w:val="none"/>
        </w:rPr>
        <w:t>开展</w:t>
      </w:r>
      <w:r>
        <w:rPr>
          <w:rFonts w:hint="eastAsia" w:hAnsi="宋体"/>
          <w:color w:val="auto"/>
          <w:highlight w:val="none"/>
          <w:lang w:val="en-US" w:eastAsia="zh-CN"/>
        </w:rPr>
        <w:t>询价采购</w:t>
      </w:r>
      <w:r>
        <w:rPr>
          <w:rFonts w:hAnsi="宋体"/>
          <w:color w:val="auto"/>
          <w:highlight w:val="none"/>
        </w:rPr>
        <w:t>，</w:t>
      </w:r>
      <w:r>
        <w:rPr>
          <w:rFonts w:hint="eastAsia" w:hAnsi="宋体"/>
          <w:color w:val="auto"/>
          <w:highlight w:val="none"/>
        </w:rPr>
        <w:t>欢迎符合条件的合格报价人参加报价</w:t>
      </w:r>
      <w:r>
        <w:rPr>
          <w:rFonts w:hAnsi="宋体"/>
          <w:color w:val="auto"/>
          <w:highlight w:val="none"/>
        </w:rPr>
        <w:t>。具体采购信息如下：</w:t>
      </w:r>
    </w:p>
    <w:p w14:paraId="545F309B">
      <w:pPr>
        <w:snapToGrid w:val="0"/>
        <w:spacing w:line="360" w:lineRule="auto"/>
        <w:ind w:firstLine="424" w:firstLineChars="177"/>
        <w:outlineLvl w:val="1"/>
        <w:rPr>
          <w:rFonts w:hint="default" w:hAnsi="宋体" w:eastAsia="宋体"/>
          <w:color w:val="auto"/>
          <w:highlight w:val="none"/>
          <w:lang w:val="en-US" w:eastAsia="zh-CN"/>
        </w:rPr>
      </w:pPr>
      <w:r>
        <w:rPr>
          <w:rFonts w:hAnsi="宋体"/>
          <w:color w:val="auto"/>
          <w:highlight w:val="none"/>
        </w:rPr>
        <w:t>一、采购项目编号：</w:t>
      </w:r>
      <w:r>
        <w:rPr>
          <w:rFonts w:hint="eastAsia" w:hAnsi="宋体"/>
          <w:color w:val="auto"/>
          <w:highlight w:val="none"/>
          <w:lang w:val="en-US" w:eastAsia="zh-CN"/>
        </w:rPr>
        <w:t>2025-107</w:t>
      </w:r>
    </w:p>
    <w:p w14:paraId="5A2AC36A">
      <w:pPr>
        <w:snapToGrid w:val="0"/>
        <w:spacing w:line="360" w:lineRule="auto"/>
        <w:ind w:firstLine="480" w:firstLineChars="200"/>
        <w:rPr>
          <w:rFonts w:hint="eastAsia" w:ascii="宋体" w:hAnsi="宋体" w:eastAsia="宋体" w:cs="Times New Roman"/>
          <w:color w:val="auto"/>
          <w:highlight w:val="none"/>
          <w:lang w:eastAsia="zh-CN"/>
        </w:rPr>
      </w:pPr>
      <w:r>
        <w:rPr>
          <w:rFonts w:ascii="宋体" w:hAnsi="宋体" w:eastAsia="宋体" w:cs="Times New Roman"/>
          <w:color w:val="auto"/>
          <w:highlight w:val="none"/>
        </w:rPr>
        <w:t>二、采购项目名称：</w:t>
      </w:r>
      <w:r>
        <w:rPr>
          <w:rFonts w:hint="eastAsia" w:hAnsi="宋体" w:cs="Times New Roman"/>
          <w:color w:val="auto"/>
          <w:highlight w:val="none"/>
        </w:rPr>
        <w:t>东莞市东引运河流域樟村断面综合治理工程（污水管网完善工程第二标段）施工合同纠纷专项法律服务</w:t>
      </w:r>
      <w:r>
        <w:rPr>
          <w:rFonts w:hint="eastAsia" w:hAnsi="宋体" w:cs="Times New Roman"/>
          <w:color w:val="auto"/>
          <w:highlight w:val="none"/>
          <w:lang w:eastAsia="zh-CN"/>
        </w:rPr>
        <w:t>（</w:t>
      </w:r>
      <w:r>
        <w:rPr>
          <w:rFonts w:hint="eastAsia" w:hAnsi="宋体" w:cs="Times New Roman"/>
          <w:color w:val="auto"/>
          <w:highlight w:val="none"/>
          <w:lang w:val="en-US" w:eastAsia="zh-CN"/>
        </w:rPr>
        <w:t>重新采购</w:t>
      </w:r>
      <w:r>
        <w:rPr>
          <w:rFonts w:hint="eastAsia" w:hAnsi="宋体" w:cs="Times New Roman"/>
          <w:color w:val="auto"/>
          <w:highlight w:val="none"/>
          <w:lang w:eastAsia="zh-CN"/>
        </w:rPr>
        <w:t>）</w:t>
      </w:r>
      <w:r>
        <w:rPr>
          <w:rFonts w:hint="eastAsia" w:hAnsi="宋体" w:cs="Times New Roman"/>
          <w:color w:val="auto"/>
          <w:highlight w:val="none"/>
        </w:rPr>
        <w:t>项目</w:t>
      </w:r>
    </w:p>
    <w:p w14:paraId="53D3757A">
      <w:pPr>
        <w:snapToGrid w:val="0"/>
        <w:spacing w:line="360" w:lineRule="auto"/>
        <w:ind w:left="426" w:leftChars="177" w:hanging="1"/>
        <w:rPr>
          <w:rFonts w:hint="eastAsia" w:hAnsi="宋体"/>
          <w:color w:val="auto"/>
          <w:highlight w:val="none"/>
          <w:lang w:val="en-US" w:eastAsia="zh-CN"/>
        </w:rPr>
      </w:pPr>
      <w:bookmarkStart w:id="3" w:name="a12ff54d1b30f11f09cebfb70091900a4"/>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eastAsia" w:hAnsi="宋体"/>
          <w:color w:val="auto"/>
          <w:highlight w:val="none"/>
          <w:lang w:val="en-US" w:eastAsia="zh-CN"/>
        </w:rPr>
        <w:t xml:space="preserve"> 110000 </w:t>
      </w:r>
      <w:r>
        <w:rPr>
          <w:rFonts w:hint="default" w:hAnsi="宋体"/>
          <w:color w:val="auto"/>
          <w:highlight w:val="none"/>
          <w:lang w:val="en-US" w:eastAsia="zh-CN"/>
        </w:rPr>
        <w:t>元（不含税）</w:t>
      </w:r>
      <w:bookmarkEnd w:id="3"/>
    </w:p>
    <w:p w14:paraId="56644AAB">
      <w:pPr>
        <w:snapToGrid w:val="0"/>
        <w:spacing w:line="360" w:lineRule="auto"/>
        <w:ind w:firstLine="424" w:firstLineChars="177"/>
        <w:rPr>
          <w:rFonts w:hAnsi="宋体"/>
          <w:color w:val="auto"/>
          <w:highlight w:val="none"/>
        </w:rPr>
      </w:pPr>
      <w:r>
        <w:rPr>
          <w:rFonts w:hAnsi="宋体"/>
          <w:color w:val="auto"/>
          <w:highlight w:val="none"/>
        </w:rPr>
        <w:t>四、采购内容：具体详见用户需求书。</w:t>
      </w:r>
    </w:p>
    <w:p w14:paraId="2AD1DBF7">
      <w:pPr>
        <w:snapToGrid w:val="0"/>
        <w:spacing w:line="360" w:lineRule="auto"/>
        <w:ind w:firstLine="480" w:firstLineChars="200"/>
        <w:rPr>
          <w:rFonts w:hint="eastAsia" w:hAnsi="宋体" w:eastAsia="宋体"/>
          <w:color w:val="auto"/>
          <w:highlight w:val="none"/>
          <w:lang w:eastAsia="zh-CN"/>
        </w:rPr>
      </w:pPr>
      <w:r>
        <w:rPr>
          <w:rFonts w:hint="eastAsia" w:hAnsi="宋体"/>
          <w:color w:val="auto"/>
          <w:highlight w:val="none"/>
          <w:lang w:val="en-US" w:eastAsia="zh-CN"/>
        </w:rPr>
        <w:t>五、</w:t>
      </w:r>
      <w:bookmarkStart w:id="4" w:name="a12ff54d2b30f11f09cebfb70091900a4"/>
      <w:r>
        <w:rPr>
          <w:rFonts w:hAnsi="宋体"/>
          <w:color w:val="auto"/>
          <w:highlight w:val="none"/>
        </w:rPr>
        <w:t>成交原则：</w:t>
      </w:r>
      <w:r>
        <w:rPr>
          <w:rFonts w:hint="eastAsia" w:hAnsi="宋体"/>
          <w:color w:val="auto"/>
          <w:highlight w:val="none"/>
          <w:lang w:val="en-US" w:eastAsia="zh-CN"/>
        </w:rPr>
        <w:t>本项目报价为下浮率报价，</w:t>
      </w:r>
      <w:r>
        <w:rPr>
          <w:rFonts w:hint="eastAsia" w:hAnsi="宋体"/>
          <w:highlight w:val="none"/>
          <w:lang w:val="en-US" w:eastAsia="zh-CN"/>
        </w:rPr>
        <w:t>报价人根据用户需求书中的各诉讼阶段“不含税预算价”报价，结算时，结算价=不含税预算价*（1-下浮率）*（1+成交人税率），按实结算。</w:t>
      </w:r>
      <w:r>
        <w:rPr>
          <w:rFonts w:hint="eastAsia" w:hAnsi="宋体"/>
          <w:highlight w:val="none"/>
        </w:rPr>
        <w:t>从实质性满足采购需求的供应商中，按</w:t>
      </w:r>
      <w:r>
        <w:rPr>
          <w:rFonts w:hint="eastAsia" w:hAnsi="宋体"/>
          <w:highlight w:val="none"/>
          <w:lang w:val="en-US" w:eastAsia="zh-CN"/>
        </w:rPr>
        <w:t>下浮率最高</w:t>
      </w:r>
      <w:r>
        <w:rPr>
          <w:rFonts w:hint="eastAsia" w:hAnsi="宋体"/>
          <w:highlight w:val="none"/>
        </w:rPr>
        <w:t>成交原则确定成交供应商</w:t>
      </w:r>
      <w:r>
        <w:rPr>
          <w:rFonts w:hint="eastAsia" w:hAnsi="宋体"/>
          <w:highlight w:val="none"/>
          <w:lang w:eastAsia="zh-CN"/>
        </w:rPr>
        <w:t>。</w:t>
      </w:r>
      <w:bookmarkEnd w:id="4"/>
    </w:p>
    <w:p w14:paraId="2ADEE2E5">
      <w:pPr>
        <w:snapToGrid w:val="0"/>
        <w:spacing w:line="360" w:lineRule="auto"/>
        <w:ind w:firstLine="424" w:firstLineChars="177"/>
        <w:outlineLvl w:val="1"/>
        <w:rPr>
          <w:rFonts w:hint="eastAsia" w:hAnsi="宋体" w:eastAsia="宋体"/>
          <w:color w:val="auto"/>
          <w:highlight w:val="none"/>
          <w:lang w:eastAsia="zh-CN"/>
        </w:rPr>
      </w:pPr>
      <w:bookmarkStart w:id="5" w:name="a12ff54d3b30f11f09cebfb70091900a4"/>
      <w:r>
        <w:rPr>
          <w:rFonts w:hint="eastAsia" w:hAnsi="宋体"/>
          <w:color w:val="auto"/>
          <w:highlight w:val="none"/>
          <w:lang w:val="en-US" w:eastAsia="zh-CN"/>
        </w:rPr>
        <w:t>六</w:t>
      </w:r>
      <w:r>
        <w:rPr>
          <w:rFonts w:hAnsi="宋体"/>
          <w:color w:val="auto"/>
          <w:highlight w:val="none"/>
        </w:rPr>
        <w:t>、报价文件递交截止时间：</w:t>
      </w:r>
      <w:r>
        <w:rPr>
          <w:rFonts w:hint="eastAsia" w:hAnsi="宋体"/>
          <w:color w:val="auto"/>
          <w:highlight w:val="none"/>
          <w:lang w:val="en-US" w:eastAsia="zh-CN"/>
        </w:rPr>
        <w:t>2026</w:t>
      </w:r>
      <w:r>
        <w:rPr>
          <w:rFonts w:hAnsi="宋体"/>
          <w:color w:val="auto"/>
          <w:highlight w:val="none"/>
        </w:rPr>
        <w:t>年</w:t>
      </w:r>
      <w:r>
        <w:rPr>
          <w:rFonts w:hint="eastAsia" w:hAnsi="宋体"/>
          <w:color w:val="auto"/>
          <w:highlight w:val="none"/>
          <w:lang w:val="en-US" w:eastAsia="zh-CN"/>
        </w:rPr>
        <w:t>1</w:t>
      </w:r>
      <w:r>
        <w:rPr>
          <w:rFonts w:hAnsi="宋体"/>
          <w:color w:val="auto"/>
          <w:highlight w:val="none"/>
        </w:rPr>
        <w:t>月</w:t>
      </w:r>
      <w:r>
        <w:rPr>
          <w:rFonts w:hint="eastAsia" w:hAnsi="宋体"/>
          <w:color w:val="auto"/>
          <w:highlight w:val="none"/>
          <w:lang w:val="en-US" w:eastAsia="zh-CN"/>
        </w:rPr>
        <w:t>19</w:t>
      </w:r>
      <w:r>
        <w:rPr>
          <w:rFonts w:hAnsi="宋体"/>
          <w:color w:val="auto"/>
          <w:highlight w:val="none"/>
        </w:rPr>
        <w:t>日</w:t>
      </w:r>
      <w:r>
        <w:rPr>
          <w:rFonts w:hint="eastAsia" w:hAnsi="宋体"/>
          <w:color w:val="auto"/>
          <w:highlight w:val="none"/>
          <w:lang w:val="en-US" w:eastAsia="zh-CN"/>
        </w:rPr>
        <w:t>9</w:t>
      </w:r>
      <w:r>
        <w:rPr>
          <w:rFonts w:hAnsi="宋体"/>
          <w:color w:val="auto"/>
          <w:highlight w:val="none"/>
        </w:rPr>
        <w:t>时</w:t>
      </w:r>
      <w:r>
        <w:rPr>
          <w:rFonts w:hint="eastAsia" w:hAnsi="宋体"/>
          <w:color w:val="auto"/>
          <w:highlight w:val="none"/>
          <w:lang w:val="en-US" w:eastAsia="zh-CN"/>
        </w:rPr>
        <w:t>30</w:t>
      </w:r>
      <w:r>
        <w:rPr>
          <w:rFonts w:hAnsi="宋体"/>
          <w:color w:val="auto"/>
          <w:highlight w:val="none"/>
        </w:rPr>
        <w:t>分</w:t>
      </w:r>
      <w:r>
        <w:rPr>
          <w:rFonts w:hint="eastAsia" w:hAnsi="宋体"/>
          <w:color w:val="auto"/>
          <w:highlight w:val="none"/>
          <w:lang w:eastAsia="zh-CN"/>
        </w:rPr>
        <w:t>。</w:t>
      </w:r>
      <w:bookmarkEnd w:id="5"/>
    </w:p>
    <w:p w14:paraId="4DE6BA0D">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七、报价文件开封时间：2026 年1月19日9时30分</w:t>
      </w:r>
      <w:r>
        <w:rPr>
          <w:rFonts w:hAnsi="宋体"/>
          <w:color w:val="auto"/>
          <w:highlight w:val="none"/>
        </w:rPr>
        <w:t>。</w:t>
      </w:r>
    </w:p>
    <w:p w14:paraId="6676555D">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八</w:t>
      </w:r>
      <w:r>
        <w:rPr>
          <w:rFonts w:hAnsi="宋体"/>
          <w:color w:val="auto"/>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 xml:space="preserve">室)。 </w:t>
      </w:r>
    </w:p>
    <w:p w14:paraId="0A44BA40">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九</w:t>
      </w:r>
      <w:r>
        <w:rPr>
          <w:rFonts w:hAnsi="宋体"/>
          <w:color w:val="auto"/>
          <w:highlight w:val="none"/>
        </w:rPr>
        <w:t>、采购人联系方式：</w:t>
      </w:r>
    </w:p>
    <w:p w14:paraId="286BDB36">
      <w:pPr>
        <w:snapToGrid w:val="0"/>
        <w:spacing w:line="360" w:lineRule="auto"/>
        <w:ind w:left="566" w:leftChars="236" w:firstLine="285"/>
        <w:rPr>
          <w:rFonts w:hint="default" w:hAnsi="宋体"/>
          <w:color w:val="auto"/>
          <w:highlight w:val="none"/>
          <w:lang w:val="en-US"/>
        </w:rPr>
      </w:pPr>
      <w:r>
        <w:rPr>
          <w:rFonts w:hAnsi="宋体"/>
          <w:color w:val="auto"/>
          <w:highlight w:val="none"/>
        </w:rPr>
        <w:t>采购联系人：</w:t>
      </w:r>
      <w:r>
        <w:rPr>
          <w:rFonts w:hint="eastAsia" w:hAnsi="宋体"/>
          <w:color w:val="auto"/>
          <w:highlight w:val="none"/>
          <w:lang w:val="en-US" w:eastAsia="zh-CN"/>
        </w:rPr>
        <w:t>曹工</w:t>
      </w:r>
    </w:p>
    <w:p w14:paraId="225FCF2A">
      <w:pPr>
        <w:snapToGrid w:val="0"/>
        <w:spacing w:line="360" w:lineRule="auto"/>
        <w:ind w:left="566" w:leftChars="236" w:firstLine="285"/>
        <w:rPr>
          <w:rFonts w:hint="eastAsia" w:hAnsi="宋体"/>
          <w:color w:val="auto"/>
          <w:highlight w:val="none"/>
          <w:lang w:val="en-US" w:eastAsia="zh-CN"/>
        </w:rPr>
      </w:pPr>
      <w:r>
        <w:rPr>
          <w:rFonts w:hAnsi="宋体"/>
          <w:color w:val="auto"/>
          <w:highlight w:val="none"/>
        </w:rPr>
        <w:t>联系电话：0769-22001352</w:t>
      </w:r>
      <w:r>
        <w:rPr>
          <w:rFonts w:hint="eastAsia" w:hAnsi="宋体"/>
          <w:color w:val="auto"/>
          <w:highlight w:val="none"/>
          <w:lang w:val="en-US" w:eastAsia="zh-CN"/>
        </w:rPr>
        <w:t xml:space="preserve"> </w:t>
      </w:r>
    </w:p>
    <w:p w14:paraId="0DBECB76">
      <w:pPr>
        <w:snapToGrid w:val="0"/>
        <w:spacing w:line="360" w:lineRule="auto"/>
        <w:ind w:left="566" w:leftChars="236" w:firstLine="285"/>
        <w:rPr>
          <w:rFonts w:hAnsi="宋体"/>
          <w:color w:val="auto"/>
          <w:highlight w:val="none"/>
        </w:rPr>
      </w:pPr>
      <w:r>
        <w:rPr>
          <w:rFonts w:hAnsi="宋体"/>
          <w:color w:val="auto"/>
          <w:highlight w:val="none"/>
        </w:rPr>
        <w:t>联系地址：</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室)</w:t>
      </w:r>
    </w:p>
    <w:p w14:paraId="38CF41DA">
      <w:pPr>
        <w:snapToGrid w:val="0"/>
        <w:spacing w:line="360" w:lineRule="auto"/>
        <w:ind w:left="566" w:leftChars="236" w:firstLine="285"/>
        <w:rPr>
          <w:rFonts w:hint="eastAsia" w:hAnsi="宋体"/>
          <w:color w:val="auto"/>
          <w:highlight w:val="none"/>
        </w:rPr>
      </w:pPr>
    </w:p>
    <w:p w14:paraId="76A09B6A">
      <w:pPr>
        <w:snapToGrid w:val="0"/>
        <w:spacing w:line="360" w:lineRule="auto"/>
        <w:ind w:firstLine="0" w:firstLineChars="0"/>
        <w:rPr>
          <w:rFonts w:hAnsi="宋体"/>
          <w:color w:val="auto"/>
          <w:highlight w:val="none"/>
        </w:rPr>
      </w:pPr>
    </w:p>
    <w:p w14:paraId="46A02CAC">
      <w:pPr>
        <w:snapToGrid w:val="0"/>
        <w:spacing w:line="360" w:lineRule="auto"/>
        <w:ind w:firstLine="0" w:firstLineChars="0"/>
        <w:jc w:val="right"/>
        <w:outlineLvl w:val="0"/>
        <w:rPr>
          <w:rFonts w:hint="eastAsia" w:hAnsi="宋体" w:eastAsia="宋体"/>
          <w:color w:val="auto"/>
          <w:highlight w:val="none"/>
          <w:lang w:eastAsia="zh-CN"/>
        </w:rPr>
      </w:pPr>
      <w:r>
        <w:rPr>
          <w:rFonts w:hint="eastAsia" w:hAnsi="宋体"/>
          <w:color w:val="auto"/>
          <w:highlight w:val="none"/>
          <w:lang w:eastAsia="zh-CN"/>
        </w:rPr>
        <w:t>东莞市水务环境投资控股集团管网有限公司</w:t>
      </w:r>
    </w:p>
    <w:p w14:paraId="6E8986BD">
      <w:pPr>
        <w:snapToGrid w:val="0"/>
        <w:spacing w:line="360" w:lineRule="auto"/>
        <w:ind w:firstLine="5822" w:firstLineChars="2426"/>
        <w:rPr>
          <w:rFonts w:hAnsi="宋体"/>
          <w:color w:val="auto"/>
          <w:highlight w:val="none"/>
        </w:rPr>
      </w:pPr>
      <w:r>
        <w:rPr>
          <w:rFonts w:hAnsi="宋体"/>
          <w:color w:val="auto"/>
          <w:highlight w:val="none"/>
        </w:rPr>
        <w:t>202</w:t>
      </w:r>
      <w:r>
        <w:rPr>
          <w:rFonts w:hint="eastAsia" w:hAnsi="宋体"/>
          <w:color w:val="auto"/>
          <w:highlight w:val="none"/>
          <w:lang w:val="en-US" w:eastAsia="zh-CN"/>
        </w:rPr>
        <w:t>6</w:t>
      </w:r>
      <w:r>
        <w:rPr>
          <w:rFonts w:hAnsi="宋体"/>
          <w:color w:val="auto"/>
          <w:highlight w:val="none"/>
        </w:rPr>
        <w:t>年</w:t>
      </w:r>
      <w:r>
        <w:rPr>
          <w:rFonts w:hint="eastAsia" w:hAnsi="宋体"/>
          <w:color w:val="auto"/>
          <w:highlight w:val="none"/>
          <w:lang w:val="en-US" w:eastAsia="zh-CN"/>
        </w:rPr>
        <w:t>1</w:t>
      </w:r>
      <w:r>
        <w:rPr>
          <w:rFonts w:hAnsi="宋体"/>
          <w:color w:val="auto"/>
          <w:highlight w:val="none"/>
        </w:rPr>
        <w:t>月</w:t>
      </w:r>
      <w:r>
        <w:rPr>
          <w:rFonts w:hint="eastAsia" w:hAnsi="宋体"/>
          <w:color w:val="auto"/>
          <w:highlight w:val="none"/>
          <w:lang w:val="en-US" w:eastAsia="zh-CN"/>
        </w:rPr>
        <w:t>13</w:t>
      </w:r>
      <w:r>
        <w:rPr>
          <w:rFonts w:hAnsi="宋体"/>
          <w:color w:val="auto"/>
          <w:highlight w:val="none"/>
        </w:rPr>
        <w:t>日</w:t>
      </w:r>
    </w:p>
    <w:p w14:paraId="61376710">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3EBA45FE">
      <w:pPr>
        <w:snapToGrid w:val="0"/>
        <w:spacing w:line="360" w:lineRule="auto"/>
        <w:jc w:val="both"/>
        <w:rPr>
          <w:rFonts w:hAnsi="宋体"/>
          <w:color w:val="auto"/>
          <w:highlight w:val="none"/>
        </w:rPr>
      </w:pPr>
      <w:bookmarkStart w:id="6" w:name="_Hlk27129149"/>
    </w:p>
    <w:bookmarkEnd w:id="6"/>
    <w:p w14:paraId="0659966F">
      <w:pPr>
        <w:pStyle w:val="4"/>
        <w:numPr>
          <w:ilvl w:val="0"/>
          <w:numId w:val="2"/>
        </w:numPr>
        <w:snapToGrid w:val="0"/>
        <w:spacing w:before="0" w:after="0"/>
        <w:jc w:val="center"/>
        <w:rPr>
          <w:rFonts w:hAnsi="宋体"/>
          <w:color w:val="auto"/>
          <w:szCs w:val="32"/>
          <w:highlight w:val="none"/>
        </w:rPr>
      </w:pPr>
      <w:bookmarkStart w:id="7" w:name="_Toc10962"/>
      <w:r>
        <w:rPr>
          <w:rFonts w:hAnsi="宋体"/>
          <w:color w:val="auto"/>
          <w:szCs w:val="32"/>
          <w:highlight w:val="none"/>
        </w:rPr>
        <w:t>用户需求书</w:t>
      </w:r>
      <w:bookmarkEnd w:id="7"/>
    </w:p>
    <w:p w14:paraId="4B75A838">
      <w:pPr>
        <w:keepNext w:val="0"/>
        <w:keepLines w:val="0"/>
        <w:numPr>
          <w:ilvl w:val="0"/>
          <w:numId w:val="0"/>
        </w:numPr>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一、采购人</w:t>
      </w:r>
    </w:p>
    <w:p w14:paraId="59C76F32">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firstLine="480" w:firstLineChars="200"/>
        <w:jc w:val="both"/>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东莞市莞清水环境投资有限公司</w:t>
      </w:r>
    </w:p>
    <w:p w14:paraId="37F7395F">
      <w:pPr>
        <w:keepNext w:val="0"/>
        <w:keepLines w:val="0"/>
        <w:numPr>
          <w:ilvl w:val="0"/>
          <w:numId w:val="0"/>
        </w:numPr>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二、项目名称</w:t>
      </w:r>
    </w:p>
    <w:p w14:paraId="2EF8445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firstLine="480" w:firstLineChars="200"/>
        <w:jc w:val="both"/>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Cs/>
          <w:color w:val="auto"/>
          <w:kern w:val="0"/>
          <w:sz w:val="24"/>
          <w:szCs w:val="24"/>
        </w:rPr>
        <w:t>东莞市东引运河流域樟村断面综合治理工程（污水管网完善工程第二标段</w:t>
      </w:r>
      <w:r>
        <w:rPr>
          <w:rFonts w:hint="eastAsia" w:ascii="宋体" w:hAnsi="宋体" w:eastAsia="宋体" w:cs="宋体"/>
          <w:bCs/>
          <w:color w:val="auto"/>
          <w:kern w:val="0"/>
          <w:sz w:val="24"/>
          <w:szCs w:val="24"/>
          <w:lang w:eastAsia="zh-CN"/>
        </w:rPr>
        <w:t>）</w:t>
      </w:r>
      <w:r>
        <w:rPr>
          <w:rFonts w:hint="eastAsia" w:ascii="宋体" w:hAnsi="宋体" w:eastAsia="宋体" w:cs="宋体"/>
          <w:b w:val="0"/>
          <w:bCs/>
          <w:color w:val="auto"/>
          <w:kern w:val="0"/>
          <w:sz w:val="24"/>
          <w:szCs w:val="24"/>
          <w:lang w:val="en-US" w:eastAsia="zh-CN"/>
        </w:rPr>
        <w:t>施工合同纠纷专项法律服务项目</w:t>
      </w:r>
    </w:p>
    <w:p w14:paraId="2F32532E">
      <w:pPr>
        <w:keepNext w:val="0"/>
        <w:keepLines w:val="0"/>
        <w:numPr>
          <w:ilvl w:val="0"/>
          <w:numId w:val="0"/>
        </w:numPr>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lang w:val="en-US" w:eastAsia="zh-CN"/>
        </w:rPr>
      </w:pPr>
      <w:bookmarkStart w:id="8" w:name="_Toc59263295"/>
      <w:bookmarkStart w:id="9" w:name="_Toc51558792"/>
      <w:bookmarkStart w:id="10" w:name="_Toc296276672"/>
      <w:bookmarkStart w:id="11" w:name="_Toc51558849"/>
      <w:r>
        <w:rPr>
          <w:rFonts w:hint="eastAsia" w:ascii="宋体" w:hAnsi="宋体" w:eastAsia="宋体" w:cs="宋体"/>
          <w:b/>
          <w:color w:val="auto"/>
          <w:kern w:val="0"/>
          <w:sz w:val="24"/>
          <w:szCs w:val="24"/>
          <w:lang w:val="en-US" w:eastAsia="zh-CN"/>
        </w:rPr>
        <w:t>三、项目概况</w:t>
      </w:r>
    </w:p>
    <w:p w14:paraId="61C33FF2">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2025年12月12日，采购人</w:t>
      </w:r>
      <w:r>
        <w:rPr>
          <w:rFonts w:hint="eastAsia" w:ascii="宋体" w:hAnsi="宋体" w:eastAsia="宋体" w:cs="宋体"/>
          <w:b w:val="0"/>
          <w:bCs/>
          <w:color w:val="auto"/>
          <w:kern w:val="0"/>
          <w:sz w:val="24"/>
          <w:szCs w:val="24"/>
          <w:lang w:val="en-US" w:eastAsia="zh-CN"/>
        </w:rPr>
        <w:t>东莞市莞清水环境投资有限公司</w:t>
      </w:r>
      <w:r>
        <w:rPr>
          <w:rFonts w:hint="eastAsia" w:ascii="宋体" w:hAnsi="宋体" w:eastAsia="宋体" w:cs="宋体"/>
          <w:color w:val="auto"/>
          <w:kern w:val="0"/>
          <w:sz w:val="24"/>
          <w:szCs w:val="24"/>
          <w:lang w:val="en-US" w:eastAsia="zh-CN"/>
        </w:rPr>
        <w:t>（以下简称“莞清公司”）收到原告</w:t>
      </w:r>
      <w:r>
        <w:rPr>
          <w:rFonts w:hint="eastAsia" w:ascii="宋体" w:hAnsi="宋体" w:eastAsia="宋体" w:cs="宋体"/>
          <w:color w:val="auto"/>
          <w:kern w:val="0"/>
          <w:sz w:val="24"/>
          <w:szCs w:val="24"/>
        </w:rPr>
        <w:t>中铁十七局集团有限公司（</w:t>
      </w:r>
      <w:r>
        <w:rPr>
          <w:rFonts w:hint="eastAsia" w:ascii="宋体" w:hAnsi="宋体" w:eastAsia="宋体" w:cs="宋体"/>
          <w:color w:val="auto"/>
          <w:kern w:val="0"/>
          <w:sz w:val="24"/>
          <w:szCs w:val="24"/>
          <w:lang w:eastAsia="zh-CN"/>
        </w:rPr>
        <w:t>以下简称</w:t>
      </w:r>
      <w:r>
        <w:rPr>
          <w:rFonts w:hint="eastAsia" w:ascii="宋体" w:hAnsi="宋体" w:eastAsia="宋体" w:cs="宋体"/>
          <w:color w:val="auto"/>
          <w:kern w:val="0"/>
          <w:sz w:val="24"/>
          <w:szCs w:val="24"/>
        </w:rPr>
        <w:t>“中铁十七局”）诉被告一广东鸿高建设集团有限公司（</w:t>
      </w:r>
      <w:r>
        <w:rPr>
          <w:rFonts w:hint="eastAsia" w:ascii="宋体" w:hAnsi="宋体" w:eastAsia="宋体" w:cs="宋体"/>
          <w:color w:val="auto"/>
          <w:kern w:val="0"/>
          <w:sz w:val="24"/>
          <w:szCs w:val="24"/>
          <w:lang w:eastAsia="zh-CN"/>
        </w:rPr>
        <w:t>以下简称</w:t>
      </w:r>
      <w:r>
        <w:rPr>
          <w:rFonts w:hint="eastAsia" w:ascii="宋体" w:hAnsi="宋体" w:eastAsia="宋体" w:cs="宋体"/>
          <w:color w:val="auto"/>
          <w:kern w:val="0"/>
          <w:sz w:val="24"/>
          <w:szCs w:val="24"/>
        </w:rPr>
        <w:t>“鸿高公司”）、被告二东莞市城建工程管理局（</w:t>
      </w:r>
      <w:r>
        <w:rPr>
          <w:rFonts w:hint="eastAsia" w:ascii="宋体" w:hAnsi="宋体" w:eastAsia="宋体" w:cs="宋体"/>
          <w:color w:val="auto"/>
          <w:kern w:val="0"/>
          <w:sz w:val="24"/>
          <w:szCs w:val="24"/>
          <w:lang w:eastAsia="zh-CN"/>
        </w:rPr>
        <w:t>以下简称</w:t>
      </w:r>
      <w:r>
        <w:rPr>
          <w:rFonts w:hint="eastAsia" w:ascii="宋体" w:hAnsi="宋体" w:eastAsia="宋体" w:cs="宋体"/>
          <w:color w:val="auto"/>
          <w:kern w:val="0"/>
          <w:sz w:val="24"/>
          <w:szCs w:val="24"/>
        </w:rPr>
        <w:t>“市城建局”）、被告三莞清公司</w:t>
      </w:r>
      <w:r>
        <w:rPr>
          <w:rFonts w:hint="eastAsia" w:ascii="宋体" w:hAnsi="宋体" w:eastAsia="宋体" w:cs="宋体"/>
          <w:color w:val="auto"/>
          <w:kern w:val="0"/>
          <w:sz w:val="24"/>
          <w:szCs w:val="24"/>
          <w:lang w:val="en-US" w:eastAsia="zh-CN"/>
        </w:rPr>
        <w:t>建设工程施工合同纠纷一案诉讼材料。现为维护采购人的合法权益，拟采购一家律师事务所作为诉讼代理人，代表采购人参与一审、二审、发回重审一审、发回重审二审诉讼活动。</w:t>
      </w:r>
    </w:p>
    <w:p w14:paraId="31CBE4EF">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（一）案涉项目：</w:t>
      </w:r>
      <w:r>
        <w:rPr>
          <w:rFonts w:hint="eastAsia" w:ascii="宋体" w:hAnsi="宋体" w:eastAsia="宋体" w:cs="宋体"/>
          <w:b/>
          <w:bCs/>
          <w:color w:val="auto"/>
          <w:kern w:val="0"/>
          <w:sz w:val="24"/>
          <w:szCs w:val="24"/>
        </w:rPr>
        <w:t>东莞市东引运河流域樟村断面综合治理工程（污水管网完善工程第二标段</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基本情况</w:t>
      </w:r>
    </w:p>
    <w:p w14:paraId="1A2440C8">
      <w:pPr>
        <w:pStyle w:val="2"/>
        <w:autoSpaceDE/>
        <w:autoSpaceDN/>
        <w:adjustRightInd w:val="0"/>
        <w:snapToGrid w:val="0"/>
        <w:spacing w:after="0" w:line="52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2019年12月27日，东莞市城建工程管理局（以下简称“市城建局”）与联合体（</w:t>
      </w:r>
      <w:r>
        <w:rPr>
          <w:rFonts w:hint="eastAsia" w:ascii="宋体" w:hAnsi="宋体" w:eastAsia="宋体" w:cs="宋体"/>
          <w:color w:val="auto"/>
          <w:kern w:val="0"/>
          <w:sz w:val="24"/>
          <w:szCs w:val="24"/>
        </w:rPr>
        <w:t>广东鸿高建设集团有限公司</w:t>
      </w:r>
      <w:r>
        <w:rPr>
          <w:rFonts w:hint="eastAsia" w:ascii="宋体" w:hAnsi="宋体" w:eastAsia="宋体" w:cs="宋体"/>
          <w:color w:val="auto"/>
          <w:kern w:val="0"/>
          <w:sz w:val="24"/>
          <w:szCs w:val="24"/>
          <w:lang w:val="en-US" w:eastAsia="zh-CN"/>
        </w:rPr>
        <w:t>和</w:t>
      </w:r>
      <w:r>
        <w:rPr>
          <w:rFonts w:hint="eastAsia" w:ascii="宋体" w:hAnsi="宋体" w:eastAsia="宋体" w:cs="宋体"/>
          <w:color w:val="auto"/>
          <w:kern w:val="0"/>
          <w:sz w:val="24"/>
          <w:szCs w:val="24"/>
        </w:rPr>
        <w:t>中铁十七局集团有限公司</w:t>
      </w:r>
      <w:r>
        <w:rPr>
          <w:rFonts w:hint="eastAsia" w:ascii="宋体" w:hAnsi="宋体" w:eastAsia="宋体" w:cs="宋体"/>
          <w:color w:val="auto"/>
          <w:kern w:val="0"/>
          <w:sz w:val="24"/>
          <w:szCs w:val="24"/>
          <w:lang w:val="en-US" w:eastAsia="zh-CN"/>
        </w:rPr>
        <w:t>组成）签订《</w:t>
      </w:r>
      <w:r>
        <w:rPr>
          <w:rFonts w:hint="eastAsia" w:ascii="宋体" w:hAnsi="宋体" w:eastAsia="宋体" w:cs="宋体"/>
          <w:bCs/>
          <w:color w:val="auto"/>
          <w:kern w:val="0"/>
          <w:sz w:val="24"/>
          <w:szCs w:val="24"/>
        </w:rPr>
        <w:t>东莞市东引运河流域樟村断面综合治理工程（污水管网完善工程第二标段</w:t>
      </w:r>
      <w:r>
        <w:rPr>
          <w:rFonts w:hint="eastAsia" w:ascii="宋体" w:hAnsi="宋体" w:eastAsia="宋体" w:cs="宋体"/>
          <w:bCs/>
          <w:color w:val="auto"/>
          <w:kern w:val="0"/>
          <w:sz w:val="24"/>
          <w:szCs w:val="24"/>
          <w:lang w:eastAsia="zh-CN"/>
        </w:rPr>
        <w:t>）</w:t>
      </w:r>
      <w:r>
        <w:rPr>
          <w:rFonts w:hint="eastAsia" w:ascii="宋体" w:hAnsi="宋体" w:eastAsia="宋体" w:cs="宋体"/>
          <w:color w:val="auto"/>
          <w:kern w:val="0"/>
          <w:sz w:val="24"/>
          <w:szCs w:val="24"/>
          <w:lang w:val="en-US" w:eastAsia="zh-CN"/>
        </w:rPr>
        <w:t>施工合同》，工程范围包含东城和寮步两个子项目；2020年3月19日，市城建局与联合体分别针对东城和寮步两个子项目签订子项目施工合同。</w:t>
      </w:r>
      <w:r>
        <w:rPr>
          <w:rFonts w:hint="eastAsia" w:ascii="宋体" w:hAnsi="宋体" w:eastAsia="宋体" w:cs="宋体"/>
          <w:color w:val="auto"/>
          <w:kern w:val="0"/>
          <w:sz w:val="24"/>
          <w:szCs w:val="24"/>
        </w:rPr>
        <w:t>其后，莞清公司、市城建局、联合体及属地镇街共同签订四方协议，将前述施工合同的发包人由市城建局变更为莞清公司</w:t>
      </w:r>
      <w:r>
        <w:rPr>
          <w:rFonts w:hint="eastAsia" w:ascii="宋体" w:hAnsi="宋体" w:eastAsia="宋体" w:cs="宋体"/>
          <w:color w:val="auto"/>
          <w:kern w:val="0"/>
          <w:sz w:val="24"/>
          <w:szCs w:val="24"/>
          <w:lang w:eastAsia="zh-CN"/>
        </w:rPr>
        <w:t>。</w:t>
      </w:r>
    </w:p>
    <w:p w14:paraId="0BF155E8">
      <w:pPr>
        <w:pStyle w:val="2"/>
        <w:numPr>
          <w:ilvl w:val="-1"/>
          <w:numId w:val="0"/>
        </w:numPr>
        <w:autoSpaceDE/>
        <w:autoSpaceDN/>
        <w:adjustRightInd w:val="0"/>
        <w:snapToGrid w:val="0"/>
        <w:spacing w:after="0" w:line="52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东引二标的东城和寮步两个子项目均已竣工验收</w:t>
      </w:r>
      <w:r>
        <w:rPr>
          <w:rFonts w:hint="eastAsia" w:ascii="宋体" w:hAnsi="宋体" w:eastAsia="宋体" w:cs="宋体"/>
          <w:color w:val="auto"/>
          <w:kern w:val="0"/>
          <w:sz w:val="24"/>
          <w:szCs w:val="24"/>
          <w:lang w:val="en-US" w:eastAsia="zh-CN"/>
        </w:rPr>
        <w:t>合格</w:t>
      </w:r>
      <w:r>
        <w:rPr>
          <w:rFonts w:hint="eastAsia" w:ascii="宋体" w:hAnsi="宋体" w:eastAsia="宋体" w:cs="宋体"/>
          <w:color w:val="auto"/>
          <w:kern w:val="0"/>
          <w:sz w:val="24"/>
          <w:szCs w:val="24"/>
        </w:rPr>
        <w:t>且缺陷责任期已满。其中，寮步子项目已结算，剩余3%质保金尚未支付；东城子项目尚未结算，已按照合同约定支付工程</w:t>
      </w:r>
      <w:r>
        <w:rPr>
          <w:rFonts w:hint="eastAsia" w:ascii="宋体" w:hAnsi="宋体" w:eastAsia="宋体" w:cs="宋体"/>
          <w:color w:val="auto"/>
          <w:kern w:val="0"/>
          <w:sz w:val="24"/>
          <w:szCs w:val="24"/>
          <w:lang w:val="en-US" w:eastAsia="zh-CN"/>
        </w:rPr>
        <w:t>进度款</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结算款的97%需待工程所在地的镇街财政部门结算审核完毕后支付，结算款的3%作为质保金，待缺陷责任期满后支付。</w:t>
      </w:r>
    </w:p>
    <w:p w14:paraId="338C744A">
      <w:pPr>
        <w:pStyle w:val="2"/>
        <w:numPr>
          <w:ilvl w:val="-1"/>
          <w:numId w:val="0"/>
        </w:numPr>
        <w:autoSpaceDE/>
        <w:autoSpaceDN/>
        <w:adjustRightInd w:val="0"/>
        <w:snapToGrid w:val="0"/>
        <w:spacing w:after="0" w:line="520" w:lineRule="exact"/>
        <w:ind w:firstLine="482"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（二）涉诉情况</w:t>
      </w:r>
    </w:p>
    <w:p w14:paraId="4C719186">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目前受理情况：</w:t>
      </w:r>
      <w:r>
        <w:rPr>
          <w:rFonts w:hint="eastAsia" w:ascii="宋体" w:hAnsi="宋体" w:eastAsia="宋体" w:cs="宋体"/>
          <w:color w:val="auto"/>
          <w:kern w:val="0"/>
          <w:sz w:val="24"/>
          <w:szCs w:val="24"/>
          <w:lang w:val="en-US" w:eastAsia="zh-CN"/>
        </w:rPr>
        <w:t>中铁十七局</w:t>
      </w:r>
      <w:r>
        <w:rPr>
          <w:rFonts w:hint="eastAsia" w:ascii="宋体" w:hAnsi="宋体" w:eastAsia="宋体" w:cs="宋体"/>
          <w:color w:val="auto"/>
          <w:kern w:val="0"/>
          <w:sz w:val="24"/>
          <w:szCs w:val="24"/>
        </w:rPr>
        <w:t>于202</w:t>
      </w:r>
      <w:r>
        <w:rPr>
          <w:rFonts w:hint="eastAsia" w:ascii="宋体" w:hAnsi="宋体" w:eastAsia="宋体" w:cs="宋体"/>
          <w:color w:val="auto"/>
          <w:kern w:val="0"/>
          <w:sz w:val="24"/>
          <w:szCs w:val="24"/>
          <w:lang w:eastAsia="zh-CN"/>
        </w:rPr>
        <w:t>5</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eastAsia="zh-CN"/>
        </w:rPr>
        <w:t>9</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eastAsia="zh-CN"/>
        </w:rPr>
        <w:t>9</w:t>
      </w:r>
      <w:r>
        <w:rPr>
          <w:rFonts w:hint="eastAsia" w:ascii="宋体" w:hAnsi="宋体" w:eastAsia="宋体" w:cs="宋体"/>
          <w:color w:val="auto"/>
          <w:kern w:val="0"/>
          <w:sz w:val="24"/>
          <w:szCs w:val="24"/>
        </w:rPr>
        <w:t>日向东莞市第一人民法院起诉，目前案件正处于诉前调解阶段，将于</w:t>
      </w:r>
      <w:r>
        <w:rPr>
          <w:rFonts w:hint="eastAsia" w:ascii="宋体" w:hAnsi="宋体" w:eastAsia="宋体" w:cs="宋体"/>
          <w:color w:val="auto"/>
          <w:kern w:val="0"/>
          <w:sz w:val="24"/>
          <w:szCs w:val="24"/>
          <w:lang w:eastAsia="zh-CN"/>
        </w:rPr>
        <w:t>2</w:t>
      </w:r>
      <w:r>
        <w:rPr>
          <w:rFonts w:hint="eastAsia" w:ascii="宋体" w:hAnsi="宋体" w:eastAsia="宋体" w:cs="宋体"/>
          <w:color w:val="auto"/>
          <w:kern w:val="0"/>
          <w:sz w:val="24"/>
          <w:szCs w:val="24"/>
          <w:lang w:val="en-US" w:eastAsia="zh-CN"/>
        </w:rPr>
        <w:t>026</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eastAsia="zh-CN"/>
        </w:rPr>
        <w:t>1</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eastAsia="zh-CN"/>
        </w:rPr>
        <w:t>2</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日开庭。</w:t>
      </w:r>
    </w:p>
    <w:p w14:paraId="082FC57D">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原告的诉求与事实理由：</w:t>
      </w:r>
    </w:p>
    <w:p w14:paraId="7C079FD6">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原告的诉求</w:t>
      </w:r>
    </w:p>
    <w:p w14:paraId="57110333">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①</w:t>
      </w:r>
      <w:r>
        <w:rPr>
          <w:rFonts w:hint="eastAsia" w:ascii="宋体" w:hAnsi="宋体" w:eastAsia="宋体" w:cs="宋体"/>
          <w:color w:val="auto"/>
          <w:kern w:val="0"/>
          <w:sz w:val="24"/>
          <w:szCs w:val="24"/>
        </w:rPr>
        <w:t>判令被告一向原告支付工程款</w:t>
      </w:r>
      <w:r>
        <w:rPr>
          <w:rFonts w:hint="eastAsia" w:ascii="宋体" w:hAnsi="宋体" w:eastAsia="宋体" w:cs="宋体"/>
          <w:color w:val="auto"/>
          <w:kern w:val="0"/>
          <w:sz w:val="24"/>
          <w:szCs w:val="24"/>
          <w:lang w:val="en-US" w:eastAsia="zh-CN"/>
        </w:rPr>
        <w:t>78255177.97</w:t>
      </w:r>
      <w:r>
        <w:rPr>
          <w:rFonts w:hint="eastAsia" w:ascii="宋体" w:hAnsi="宋体" w:eastAsia="宋体" w:cs="宋体"/>
          <w:color w:val="auto"/>
          <w:kern w:val="0"/>
          <w:sz w:val="24"/>
          <w:szCs w:val="24"/>
        </w:rPr>
        <w:t>元及逾期支付利息；</w:t>
      </w:r>
    </w:p>
    <w:p w14:paraId="254FBD16">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②</w:t>
      </w:r>
      <w:r>
        <w:rPr>
          <w:rFonts w:hint="eastAsia" w:ascii="宋体" w:hAnsi="宋体" w:eastAsia="宋体" w:cs="宋体"/>
          <w:color w:val="auto"/>
          <w:kern w:val="0"/>
          <w:sz w:val="24"/>
          <w:szCs w:val="24"/>
        </w:rPr>
        <w:t>判令被告二、被告三在欠付</w:t>
      </w:r>
      <w:r>
        <w:rPr>
          <w:rFonts w:hint="eastAsia" w:ascii="宋体" w:hAnsi="宋体" w:eastAsia="宋体" w:cs="宋体"/>
          <w:color w:val="auto"/>
          <w:kern w:val="0"/>
          <w:sz w:val="24"/>
          <w:szCs w:val="24"/>
          <w:lang w:val="en-US" w:eastAsia="zh-CN"/>
        </w:rPr>
        <w:t>建设工程价款</w:t>
      </w:r>
      <w:r>
        <w:rPr>
          <w:rFonts w:hint="eastAsia" w:ascii="宋体" w:hAnsi="宋体" w:eastAsia="宋体" w:cs="宋体"/>
          <w:color w:val="auto"/>
          <w:kern w:val="0"/>
          <w:sz w:val="24"/>
          <w:szCs w:val="24"/>
        </w:rPr>
        <w:t>范围内</w:t>
      </w:r>
      <w:r>
        <w:rPr>
          <w:rFonts w:hint="eastAsia" w:ascii="宋体" w:hAnsi="宋体" w:eastAsia="宋体" w:cs="宋体"/>
          <w:color w:val="auto"/>
          <w:kern w:val="0"/>
          <w:sz w:val="24"/>
          <w:szCs w:val="24"/>
          <w:lang w:val="en-US" w:eastAsia="zh-CN"/>
        </w:rPr>
        <w:t>共同对第一项诉求</w:t>
      </w:r>
      <w:r>
        <w:rPr>
          <w:rFonts w:hint="eastAsia" w:ascii="宋体" w:hAnsi="宋体" w:eastAsia="宋体" w:cs="宋体"/>
          <w:color w:val="auto"/>
          <w:kern w:val="0"/>
          <w:sz w:val="24"/>
          <w:szCs w:val="24"/>
        </w:rPr>
        <w:t>承担</w:t>
      </w:r>
      <w:r>
        <w:rPr>
          <w:rFonts w:hint="eastAsia" w:ascii="宋体" w:hAnsi="宋体" w:eastAsia="宋体" w:cs="宋体"/>
          <w:color w:val="auto"/>
          <w:kern w:val="0"/>
          <w:sz w:val="24"/>
          <w:szCs w:val="24"/>
          <w:lang w:val="en-US" w:eastAsia="zh-CN"/>
        </w:rPr>
        <w:t>支付</w:t>
      </w:r>
      <w:r>
        <w:rPr>
          <w:rFonts w:hint="eastAsia" w:ascii="宋体" w:hAnsi="宋体" w:eastAsia="宋体" w:cs="宋体"/>
          <w:color w:val="auto"/>
          <w:kern w:val="0"/>
          <w:sz w:val="24"/>
          <w:szCs w:val="24"/>
        </w:rPr>
        <w:t>责任；</w:t>
      </w:r>
    </w:p>
    <w:p w14:paraId="675A8CDB">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③</w:t>
      </w:r>
      <w:r>
        <w:rPr>
          <w:rFonts w:hint="eastAsia" w:ascii="宋体" w:hAnsi="宋体" w:eastAsia="宋体" w:cs="宋体"/>
          <w:color w:val="auto"/>
          <w:kern w:val="0"/>
          <w:sz w:val="24"/>
          <w:szCs w:val="24"/>
        </w:rPr>
        <w:t>判令被告承担本案的</w:t>
      </w:r>
      <w:r>
        <w:rPr>
          <w:rFonts w:hint="eastAsia" w:ascii="宋体" w:hAnsi="宋体" w:eastAsia="宋体" w:cs="宋体"/>
          <w:color w:val="auto"/>
          <w:kern w:val="0"/>
          <w:sz w:val="24"/>
          <w:szCs w:val="24"/>
          <w:lang w:val="en-US" w:eastAsia="zh-CN"/>
        </w:rPr>
        <w:t>全部诉讼费用</w:t>
      </w:r>
      <w:r>
        <w:rPr>
          <w:rFonts w:hint="eastAsia" w:ascii="宋体" w:hAnsi="宋体" w:eastAsia="宋体" w:cs="宋体"/>
          <w:color w:val="auto"/>
          <w:kern w:val="0"/>
          <w:sz w:val="24"/>
          <w:szCs w:val="24"/>
        </w:rPr>
        <w:t>。</w:t>
      </w:r>
    </w:p>
    <w:p w14:paraId="2D7EA5D2">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原告的事实理由（详见起诉状）</w:t>
      </w:r>
    </w:p>
    <w:p w14:paraId="11E098B0">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原告</w:t>
      </w:r>
      <w:r>
        <w:rPr>
          <w:rFonts w:hint="eastAsia" w:ascii="宋体" w:hAnsi="宋体" w:eastAsia="宋体" w:cs="宋体"/>
          <w:color w:val="auto"/>
          <w:kern w:val="0"/>
          <w:sz w:val="24"/>
          <w:szCs w:val="24"/>
          <w:lang w:val="en-US" w:eastAsia="zh-CN"/>
        </w:rPr>
        <w:t>中铁十七局</w:t>
      </w:r>
      <w:r>
        <w:rPr>
          <w:rFonts w:hint="eastAsia" w:ascii="宋体" w:hAnsi="宋体" w:eastAsia="宋体" w:cs="宋体"/>
          <w:color w:val="auto"/>
          <w:kern w:val="0"/>
          <w:sz w:val="24"/>
          <w:szCs w:val="24"/>
        </w:rPr>
        <w:t>起诉称：其与鸿高公司签订《联合体协议书》，约定中铁十七局主要承担东城片区工程，鸿高公司主要承担寮步片区工程。鸿高公司作为联合体牵头人代表原告与市城建局进行结算、收取工程款等事宜。然而，鸿高公司隐瞒工程款结算的真实情况且截留原告工程款。2022年11月，原告与鸿高公司共同确认，原告实际完成的工程量为271266411.84元。截至2025年4月16日，鸿高公司累计向原告支付工程款193011233.87元，剩余工程款78255177.97元未支付。现诉求鸿高公司支付剩余工程款78255177.97元及逾期付款利息，市城建局与莞清公司在欠付工程款范围内承担支付责任。</w:t>
      </w:r>
    </w:p>
    <w:p w14:paraId="6CE57205">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四、服务范围、期限</w:t>
      </w:r>
    </w:p>
    <w:p w14:paraId="1B635416">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（一）服务范围：代表采购人参加</w:t>
      </w:r>
      <w:r>
        <w:rPr>
          <w:rFonts w:hint="eastAsia" w:ascii="宋体" w:hAnsi="宋体" w:eastAsia="宋体" w:cs="宋体"/>
          <w:color w:val="auto"/>
          <w:kern w:val="0"/>
          <w:sz w:val="24"/>
          <w:szCs w:val="24"/>
          <w:lang w:val="en-US" w:eastAsia="zh-CN"/>
        </w:rPr>
        <w:t>中铁十七局</w:t>
      </w:r>
      <w:r>
        <w:rPr>
          <w:rFonts w:hint="eastAsia" w:ascii="宋体" w:hAnsi="宋体" w:eastAsia="宋体" w:cs="宋体"/>
          <w:color w:val="auto"/>
          <w:kern w:val="0"/>
          <w:sz w:val="24"/>
          <w:szCs w:val="24"/>
        </w:rPr>
        <w:t>诉</w:t>
      </w:r>
      <w:r>
        <w:rPr>
          <w:rFonts w:hint="eastAsia" w:ascii="宋体" w:hAnsi="宋体" w:eastAsia="宋体" w:cs="宋体"/>
          <w:color w:val="auto"/>
          <w:kern w:val="0"/>
          <w:sz w:val="24"/>
          <w:szCs w:val="24"/>
          <w:lang w:val="en-US" w:eastAsia="zh-CN"/>
        </w:rPr>
        <w:t>鸿高公司</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市城建局</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莞清</w:t>
      </w:r>
      <w:r>
        <w:rPr>
          <w:rFonts w:hint="eastAsia" w:ascii="宋体" w:hAnsi="宋体" w:eastAsia="宋体" w:cs="宋体"/>
          <w:color w:val="auto"/>
          <w:kern w:val="0"/>
          <w:sz w:val="24"/>
          <w:szCs w:val="24"/>
        </w:rPr>
        <w:t>公司建设工程施工合同纠纷（以下简称“本案”）一审、二审、发回重审一审、发回重审二审及提供本案相关法律服务。</w:t>
      </w:r>
    </w:p>
    <w:p w14:paraId="22AD664C">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（二）服务期限：自合同签订之日起至本案结案之日止。</w:t>
      </w:r>
    </w:p>
    <w:p w14:paraId="5E9727A0">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五</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服务费用</w:t>
      </w:r>
    </w:p>
    <w:p w14:paraId="6A6B839F">
      <w:pPr>
        <w:keepNext w:val="0"/>
        <w:keepLines w:val="0"/>
        <w:numPr>
          <w:ilvl w:val="-1"/>
          <w:numId w:val="0"/>
        </w:numPr>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（一）服务费总</w:t>
      </w:r>
      <w:r>
        <w:rPr>
          <w:rFonts w:hint="eastAsia" w:hAnsi="宋体" w:cs="宋体"/>
          <w:color w:val="auto"/>
          <w:kern w:val="0"/>
          <w:sz w:val="24"/>
          <w:szCs w:val="24"/>
          <w:lang w:val="en-US" w:eastAsia="zh-CN"/>
        </w:rPr>
        <w:t>预算</w:t>
      </w:r>
      <w:r>
        <w:rPr>
          <w:rFonts w:hint="eastAsia" w:ascii="宋体" w:hAnsi="宋体" w:eastAsia="宋体" w:cs="宋体"/>
          <w:color w:val="auto"/>
          <w:kern w:val="0"/>
          <w:sz w:val="24"/>
          <w:szCs w:val="24"/>
          <w:lang w:val="en-US" w:eastAsia="zh-CN"/>
        </w:rPr>
        <w:t>为</w:t>
      </w:r>
      <w:r>
        <w:rPr>
          <w:rFonts w:hint="eastAsia" w:hAnsi="宋体" w:cs="宋体"/>
          <w:color w:val="auto"/>
          <w:kern w:val="0"/>
          <w:sz w:val="24"/>
          <w:szCs w:val="24"/>
          <w:u w:val="single"/>
          <w:lang w:val="en-US" w:eastAsia="zh-CN"/>
        </w:rPr>
        <w:t xml:space="preserve">   110000   </w:t>
      </w:r>
      <w:r>
        <w:rPr>
          <w:rFonts w:hint="eastAsia" w:ascii="宋体" w:hAnsi="宋体" w:eastAsia="宋体" w:cs="宋体"/>
          <w:color w:val="auto"/>
          <w:kern w:val="0"/>
          <w:sz w:val="24"/>
          <w:szCs w:val="24"/>
          <w:lang w:val="en-US" w:eastAsia="zh-CN"/>
        </w:rPr>
        <w:t>元（</w:t>
      </w:r>
      <w:r>
        <w:rPr>
          <w:rFonts w:hint="eastAsia" w:hAnsi="宋体" w:cs="宋体"/>
          <w:color w:val="auto"/>
          <w:kern w:val="0"/>
          <w:sz w:val="24"/>
          <w:szCs w:val="24"/>
          <w:lang w:val="en-US" w:eastAsia="zh-CN"/>
        </w:rPr>
        <w:t>不</w:t>
      </w:r>
      <w:r>
        <w:rPr>
          <w:rFonts w:hint="eastAsia" w:ascii="宋体" w:hAnsi="宋体" w:eastAsia="宋体" w:cs="宋体"/>
          <w:color w:val="auto"/>
          <w:kern w:val="0"/>
          <w:sz w:val="24"/>
          <w:szCs w:val="24"/>
          <w:lang w:val="en-US" w:eastAsia="zh-CN"/>
        </w:rPr>
        <w:t>含税，详见下表），包含一审、二审、重审一审、重审二审及本案相关法律服务费用，最终服务费用按报价人实际代理的诉讼阶段及对应的诉讼结果计算。</w:t>
      </w:r>
    </w:p>
    <w:tbl>
      <w:tblPr>
        <w:tblStyle w:val="20"/>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6297"/>
      </w:tblGrid>
      <w:tr w14:paraId="15BB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74" w:type="dxa"/>
            <w:vAlign w:val="center"/>
          </w:tcPr>
          <w:p w14:paraId="626E629E">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诉讼阶段</w:t>
            </w:r>
          </w:p>
        </w:tc>
        <w:tc>
          <w:tcPr>
            <w:tcW w:w="6297" w:type="dxa"/>
            <w:vAlign w:val="center"/>
          </w:tcPr>
          <w:p w14:paraId="1C1DD5F6">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服务费</w:t>
            </w:r>
            <w:r>
              <w:rPr>
                <w:rFonts w:hint="eastAsia" w:hAnsi="宋体" w:cs="宋体"/>
                <w:color w:val="auto"/>
                <w:kern w:val="0"/>
                <w:sz w:val="24"/>
                <w:szCs w:val="24"/>
                <w:lang w:val="en-US" w:eastAsia="zh-CN"/>
              </w:rPr>
              <w:t>预算</w:t>
            </w:r>
            <w:r>
              <w:rPr>
                <w:rFonts w:hint="eastAsia" w:ascii="宋体" w:hAnsi="宋体" w:eastAsia="宋体" w:cs="宋体"/>
                <w:color w:val="auto"/>
                <w:kern w:val="0"/>
                <w:sz w:val="24"/>
                <w:szCs w:val="24"/>
                <w:lang w:val="en-US" w:eastAsia="zh-CN"/>
              </w:rPr>
              <w:t>（单位：元）</w:t>
            </w:r>
          </w:p>
        </w:tc>
      </w:tr>
      <w:tr w14:paraId="6630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restart"/>
            <w:vAlign w:val="center"/>
          </w:tcPr>
          <w:p w14:paraId="2DBBF477">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一审</w:t>
            </w:r>
          </w:p>
        </w:tc>
        <w:tc>
          <w:tcPr>
            <w:tcW w:w="6297" w:type="dxa"/>
            <w:vAlign w:val="center"/>
          </w:tcPr>
          <w:p w14:paraId="6A7C3428">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胜诉：</w:t>
            </w:r>
            <w:r>
              <w:rPr>
                <w:rFonts w:hint="eastAsia" w:hAnsi="宋体" w:cs="宋体"/>
                <w:color w:val="auto"/>
                <w:kern w:val="0"/>
                <w:sz w:val="24"/>
                <w:szCs w:val="24"/>
                <w:lang w:val="en-US" w:eastAsia="zh-CN"/>
              </w:rPr>
              <w:t xml:space="preserve"> 56603.77</w:t>
            </w:r>
          </w:p>
        </w:tc>
      </w:tr>
      <w:tr w14:paraId="431A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continue"/>
            <w:vAlign w:val="center"/>
          </w:tcPr>
          <w:p w14:paraId="32F0CDDC">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p>
        </w:tc>
        <w:tc>
          <w:tcPr>
            <w:tcW w:w="6297" w:type="dxa"/>
            <w:vAlign w:val="center"/>
          </w:tcPr>
          <w:p w14:paraId="1312DE3B">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败诉：</w:t>
            </w:r>
            <w:r>
              <w:rPr>
                <w:rFonts w:hint="eastAsia" w:hAnsi="宋体" w:cs="宋体"/>
                <w:color w:val="auto"/>
                <w:kern w:val="0"/>
                <w:sz w:val="24"/>
                <w:szCs w:val="24"/>
                <w:lang w:val="en-US" w:eastAsia="zh-CN"/>
              </w:rPr>
              <w:t xml:space="preserve"> 38301.89  </w:t>
            </w:r>
          </w:p>
        </w:tc>
      </w:tr>
      <w:tr w14:paraId="7807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continue"/>
            <w:vAlign w:val="center"/>
          </w:tcPr>
          <w:p w14:paraId="6514B496">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p>
        </w:tc>
        <w:tc>
          <w:tcPr>
            <w:tcW w:w="6297" w:type="dxa"/>
            <w:vAlign w:val="center"/>
          </w:tcPr>
          <w:p w14:paraId="7B9BDCF5">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报价人参加开庭前，原告撤诉、调解、和解的：</w:t>
            </w:r>
            <w:r>
              <w:rPr>
                <w:rFonts w:hint="eastAsia" w:hAnsi="宋体" w:cs="宋体"/>
                <w:color w:val="auto"/>
                <w:kern w:val="0"/>
                <w:sz w:val="24"/>
                <w:szCs w:val="24"/>
                <w:lang w:val="en-US" w:eastAsia="zh-CN"/>
              </w:rPr>
              <w:t xml:space="preserve"> 32641.51  </w:t>
            </w:r>
          </w:p>
        </w:tc>
      </w:tr>
      <w:tr w14:paraId="47AF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continue"/>
            <w:vAlign w:val="center"/>
          </w:tcPr>
          <w:p w14:paraId="3DE6EA9C">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p>
        </w:tc>
        <w:tc>
          <w:tcPr>
            <w:tcW w:w="6297" w:type="dxa"/>
            <w:vAlign w:val="center"/>
          </w:tcPr>
          <w:p w14:paraId="4AFE5ABF">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报价人参加开庭后，原告撤诉、调解、和解的：</w:t>
            </w:r>
            <w:r>
              <w:rPr>
                <w:rFonts w:hint="eastAsia" w:hAnsi="宋体" w:cs="宋体"/>
                <w:color w:val="auto"/>
                <w:kern w:val="0"/>
                <w:sz w:val="24"/>
                <w:szCs w:val="24"/>
                <w:lang w:val="en-US" w:eastAsia="zh-CN"/>
              </w:rPr>
              <w:t xml:space="preserve">36415.09   </w:t>
            </w:r>
          </w:p>
        </w:tc>
      </w:tr>
      <w:tr w14:paraId="416E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Merge w:val="restart"/>
            <w:vAlign w:val="center"/>
          </w:tcPr>
          <w:p w14:paraId="7C1DD098">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二审</w:t>
            </w:r>
          </w:p>
        </w:tc>
        <w:tc>
          <w:tcPr>
            <w:tcW w:w="6297" w:type="dxa"/>
            <w:vAlign w:val="center"/>
          </w:tcPr>
          <w:p w14:paraId="08403D1A">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胜诉：</w:t>
            </w:r>
            <w:r>
              <w:rPr>
                <w:rFonts w:hint="eastAsia" w:hAnsi="宋体" w:cs="宋体"/>
                <w:color w:val="auto"/>
                <w:kern w:val="0"/>
                <w:sz w:val="24"/>
                <w:szCs w:val="24"/>
                <w:lang w:val="en-US" w:eastAsia="zh-CN"/>
              </w:rPr>
              <w:t xml:space="preserve"> 28301.89</w:t>
            </w:r>
          </w:p>
        </w:tc>
      </w:tr>
      <w:tr w14:paraId="469D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Merge w:val="continue"/>
            <w:vAlign w:val="center"/>
          </w:tcPr>
          <w:p w14:paraId="73BD0809">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p>
        </w:tc>
        <w:tc>
          <w:tcPr>
            <w:tcW w:w="6297" w:type="dxa"/>
            <w:vAlign w:val="center"/>
          </w:tcPr>
          <w:p w14:paraId="309A397E">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败诉：</w:t>
            </w:r>
            <w:r>
              <w:rPr>
                <w:rFonts w:hint="eastAsia" w:hAnsi="宋体" w:cs="宋体"/>
                <w:color w:val="auto"/>
                <w:kern w:val="0"/>
                <w:sz w:val="24"/>
                <w:szCs w:val="24"/>
                <w:lang w:val="en-US" w:eastAsia="zh-CN"/>
              </w:rPr>
              <w:t>20094.34</w:t>
            </w:r>
          </w:p>
        </w:tc>
      </w:tr>
      <w:tr w14:paraId="269B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Merge w:val="continue"/>
            <w:vAlign w:val="center"/>
          </w:tcPr>
          <w:p w14:paraId="5D6267CF">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p>
        </w:tc>
        <w:tc>
          <w:tcPr>
            <w:tcW w:w="6297" w:type="dxa"/>
            <w:vAlign w:val="center"/>
          </w:tcPr>
          <w:p w14:paraId="4AFC5F90">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发回重审、撤诉、调解、和解：</w:t>
            </w:r>
            <w:r>
              <w:rPr>
                <w:rFonts w:hint="eastAsia" w:hAnsi="宋体" w:cs="宋体"/>
                <w:color w:val="auto"/>
                <w:kern w:val="0"/>
                <w:sz w:val="24"/>
                <w:szCs w:val="24"/>
                <w:lang w:val="en-US" w:eastAsia="zh-CN"/>
              </w:rPr>
              <w:t xml:space="preserve"> 19622.64</w:t>
            </w:r>
          </w:p>
        </w:tc>
      </w:tr>
      <w:tr w14:paraId="50E9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Align w:val="center"/>
          </w:tcPr>
          <w:p w14:paraId="3B2AFF21">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发回重审一审</w:t>
            </w:r>
          </w:p>
        </w:tc>
        <w:tc>
          <w:tcPr>
            <w:tcW w:w="6297" w:type="dxa"/>
            <w:vAlign w:val="center"/>
          </w:tcPr>
          <w:p w14:paraId="67439282">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 xml:space="preserve"> 17358.49</w:t>
            </w:r>
          </w:p>
        </w:tc>
      </w:tr>
      <w:tr w14:paraId="3A0A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Align w:val="center"/>
          </w:tcPr>
          <w:p w14:paraId="13C5AF14">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发回重审二审</w:t>
            </w:r>
          </w:p>
        </w:tc>
        <w:tc>
          <w:tcPr>
            <w:tcW w:w="6297" w:type="dxa"/>
            <w:vAlign w:val="center"/>
          </w:tcPr>
          <w:p w14:paraId="34C252EF">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7735.85</w:t>
            </w:r>
          </w:p>
        </w:tc>
      </w:tr>
    </w:tbl>
    <w:p w14:paraId="0516AE0F">
      <w:pPr>
        <w:keepNext w:val="0"/>
        <w:keepLines w:val="0"/>
        <w:numPr>
          <w:ilvl w:val="-1"/>
          <w:numId w:val="0"/>
        </w:numPr>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备注:胜诉是指法院判决采购人无需承担责任；败诉是指法院判决采购人需承担责任。</w:t>
      </w:r>
    </w:p>
    <w:p w14:paraId="3C14A8F7">
      <w:pPr>
        <w:keepNext w:val="0"/>
        <w:keepLines w:val="0"/>
        <w:numPr>
          <w:ilvl w:val="-1"/>
          <w:numId w:val="0"/>
        </w:numPr>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特别说明：</w:t>
      </w:r>
    </w:p>
    <w:p w14:paraId="1F3D24B4">
      <w:pPr>
        <w:keepNext w:val="0"/>
        <w:keepLines w:val="0"/>
        <w:numPr>
          <w:ilvl w:val="-1"/>
          <w:numId w:val="0"/>
        </w:numPr>
        <w:kinsoku/>
        <w:wordWrap/>
        <w:overflowPunct/>
        <w:topLinePunct w:val="0"/>
        <w:autoSpaceDE/>
        <w:autoSpaceDN/>
        <w:bidi w:val="0"/>
        <w:adjustRightInd w:val="0"/>
        <w:snapToGrid w:val="0"/>
        <w:spacing w:line="520" w:lineRule="exact"/>
        <w:ind w:left="0" w:leftChars="0" w:firstLine="480" w:firstLineChars="200"/>
        <w:jc w:val="both"/>
        <w:textAlignment w:val="auto"/>
        <w:rPr>
          <w:rFonts w:hint="eastAsia"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上述的一审、二审、发回重审一审、发回重审二审等阶段发生且实际委托代理后，才支付相应的服务费，不发生的阶段或发生的阶段未实际委托代理的则不支付相应的服务费用。</w:t>
      </w:r>
    </w:p>
    <w:p w14:paraId="3DC494AD">
      <w:pPr>
        <w:keepNext w:val="0"/>
        <w:keepLines w:val="0"/>
        <w:pageBreakBefore w:val="0"/>
        <w:widowControl/>
        <w:numPr>
          <w:ilvl w:val="-1"/>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若报价人收到授权案件后尚未开展任何实质性工作〔实质性工作包括：（1）提交答辩状及证据材料；（2）提交上诉状；（3）参加开庭；（4）参与和解调解；（5）其他采购人认可的工作〕而案件结案的，则采购人无需支付任何费用。</w:t>
      </w:r>
    </w:p>
    <w:p w14:paraId="44E5D31B">
      <w:pPr>
        <w:widowControl/>
        <w:numPr>
          <w:ilvl w:val="0"/>
          <w:numId w:val="0"/>
        </w:numPr>
        <w:autoSpaceDE/>
        <w:autoSpaceDN/>
        <w:snapToGrid w:val="0"/>
        <w:spacing w:line="520" w:lineRule="exact"/>
        <w:ind w:firstLine="480" w:firstLineChars="200"/>
        <w:jc w:val="both"/>
        <w:rPr>
          <w:rFonts w:hint="eastAsia" w:hAnsi="宋体" w:cs="宋体"/>
          <w:color w:val="auto"/>
          <w:lang w:val="en-US" w:eastAsia="zh-CN"/>
        </w:rPr>
      </w:pPr>
      <w:r>
        <w:rPr>
          <w:rFonts w:hint="eastAsia" w:hAnsi="宋体" w:cs="宋体"/>
          <w:color w:val="auto"/>
          <w:lang w:val="en-US" w:eastAsia="zh-CN"/>
        </w:rPr>
        <w:t>3.上述各阶段不含税服务费包含完成相应诉讼阶段的全部费用（除税金外），包括但不限于律师费、相关法律服务费、交通费、差旅费、通讯费、资料费等报价人全面妥善履行该诉讼阶段工作内容的全部费用。除另有约定外，报价人无权向采购人另行主张任何其他费用或补偿。</w:t>
      </w:r>
    </w:p>
    <w:p w14:paraId="59DC9108">
      <w:pPr>
        <w:widowControl/>
        <w:numPr>
          <w:ilvl w:val="0"/>
          <w:numId w:val="0"/>
        </w:numPr>
        <w:autoSpaceDE/>
        <w:autoSpaceDN/>
        <w:snapToGrid w:val="0"/>
        <w:spacing w:line="520" w:lineRule="exact"/>
        <w:ind w:firstLine="480" w:firstLineChars="200"/>
        <w:jc w:val="both"/>
        <w:rPr>
          <w:rFonts w:hint="eastAsia"/>
          <w:lang w:val="en-US" w:eastAsia="zh-CN"/>
        </w:rPr>
      </w:pPr>
      <w:r>
        <w:rPr>
          <w:rFonts w:hint="eastAsia" w:hAnsi="宋体" w:cs="宋体"/>
          <w:color w:val="auto"/>
          <w:lang w:val="en-US" w:eastAsia="zh-CN"/>
        </w:rPr>
        <w:t>4.若案涉项目涉及第三人主张质押权、其他案件法院要求协助执行等问题，报价人需一并跟进处理；如因前述问题导致采购人无法正常履行判决而案件进入执行阶段的，则报价人继续代理案件执行阶段，采购人不再对此另行支付费用。</w:t>
      </w:r>
    </w:p>
    <w:bookmarkEnd w:id="8"/>
    <w:bookmarkEnd w:id="9"/>
    <w:bookmarkEnd w:id="10"/>
    <w:bookmarkEnd w:id="11"/>
    <w:p w14:paraId="758705EF">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lang w:val="en-US" w:eastAsia="zh-CN"/>
        </w:rPr>
        <w:t>六</w:t>
      </w:r>
      <w:r>
        <w:rPr>
          <w:rFonts w:hint="eastAsia" w:ascii="宋体" w:hAnsi="宋体" w:eastAsia="宋体" w:cs="宋体"/>
          <w:b/>
          <w:color w:val="auto"/>
          <w:kern w:val="0"/>
          <w:sz w:val="24"/>
          <w:szCs w:val="24"/>
        </w:rPr>
        <w:t>、服务内容</w:t>
      </w:r>
    </w:p>
    <w:p w14:paraId="0D91106D">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（一）参与案件谈判、调解，制定诉讼策略，对案件风险、存在问题</w:t>
      </w:r>
      <w:r>
        <w:rPr>
          <w:rFonts w:hint="eastAsia" w:ascii="宋体" w:hAnsi="宋体" w:eastAsia="宋体" w:cs="宋体"/>
          <w:color w:val="auto"/>
          <w:kern w:val="0"/>
          <w:sz w:val="24"/>
          <w:szCs w:val="24"/>
        </w:rPr>
        <w:t>提供法律意见</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解决方案</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按采购人的要求出具书面意见、报告</w:t>
      </w:r>
      <w:r>
        <w:rPr>
          <w:rFonts w:hint="eastAsia" w:ascii="宋体" w:hAnsi="宋体" w:eastAsia="宋体" w:cs="宋体"/>
          <w:color w:val="auto"/>
          <w:kern w:val="0"/>
          <w:sz w:val="24"/>
          <w:szCs w:val="24"/>
          <w:lang w:eastAsia="zh-CN"/>
        </w:rPr>
        <w:t>；</w:t>
      </w:r>
    </w:p>
    <w:p w14:paraId="6BFE21CA">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（二）</w:t>
      </w:r>
      <w:r>
        <w:rPr>
          <w:rFonts w:hint="eastAsia" w:ascii="宋体" w:hAnsi="宋体" w:eastAsia="宋体" w:cs="宋体"/>
          <w:color w:val="auto"/>
          <w:kern w:val="0"/>
          <w:sz w:val="24"/>
          <w:szCs w:val="24"/>
        </w:rPr>
        <w:t>根据</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委托，代理</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lang w:val="en-US" w:eastAsia="zh-CN"/>
        </w:rPr>
        <w:t>处理案件相关事宜</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包括调查取证、应诉、答辩、提交证据材料、参加法院组织的庭审、调解等诉讼活动、代收法律文书、协助、配合司法机关完成案件审理等必要程序；</w:t>
      </w:r>
    </w:p>
    <w:p w14:paraId="6CC19B2B">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（三）参加采购人关于案件相关内外部会议，提出法律建议；</w:t>
      </w:r>
    </w:p>
    <w:p w14:paraId="5F178777">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（四）根据采购人要求，对外出具律师函、法律意见书等文书；</w:t>
      </w:r>
    </w:p>
    <w:p w14:paraId="28F29A6F">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（五）案件作出裁决后，协助采购人处理后续履行事宜，包括但不限于对案件结果出具意见并提出建议，陪同采购人参加相关会议、谈判等；</w:t>
      </w:r>
    </w:p>
    <w:p w14:paraId="2F949DF9">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（六）代表采购人处理判决履行过程中涉及的第三人主张质押权以及其他案件法院要求协助执行等问题，确保采购人依法履行判决；</w:t>
      </w:r>
    </w:p>
    <w:p w14:paraId="25381AC2">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（七）其他采购人要求的法律服务。</w:t>
      </w:r>
    </w:p>
    <w:p w14:paraId="1A02EDD6">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七</w:t>
      </w:r>
      <w:r>
        <w:rPr>
          <w:rFonts w:hint="eastAsia" w:ascii="宋体" w:hAnsi="宋体" w:eastAsia="宋体" w:cs="宋体"/>
          <w:b/>
          <w:color w:val="auto"/>
          <w:kern w:val="0"/>
          <w:sz w:val="24"/>
          <w:szCs w:val="24"/>
        </w:rPr>
        <w:t>、服务费用支付方式</w:t>
      </w:r>
    </w:p>
    <w:p w14:paraId="46CD9EAA">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报价人每完成一个诉讼阶段的服务后（以收到法院相关法律文书为准），</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支付对应阶段的服务费。</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付款前，报价人必须按</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要求提供等额增值税专用发票及请款申请书等请款资料，否则不予支付。</w:t>
      </w:r>
    </w:p>
    <w:p w14:paraId="2C577B66">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八、工作考核</w:t>
      </w:r>
    </w:p>
    <w:p w14:paraId="5D7D2A18">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东莞市水务环境投资控股集团有限公司与</w:t>
      </w:r>
      <w:r>
        <w:rPr>
          <w:rFonts w:hint="eastAsia" w:ascii="宋体" w:hAnsi="宋体" w:eastAsia="宋体" w:cs="宋体"/>
          <w:color w:val="auto"/>
          <w:kern w:val="0"/>
          <w:sz w:val="24"/>
          <w:szCs w:val="24"/>
        </w:rPr>
        <w:t>采购人按照《东莞市水务集团专项法律服务/诉讼代理服务单位考核评价表》（附件</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）考核评分。考核得分为不合格的</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70分以下</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，采购人有权提前解除合同。</w:t>
      </w:r>
    </w:p>
    <w:p w14:paraId="7ED117F6">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lang w:val="en-US" w:eastAsia="zh-CN"/>
        </w:rPr>
        <w:t>九、报价人</w:t>
      </w:r>
      <w:r>
        <w:rPr>
          <w:rFonts w:hint="eastAsia" w:ascii="宋体" w:hAnsi="宋体" w:eastAsia="宋体" w:cs="宋体"/>
          <w:b/>
          <w:bCs/>
          <w:color w:val="auto"/>
          <w:kern w:val="0"/>
          <w:sz w:val="24"/>
          <w:szCs w:val="24"/>
        </w:rPr>
        <w:t>要求</w:t>
      </w:r>
    </w:p>
    <w:p w14:paraId="1403AEEC">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（一）</w:t>
      </w:r>
      <w:r>
        <w:rPr>
          <w:rFonts w:hint="eastAsia" w:ascii="宋体" w:hAnsi="宋体" w:eastAsia="宋体" w:cs="宋体"/>
          <w:color w:val="auto"/>
          <w:kern w:val="0"/>
          <w:sz w:val="24"/>
          <w:szCs w:val="24"/>
          <w:lang w:eastAsia="zh-CN"/>
        </w:rPr>
        <w:t>报价人</w:t>
      </w:r>
      <w:r>
        <w:rPr>
          <w:rFonts w:hint="eastAsia" w:ascii="宋体" w:hAnsi="宋体" w:eastAsia="宋体" w:cs="宋体"/>
          <w:color w:val="auto"/>
          <w:kern w:val="0"/>
          <w:sz w:val="24"/>
          <w:szCs w:val="24"/>
        </w:rPr>
        <w:t>需</w:t>
      </w:r>
      <w:r>
        <w:rPr>
          <w:rFonts w:hint="eastAsia" w:ascii="宋体" w:hAnsi="宋体" w:eastAsia="宋体" w:cs="宋体"/>
          <w:color w:val="auto"/>
          <w:kern w:val="0"/>
          <w:sz w:val="24"/>
          <w:szCs w:val="24"/>
          <w:lang w:val="en-US" w:eastAsia="zh-CN"/>
        </w:rPr>
        <w:t>经</w:t>
      </w:r>
      <w:r>
        <w:rPr>
          <w:rFonts w:hint="eastAsia" w:ascii="宋体" w:hAnsi="宋体" w:eastAsia="宋体" w:cs="宋体"/>
          <w:color w:val="auto"/>
          <w:kern w:val="0"/>
          <w:sz w:val="24"/>
          <w:szCs w:val="24"/>
        </w:rPr>
        <w:t>省级或以上</w:t>
      </w:r>
      <w:r>
        <w:rPr>
          <w:rFonts w:hint="eastAsia" w:ascii="宋体" w:hAnsi="宋体" w:eastAsia="宋体" w:cs="宋体"/>
          <w:color w:val="auto"/>
          <w:kern w:val="0"/>
          <w:sz w:val="24"/>
          <w:szCs w:val="24"/>
          <w:lang w:val="en-US" w:eastAsia="zh-CN"/>
        </w:rPr>
        <w:t>司法行政部门批准成立5年以上，</w:t>
      </w:r>
      <w:r>
        <w:rPr>
          <w:rFonts w:hint="eastAsia" w:ascii="宋体" w:hAnsi="宋体" w:eastAsia="宋体" w:cs="宋体"/>
          <w:color w:val="auto"/>
          <w:kern w:val="0"/>
          <w:sz w:val="24"/>
          <w:szCs w:val="24"/>
        </w:rPr>
        <w:t>具有律师事务所执业许可证，近</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年内未受到</w:t>
      </w:r>
      <w:r>
        <w:rPr>
          <w:rFonts w:hint="eastAsia" w:ascii="宋体" w:hAnsi="宋体" w:eastAsia="宋体" w:cs="宋体"/>
          <w:color w:val="auto"/>
          <w:kern w:val="0"/>
          <w:sz w:val="24"/>
          <w:szCs w:val="24"/>
          <w:lang w:val="en-US" w:eastAsia="zh-CN"/>
        </w:rPr>
        <w:t>行政处罚、行业处分且律所年度考核均为合格，信誉良好，综合实力、业务能力水平较高，</w:t>
      </w:r>
      <w:r>
        <w:rPr>
          <w:rFonts w:hint="eastAsia" w:ascii="宋体" w:hAnsi="宋体" w:eastAsia="宋体" w:cs="宋体"/>
          <w:color w:val="auto"/>
          <w:kern w:val="0"/>
          <w:sz w:val="24"/>
        </w:rPr>
        <w:t>与所委托事项无利益冲突</w:t>
      </w:r>
      <w:r>
        <w:rPr>
          <w:rFonts w:hint="eastAsia" w:ascii="宋体" w:hAnsi="宋体" w:eastAsia="宋体" w:cs="宋体"/>
          <w:color w:val="auto"/>
          <w:kern w:val="0"/>
          <w:sz w:val="24"/>
          <w:szCs w:val="24"/>
        </w:rPr>
        <w:t>；</w:t>
      </w:r>
    </w:p>
    <w:p w14:paraId="1A5DA90D">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（二）</w:t>
      </w:r>
      <w:r>
        <w:rPr>
          <w:rFonts w:hint="eastAsia" w:ascii="宋体" w:hAnsi="宋体" w:eastAsia="宋体" w:cs="宋体"/>
          <w:color w:val="auto"/>
          <w:kern w:val="0"/>
          <w:sz w:val="24"/>
          <w:szCs w:val="24"/>
          <w:lang w:eastAsia="zh-CN"/>
        </w:rPr>
        <w:t>报价人</w:t>
      </w:r>
      <w:r>
        <w:rPr>
          <w:rFonts w:hint="eastAsia" w:ascii="宋体" w:hAnsi="宋体" w:eastAsia="宋体" w:cs="宋体"/>
          <w:color w:val="auto"/>
          <w:kern w:val="0"/>
          <w:sz w:val="24"/>
          <w:szCs w:val="24"/>
        </w:rPr>
        <w:t>服务于</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val="en-US" w:eastAsia="zh-CN"/>
        </w:rPr>
        <w:t>律师</w:t>
      </w:r>
      <w:r>
        <w:rPr>
          <w:rFonts w:hint="eastAsia" w:ascii="宋体" w:hAnsi="宋体" w:eastAsia="宋体" w:cs="宋体"/>
          <w:color w:val="auto"/>
          <w:kern w:val="0"/>
          <w:sz w:val="24"/>
          <w:szCs w:val="24"/>
        </w:rPr>
        <w:t>团队需熟悉</w:t>
      </w:r>
      <w:r>
        <w:rPr>
          <w:rFonts w:hint="eastAsia" w:ascii="宋体" w:hAnsi="宋体" w:eastAsia="宋体" w:cs="宋体"/>
          <w:color w:val="auto"/>
          <w:kern w:val="0"/>
          <w:sz w:val="24"/>
          <w:szCs w:val="24"/>
          <w:lang w:val="en-US" w:eastAsia="zh-CN"/>
        </w:rPr>
        <w:t>建设工程、PPP、财审结算等相关</w:t>
      </w:r>
      <w:r>
        <w:rPr>
          <w:rFonts w:hint="eastAsia" w:ascii="宋体" w:hAnsi="宋体" w:eastAsia="宋体" w:cs="宋体"/>
          <w:color w:val="auto"/>
          <w:kern w:val="0"/>
          <w:sz w:val="24"/>
          <w:szCs w:val="24"/>
        </w:rPr>
        <w:t>法律法规，对处理</w:t>
      </w:r>
      <w:r>
        <w:rPr>
          <w:rFonts w:hint="eastAsia" w:ascii="宋体" w:hAnsi="宋体" w:eastAsia="宋体" w:cs="宋体"/>
          <w:color w:val="auto"/>
          <w:kern w:val="0"/>
          <w:sz w:val="24"/>
          <w:szCs w:val="24"/>
          <w:lang w:val="en-US" w:eastAsia="zh-CN"/>
        </w:rPr>
        <w:t>建设工程纠纷</w:t>
      </w:r>
      <w:r>
        <w:rPr>
          <w:rFonts w:hint="eastAsia" w:ascii="宋体" w:hAnsi="宋体" w:eastAsia="宋体" w:cs="宋体"/>
          <w:color w:val="auto"/>
          <w:kern w:val="0"/>
          <w:sz w:val="24"/>
          <w:szCs w:val="24"/>
        </w:rPr>
        <w:t>具有丰富的经验，能有效地</w:t>
      </w:r>
      <w:r>
        <w:rPr>
          <w:rFonts w:hint="eastAsia" w:ascii="宋体" w:hAnsi="宋体" w:eastAsia="宋体" w:cs="宋体"/>
          <w:color w:val="auto"/>
          <w:kern w:val="0"/>
          <w:sz w:val="24"/>
          <w:szCs w:val="24"/>
          <w:lang w:val="en-US" w:eastAsia="zh-CN"/>
        </w:rPr>
        <w:t>完成委托事项</w:t>
      </w:r>
      <w:r>
        <w:rPr>
          <w:rFonts w:hint="eastAsia" w:ascii="宋体" w:hAnsi="宋体" w:eastAsia="宋体" w:cs="宋体"/>
          <w:color w:val="auto"/>
          <w:kern w:val="0"/>
          <w:sz w:val="24"/>
          <w:szCs w:val="24"/>
        </w:rPr>
        <w:t>；</w:t>
      </w:r>
    </w:p>
    <w:p w14:paraId="63312395">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三</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为本项目提供服务的律师</w:t>
      </w:r>
      <w:r>
        <w:rPr>
          <w:rFonts w:hint="eastAsia" w:ascii="宋体" w:hAnsi="宋体" w:eastAsia="宋体" w:cs="宋体"/>
          <w:color w:val="auto"/>
          <w:kern w:val="0"/>
          <w:sz w:val="24"/>
          <w:szCs w:val="24"/>
        </w:rPr>
        <w:t>应不少于</w:t>
      </w:r>
      <w:r>
        <w:rPr>
          <w:rFonts w:hint="default" w:ascii="宋体" w:hAnsi="宋体" w:eastAsia="宋体" w:cs="宋体"/>
          <w:color w:val="auto"/>
          <w:kern w:val="0"/>
          <w:sz w:val="24"/>
          <w:szCs w:val="24"/>
          <w:lang w:val="en-US" w:eastAsia="zh-CN"/>
        </w:rPr>
        <w:t>三</w:t>
      </w:r>
      <w:r>
        <w:rPr>
          <w:rFonts w:hint="eastAsia" w:ascii="宋体" w:hAnsi="宋体" w:eastAsia="宋体" w:cs="宋体"/>
          <w:color w:val="auto"/>
          <w:kern w:val="0"/>
          <w:sz w:val="24"/>
          <w:szCs w:val="24"/>
        </w:rPr>
        <w:t>人，持律师执业资格证书</w:t>
      </w:r>
      <w:r>
        <w:rPr>
          <w:rFonts w:hint="eastAsia" w:ascii="宋体" w:hAnsi="宋体" w:eastAsia="宋体" w:cs="宋体"/>
          <w:color w:val="auto"/>
          <w:kern w:val="0"/>
          <w:sz w:val="24"/>
          <w:szCs w:val="24"/>
          <w:lang w:val="en-US" w:eastAsia="zh-CN"/>
        </w:rPr>
        <w:t>并已按时办理年检手续</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近3年未受到行政处罚、行业处分且</w:t>
      </w:r>
      <w:r>
        <w:rPr>
          <w:rFonts w:hint="eastAsia" w:ascii="宋体" w:hAnsi="宋体" w:eastAsia="宋体" w:cs="宋体"/>
          <w:color w:val="auto"/>
          <w:kern w:val="0"/>
          <w:sz w:val="24"/>
        </w:rPr>
        <w:t>年度考核结果均为称职</w:t>
      </w:r>
      <w:r>
        <w:rPr>
          <w:rFonts w:hint="eastAsia" w:ascii="宋体" w:hAnsi="宋体" w:eastAsia="宋体" w:cs="宋体"/>
          <w:color w:val="auto"/>
          <w:kern w:val="0"/>
          <w:sz w:val="24"/>
          <w:szCs w:val="24"/>
          <w:lang w:val="en-US" w:eastAsia="zh-CN"/>
        </w:rPr>
        <w:t>。其中团队律师需执业满一年或以上；项目负责人至少执业年限为五年以上，且具有丰富的建设工程纠纷诉讼经验，且必须在本案中作为代理律师</w:t>
      </w:r>
      <w:r>
        <w:rPr>
          <w:rFonts w:hint="eastAsia" w:ascii="宋体" w:hAnsi="宋体" w:eastAsia="宋体" w:cs="宋体"/>
          <w:color w:val="auto"/>
          <w:kern w:val="0"/>
          <w:sz w:val="24"/>
          <w:szCs w:val="24"/>
          <w:lang w:eastAsia="zh-CN"/>
        </w:rPr>
        <w:t>。</w:t>
      </w:r>
    </w:p>
    <w:p w14:paraId="788B2366">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5FDB3DAA">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750D0CF5">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1948E913">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59442330">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40F9AAD2">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0814B14C">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3513EA5B">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18DD6B52">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0B8AF668">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10865220">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0BEDBF70">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264FF8C0">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7CEA1BAE">
      <w:pPr>
        <w:pStyle w:val="3"/>
        <w:rPr>
          <w:rFonts w:hint="eastAsia" w:ascii="Times New Roman" w:hAnsi="Times New Roman" w:eastAsia="仿宋_GB2312" w:cs="仿宋_GB2312"/>
          <w:b w:val="0"/>
          <w:bCs w:val="0"/>
          <w:sz w:val="28"/>
          <w:szCs w:val="28"/>
          <w:highlight w:val="none"/>
          <w:lang w:val="en-US" w:eastAsia="zh-CN"/>
        </w:rPr>
      </w:pPr>
    </w:p>
    <w:p w14:paraId="36AF0A71">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0BCAE273">
      <w:pPr>
        <w:widowControl/>
        <w:autoSpaceDE/>
        <w:autoSpaceDN/>
        <w:adjustRightInd w:val="0"/>
        <w:snapToGrid w:val="0"/>
        <w:spacing w:after="0" w:line="520" w:lineRule="exact"/>
        <w:jc w:val="left"/>
        <w:rPr>
          <w:rFonts w:hint="default" w:ascii="Times New Roman" w:hAnsi="Times New Roman" w:eastAsia="仿宋_GB2312" w:cs="仿宋_GB2312"/>
          <w:b w:val="0"/>
          <w:bCs w:val="0"/>
          <w:sz w:val="28"/>
          <w:szCs w:val="28"/>
          <w:highlight w:val="none"/>
          <w:lang w:val="en-US" w:eastAsia="zh-CN"/>
        </w:rPr>
      </w:pPr>
      <w:r>
        <w:rPr>
          <w:rFonts w:hint="eastAsia" w:ascii="Times New Roman" w:hAnsi="Times New Roman" w:eastAsia="仿宋_GB2312" w:cs="仿宋_GB2312"/>
          <w:b w:val="0"/>
          <w:bCs w:val="0"/>
          <w:sz w:val="28"/>
          <w:szCs w:val="28"/>
          <w:highlight w:val="none"/>
          <w:lang w:val="en-US" w:eastAsia="zh-CN"/>
        </w:rPr>
        <w:t>附件1：</w:t>
      </w:r>
    </w:p>
    <w:p w14:paraId="42A7BBC7">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方正小标宋简体" w:cs="方正小标宋简体"/>
          <w:b w:val="0"/>
          <w:bCs w:val="0"/>
          <w:sz w:val="44"/>
          <w:szCs w:val="44"/>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东莞市水务集团专项法律服务/诉讼代理</w:t>
      </w:r>
    </w:p>
    <w:p w14:paraId="5FDA5181">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楷体_GB2312" w:cs="楷体_GB2312"/>
          <w:b w:val="0"/>
          <w:bCs w:val="0"/>
          <w:sz w:val="30"/>
          <w:szCs w:val="30"/>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服务单位考核评价表</w:t>
      </w:r>
    </w:p>
    <w:p w14:paraId="386DC28D">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填报部门/企业：（盖章）</w:t>
      </w:r>
      <w:r>
        <w:rPr>
          <w:rFonts w:hint="eastAsia" w:ascii="Times New Roman" w:hAnsi="Times New Roman"/>
          <w:b w:val="0"/>
          <w:bCs w:val="0"/>
          <w:sz w:val="28"/>
          <w:szCs w:val="28"/>
        </w:rPr>
        <w:t xml:space="preserve">                             </w:t>
      </w:r>
      <w:r>
        <w:rPr>
          <w:rFonts w:hint="eastAsia" w:ascii="Times New Roman" w:hAnsi="Times New Roman" w:eastAsia="仿宋_GB2312" w:cs="仿宋_GB2312"/>
          <w:b w:val="0"/>
          <w:bCs w:val="0"/>
          <w:sz w:val="28"/>
          <w:szCs w:val="28"/>
          <w:lang w:val="en-US" w:eastAsia="zh-CN"/>
        </w:rPr>
        <w:t>年  月  日</w:t>
      </w:r>
    </w:p>
    <w:tbl>
      <w:tblPr>
        <w:tblStyle w:val="20"/>
        <w:tblW w:w="9354"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938"/>
        <w:gridCol w:w="805"/>
        <w:gridCol w:w="1613"/>
        <w:gridCol w:w="1359"/>
        <w:gridCol w:w="2094"/>
      </w:tblGrid>
      <w:tr w14:paraId="48E9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5" w:type="dxa"/>
            <w:vAlign w:val="center"/>
          </w:tcPr>
          <w:p w14:paraId="56355BA5">
            <w:pPr>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律师事务所</w:t>
            </w:r>
            <w:r>
              <w:rPr>
                <w:rFonts w:hint="eastAsia" w:ascii="Times New Roman" w:hAnsi="Times New Roman" w:eastAsia="仿宋_GB2312" w:cs="仿宋_GB2312"/>
                <w:b/>
                <w:bCs/>
                <w:sz w:val="28"/>
                <w:szCs w:val="28"/>
                <w:lang w:val="en-US" w:eastAsia="zh-CN"/>
              </w:rPr>
              <w:t>名称</w:t>
            </w:r>
          </w:p>
        </w:tc>
        <w:tc>
          <w:tcPr>
            <w:tcW w:w="1938" w:type="dxa"/>
            <w:vAlign w:val="center"/>
          </w:tcPr>
          <w:p w14:paraId="3C7A15AA">
            <w:pPr>
              <w:jc w:val="center"/>
              <w:rPr>
                <w:rFonts w:hint="eastAsia" w:ascii="Times New Roman" w:hAnsi="Times New Roman" w:eastAsia="仿宋_GB2312" w:cs="仿宋_GB2312"/>
                <w:b w:val="0"/>
                <w:bCs w:val="0"/>
                <w:sz w:val="28"/>
                <w:szCs w:val="28"/>
              </w:rPr>
            </w:pPr>
          </w:p>
        </w:tc>
        <w:tc>
          <w:tcPr>
            <w:tcW w:w="805" w:type="dxa"/>
            <w:vAlign w:val="center"/>
          </w:tcPr>
          <w:p w14:paraId="7AC2E662">
            <w:pPr>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服务</w:t>
            </w:r>
            <w:r>
              <w:rPr>
                <w:rFonts w:hint="eastAsia" w:ascii="Times New Roman" w:hAnsi="Times New Roman" w:eastAsia="仿宋_GB2312" w:cs="仿宋_GB2312"/>
                <w:b/>
                <w:bCs/>
                <w:sz w:val="28"/>
                <w:szCs w:val="28"/>
                <w:lang w:val="en-US" w:eastAsia="zh-CN"/>
              </w:rPr>
              <w:t>期限</w:t>
            </w:r>
          </w:p>
        </w:tc>
        <w:tc>
          <w:tcPr>
            <w:tcW w:w="5066" w:type="dxa"/>
            <w:gridSpan w:val="3"/>
            <w:vAlign w:val="center"/>
          </w:tcPr>
          <w:p w14:paraId="00611C3C">
            <w:pPr>
              <w:jc w:val="center"/>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z w:val="28"/>
                <w:szCs w:val="28"/>
              </w:rPr>
              <w:t xml:space="preserve">  年  月  日至   年  月  日</w:t>
            </w:r>
          </w:p>
        </w:tc>
      </w:tr>
      <w:tr w14:paraId="6464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45" w:type="dxa"/>
            <w:vAlign w:val="center"/>
          </w:tcPr>
          <w:p w14:paraId="1D562201">
            <w:pPr>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类别</w:t>
            </w:r>
          </w:p>
        </w:tc>
        <w:tc>
          <w:tcPr>
            <w:tcW w:w="4356" w:type="dxa"/>
            <w:gridSpan w:val="3"/>
            <w:vAlign w:val="center"/>
          </w:tcPr>
          <w:p w14:paraId="3370DAE3">
            <w:pPr>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考核内容</w:t>
            </w:r>
          </w:p>
        </w:tc>
        <w:tc>
          <w:tcPr>
            <w:tcW w:w="1359" w:type="dxa"/>
            <w:vAlign w:val="center"/>
          </w:tcPr>
          <w:p w14:paraId="16B9D42C">
            <w:pPr>
              <w:widowControl/>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得分</w:t>
            </w:r>
          </w:p>
        </w:tc>
        <w:tc>
          <w:tcPr>
            <w:tcW w:w="2094" w:type="dxa"/>
            <w:vAlign w:val="center"/>
          </w:tcPr>
          <w:p w14:paraId="58990207">
            <w:pPr>
              <w:widowControl/>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扣分情况说明</w:t>
            </w:r>
          </w:p>
        </w:tc>
      </w:tr>
      <w:tr w14:paraId="019C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5" w:type="dxa"/>
            <w:vMerge w:val="restart"/>
            <w:vAlign w:val="center"/>
          </w:tcPr>
          <w:p w14:paraId="133428C2">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提</w:t>
            </w:r>
          </w:p>
          <w:p w14:paraId="2AACC748">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供</w:t>
            </w:r>
          </w:p>
          <w:p w14:paraId="126C0E63">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专</w:t>
            </w:r>
          </w:p>
          <w:p w14:paraId="221D3CE5">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项</w:t>
            </w:r>
          </w:p>
          <w:p w14:paraId="51628EC2">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法</w:t>
            </w:r>
          </w:p>
          <w:p w14:paraId="4DB4ED12">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律</w:t>
            </w:r>
          </w:p>
          <w:p w14:paraId="22D30CE3">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服</w:t>
            </w:r>
          </w:p>
          <w:p w14:paraId="6B0ED60E">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务</w:t>
            </w:r>
          </w:p>
          <w:p w14:paraId="56423ECD">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w:t>
            </w:r>
          </w:p>
          <w:p w14:paraId="0B3347FF">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诉</w:t>
            </w:r>
          </w:p>
          <w:p w14:paraId="11D74B5C">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讼</w:t>
            </w:r>
          </w:p>
          <w:p w14:paraId="0B4001E7">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代</w:t>
            </w:r>
          </w:p>
          <w:p w14:paraId="05A5180C">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理</w:t>
            </w:r>
          </w:p>
          <w:p w14:paraId="7A7BC501">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服</w:t>
            </w:r>
          </w:p>
          <w:p w14:paraId="54D0ADF9">
            <w:pPr>
              <w:spacing w:line="400" w:lineRule="exact"/>
              <w:jc w:val="center"/>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lang w:val="en-US" w:eastAsia="zh-CN"/>
              </w:rPr>
              <w:t>务</w:t>
            </w:r>
          </w:p>
        </w:tc>
        <w:tc>
          <w:tcPr>
            <w:tcW w:w="4356" w:type="dxa"/>
            <w:gridSpan w:val="3"/>
          </w:tcPr>
          <w:p w14:paraId="027ED9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就提供服务的</w:t>
            </w:r>
            <w:r>
              <w:rPr>
                <w:rFonts w:hint="eastAsia" w:ascii="Times New Roman" w:hAnsi="Times New Roman" w:eastAsia="仿宋_GB2312" w:cs="仿宋_GB2312"/>
                <w:b w:val="0"/>
                <w:bCs w:val="0"/>
                <w:sz w:val="24"/>
                <w:szCs w:val="24"/>
              </w:rPr>
              <w:t>范围、内容、费用等进行充分沟通</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rPr>
              <w:t>签订正式服务协议，明确告知收费标准</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及时开</w:t>
            </w:r>
            <w:r>
              <w:rPr>
                <w:rFonts w:hint="eastAsia" w:ascii="Times New Roman" w:hAnsi="Times New Roman" w:eastAsia="仿宋_GB2312" w:cs="仿宋_GB2312"/>
                <w:b w:val="0"/>
                <w:bCs w:val="0"/>
                <w:sz w:val="24"/>
                <w:szCs w:val="24"/>
              </w:rPr>
              <w:t>具</w:t>
            </w:r>
            <w:r>
              <w:rPr>
                <w:rFonts w:hint="eastAsia" w:ascii="Times New Roman" w:hAnsi="Times New Roman" w:eastAsia="仿宋_GB2312" w:cs="仿宋_GB2312"/>
                <w:b w:val="0"/>
                <w:bCs w:val="0"/>
                <w:sz w:val="24"/>
                <w:szCs w:val="24"/>
                <w:lang w:val="en-US" w:eastAsia="zh-CN"/>
              </w:rPr>
              <w:t>合法、有效的税务发票</w:t>
            </w:r>
            <w:r>
              <w:rPr>
                <w:rFonts w:hint="eastAsia" w:ascii="Times New Roman" w:hAnsi="Times New Roman" w:eastAsia="仿宋_GB2312" w:cs="仿宋_GB2312"/>
                <w:b w:val="0"/>
                <w:bCs w:val="0"/>
                <w:sz w:val="24"/>
                <w:szCs w:val="24"/>
              </w:rPr>
              <w:t>（1</w:t>
            </w:r>
            <w:r>
              <w:rPr>
                <w:rFonts w:hint="eastAsia" w:ascii="Times New Roman" w:hAnsi="Times New Roman" w:eastAsia="仿宋_GB2312" w:cs="仿宋_GB2312"/>
                <w:b w:val="0"/>
                <w:bCs w:val="0"/>
                <w:sz w:val="24"/>
                <w:szCs w:val="24"/>
                <w:lang w:val="en-US" w:eastAsia="zh-CN"/>
              </w:rPr>
              <w:t>0</w:t>
            </w:r>
            <w:r>
              <w:rPr>
                <w:rFonts w:hint="eastAsia" w:ascii="Times New Roman" w:hAnsi="Times New Roman" w:eastAsia="仿宋_GB2312" w:cs="仿宋_GB2312"/>
                <w:b w:val="0"/>
                <w:bCs w:val="0"/>
                <w:sz w:val="24"/>
                <w:szCs w:val="24"/>
              </w:rPr>
              <w:t>分）</w:t>
            </w:r>
          </w:p>
        </w:tc>
        <w:tc>
          <w:tcPr>
            <w:tcW w:w="1359" w:type="dxa"/>
          </w:tcPr>
          <w:p w14:paraId="24AD6700">
            <w:pPr>
              <w:rPr>
                <w:rFonts w:hint="eastAsia" w:ascii="Times New Roman" w:hAnsi="Times New Roman" w:eastAsia="仿宋_GB2312" w:cs="仿宋_GB2312"/>
                <w:b w:val="0"/>
                <w:bCs w:val="0"/>
                <w:sz w:val="28"/>
                <w:szCs w:val="28"/>
              </w:rPr>
            </w:pPr>
          </w:p>
        </w:tc>
        <w:tc>
          <w:tcPr>
            <w:tcW w:w="2094" w:type="dxa"/>
          </w:tcPr>
          <w:p w14:paraId="637FEE3E">
            <w:pPr>
              <w:rPr>
                <w:rFonts w:hint="eastAsia" w:ascii="Times New Roman" w:hAnsi="Times New Roman" w:eastAsia="仿宋_GB2312" w:cs="仿宋_GB2312"/>
                <w:b w:val="0"/>
                <w:bCs w:val="0"/>
                <w:sz w:val="28"/>
                <w:szCs w:val="28"/>
              </w:rPr>
            </w:pPr>
          </w:p>
        </w:tc>
      </w:tr>
      <w:tr w14:paraId="2A90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545" w:type="dxa"/>
            <w:vMerge w:val="continue"/>
            <w:vAlign w:val="center"/>
          </w:tcPr>
          <w:p w14:paraId="5BC5CF36">
            <w:pPr>
              <w:jc w:val="center"/>
              <w:rPr>
                <w:rFonts w:hint="eastAsia" w:ascii="Times New Roman" w:hAnsi="Times New Roman" w:eastAsia="仿宋_GB2312" w:cs="仿宋_GB2312"/>
                <w:b w:val="0"/>
                <w:bCs w:val="0"/>
                <w:sz w:val="28"/>
                <w:szCs w:val="28"/>
              </w:rPr>
            </w:pPr>
          </w:p>
        </w:tc>
        <w:tc>
          <w:tcPr>
            <w:tcW w:w="4356" w:type="dxa"/>
            <w:gridSpan w:val="3"/>
          </w:tcPr>
          <w:p w14:paraId="4FF97C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任期内勤勉尽职，积极主动，及时汇报</w:t>
            </w:r>
          </w:p>
          <w:p w14:paraId="121972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委托事项办理进展情况，响应及时，不存在推诿问题（15分）</w:t>
            </w:r>
          </w:p>
        </w:tc>
        <w:tc>
          <w:tcPr>
            <w:tcW w:w="1359" w:type="dxa"/>
          </w:tcPr>
          <w:p w14:paraId="4834F764">
            <w:pPr>
              <w:rPr>
                <w:rFonts w:hint="eastAsia" w:ascii="Times New Roman" w:hAnsi="Times New Roman" w:eastAsia="仿宋_GB2312" w:cs="仿宋_GB2312"/>
                <w:b w:val="0"/>
                <w:bCs w:val="0"/>
                <w:sz w:val="28"/>
                <w:szCs w:val="28"/>
              </w:rPr>
            </w:pPr>
          </w:p>
        </w:tc>
        <w:tc>
          <w:tcPr>
            <w:tcW w:w="2094" w:type="dxa"/>
          </w:tcPr>
          <w:p w14:paraId="56205130">
            <w:pPr>
              <w:rPr>
                <w:rFonts w:hint="eastAsia" w:ascii="Times New Roman" w:hAnsi="Times New Roman" w:eastAsia="仿宋_GB2312" w:cs="仿宋_GB2312"/>
                <w:b w:val="0"/>
                <w:bCs w:val="0"/>
                <w:sz w:val="28"/>
                <w:szCs w:val="28"/>
              </w:rPr>
            </w:pPr>
          </w:p>
        </w:tc>
      </w:tr>
      <w:tr w14:paraId="0327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1545" w:type="dxa"/>
            <w:vMerge w:val="continue"/>
            <w:vAlign w:val="center"/>
          </w:tcPr>
          <w:p w14:paraId="141006A4">
            <w:pPr>
              <w:jc w:val="center"/>
              <w:rPr>
                <w:rFonts w:hint="eastAsia" w:ascii="Times New Roman" w:hAnsi="Times New Roman" w:eastAsia="仿宋_GB2312" w:cs="仿宋_GB2312"/>
                <w:b w:val="0"/>
                <w:bCs w:val="0"/>
                <w:sz w:val="28"/>
                <w:szCs w:val="28"/>
              </w:rPr>
            </w:pPr>
          </w:p>
        </w:tc>
        <w:tc>
          <w:tcPr>
            <w:tcW w:w="4356" w:type="dxa"/>
            <w:gridSpan w:val="3"/>
          </w:tcPr>
          <w:p w14:paraId="3FFE7BD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接受委托后，按协议约定提供专项法律服务/诉讼代理服务，确保高质，包括及时调查取证、收集、申请保全证据材料；按时参与诉讼、申请执行，庭审表现准备充分、辩论专业、遵守法庭纪律；按时完成法律文书起草、交付专项法律服务报告及提交庭审报告和结案报告等工作，且交付法律文书表述精准、论据充分、格式规范（50分）</w:t>
            </w:r>
          </w:p>
        </w:tc>
        <w:tc>
          <w:tcPr>
            <w:tcW w:w="1359" w:type="dxa"/>
          </w:tcPr>
          <w:p w14:paraId="399B2329">
            <w:pPr>
              <w:rPr>
                <w:rFonts w:hint="eastAsia" w:ascii="Times New Roman" w:hAnsi="Times New Roman" w:eastAsia="仿宋_GB2312" w:cs="仿宋_GB2312"/>
                <w:b w:val="0"/>
                <w:bCs w:val="0"/>
                <w:sz w:val="28"/>
                <w:szCs w:val="28"/>
              </w:rPr>
            </w:pPr>
          </w:p>
        </w:tc>
        <w:tc>
          <w:tcPr>
            <w:tcW w:w="2094" w:type="dxa"/>
          </w:tcPr>
          <w:p w14:paraId="1F3C894D">
            <w:pPr>
              <w:rPr>
                <w:rFonts w:hint="eastAsia" w:ascii="Times New Roman" w:hAnsi="Times New Roman" w:eastAsia="仿宋_GB2312" w:cs="仿宋_GB2312"/>
                <w:b w:val="0"/>
                <w:bCs w:val="0"/>
                <w:sz w:val="28"/>
                <w:szCs w:val="28"/>
              </w:rPr>
            </w:pPr>
          </w:p>
        </w:tc>
      </w:tr>
      <w:tr w14:paraId="2812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45" w:type="dxa"/>
            <w:vMerge w:val="continue"/>
            <w:vAlign w:val="center"/>
          </w:tcPr>
          <w:p w14:paraId="3BE78263">
            <w:pPr>
              <w:jc w:val="center"/>
              <w:rPr>
                <w:rFonts w:hint="eastAsia" w:ascii="Times New Roman" w:hAnsi="Times New Roman" w:eastAsia="仿宋_GB2312" w:cs="仿宋_GB2312"/>
                <w:b w:val="0"/>
                <w:bCs w:val="0"/>
                <w:sz w:val="28"/>
                <w:szCs w:val="28"/>
              </w:rPr>
            </w:pPr>
          </w:p>
        </w:tc>
        <w:tc>
          <w:tcPr>
            <w:tcW w:w="4356" w:type="dxa"/>
            <w:gridSpan w:val="3"/>
          </w:tcPr>
          <w:p w14:paraId="36C573C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服务成果有效解决委托事项核心问题（25分）</w:t>
            </w:r>
          </w:p>
        </w:tc>
        <w:tc>
          <w:tcPr>
            <w:tcW w:w="1359" w:type="dxa"/>
          </w:tcPr>
          <w:p w14:paraId="3511ADA1">
            <w:pPr>
              <w:rPr>
                <w:rFonts w:hint="eastAsia" w:ascii="Times New Roman" w:hAnsi="Times New Roman" w:eastAsia="仿宋_GB2312" w:cs="仿宋_GB2312"/>
                <w:b w:val="0"/>
                <w:bCs w:val="0"/>
                <w:sz w:val="28"/>
                <w:szCs w:val="28"/>
              </w:rPr>
            </w:pPr>
          </w:p>
        </w:tc>
        <w:tc>
          <w:tcPr>
            <w:tcW w:w="2094" w:type="dxa"/>
          </w:tcPr>
          <w:p w14:paraId="12527B5D">
            <w:pPr>
              <w:rPr>
                <w:rFonts w:hint="eastAsia" w:ascii="Times New Roman" w:hAnsi="Times New Roman" w:eastAsia="仿宋_GB2312" w:cs="仿宋_GB2312"/>
                <w:b w:val="0"/>
                <w:bCs w:val="0"/>
                <w:sz w:val="28"/>
                <w:szCs w:val="28"/>
              </w:rPr>
            </w:pPr>
          </w:p>
        </w:tc>
      </w:tr>
      <w:tr w14:paraId="5BDE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545" w:type="dxa"/>
            <w:vMerge w:val="continue"/>
            <w:vAlign w:val="center"/>
          </w:tcPr>
          <w:p w14:paraId="323438A5">
            <w:pPr>
              <w:jc w:val="center"/>
              <w:rPr>
                <w:rFonts w:hint="eastAsia" w:ascii="Times New Roman" w:hAnsi="Times New Roman" w:eastAsia="仿宋_GB2312" w:cs="仿宋_GB2312"/>
                <w:b w:val="0"/>
                <w:bCs w:val="0"/>
                <w:sz w:val="28"/>
                <w:szCs w:val="28"/>
              </w:rPr>
            </w:pPr>
          </w:p>
        </w:tc>
        <w:tc>
          <w:tcPr>
            <w:tcW w:w="4356" w:type="dxa"/>
            <w:gridSpan w:val="3"/>
          </w:tcPr>
          <w:p w14:paraId="4A92AC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b w:val="0"/>
                <w:bCs w:val="0"/>
                <w:sz w:val="28"/>
                <w:szCs w:val="28"/>
                <w:lang w:eastAsia="zh-CN"/>
              </w:rPr>
            </w:pPr>
            <w:r>
              <w:rPr>
                <w:rFonts w:hint="eastAsia" w:ascii="Times New Roman" w:hAnsi="Times New Roman" w:eastAsia="仿宋_GB2312" w:cs="仿宋_GB2312"/>
                <w:b w:val="0"/>
                <w:bCs w:val="0"/>
                <w:sz w:val="24"/>
                <w:szCs w:val="24"/>
              </w:rPr>
              <w:t>合</w:t>
            </w:r>
            <w:r>
              <w:rPr>
                <w:rFonts w:hint="eastAsia" w:ascii="Times New Roman" w:hAnsi="Times New Roman" w:eastAsia="仿宋_GB2312" w:cs="仿宋_GB2312"/>
                <w:b w:val="0"/>
                <w:bCs w:val="0"/>
                <w:sz w:val="24"/>
                <w:szCs w:val="24"/>
                <w:lang w:val="en-US" w:eastAsia="zh-CN"/>
              </w:rPr>
              <w:t>计（总分</w:t>
            </w:r>
            <w:r>
              <w:rPr>
                <w:rFonts w:hint="eastAsia" w:ascii="Times New Roman" w:hAnsi="Times New Roman" w:eastAsia="仿宋_GB2312" w:cs="仿宋_GB2312"/>
                <w:b w:val="0"/>
                <w:bCs w:val="0"/>
                <w:sz w:val="24"/>
                <w:szCs w:val="24"/>
              </w:rPr>
              <w:t>100分</w:t>
            </w:r>
            <w:r>
              <w:rPr>
                <w:rFonts w:hint="eastAsia" w:ascii="Times New Roman" w:hAnsi="Times New Roman" w:eastAsia="仿宋_GB2312" w:cs="仿宋_GB2312"/>
                <w:b w:val="0"/>
                <w:bCs w:val="0"/>
                <w:sz w:val="24"/>
                <w:szCs w:val="24"/>
                <w:lang w:eastAsia="zh-CN"/>
              </w:rPr>
              <w:t>）</w:t>
            </w:r>
          </w:p>
        </w:tc>
        <w:tc>
          <w:tcPr>
            <w:tcW w:w="3453" w:type="dxa"/>
            <w:gridSpan w:val="2"/>
          </w:tcPr>
          <w:p w14:paraId="4F13938E">
            <w:pPr>
              <w:rPr>
                <w:rFonts w:hint="eastAsia" w:ascii="Times New Roman" w:hAnsi="Times New Roman" w:eastAsia="仿宋_GB2312" w:cs="仿宋_GB2312"/>
                <w:b w:val="0"/>
                <w:bCs w:val="0"/>
                <w:sz w:val="28"/>
                <w:szCs w:val="28"/>
              </w:rPr>
            </w:pPr>
          </w:p>
        </w:tc>
      </w:tr>
      <w:tr w14:paraId="17C8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4" w:hRule="exact"/>
        </w:trPr>
        <w:tc>
          <w:tcPr>
            <w:tcW w:w="1545" w:type="dxa"/>
            <w:vAlign w:val="center"/>
          </w:tcPr>
          <w:p w14:paraId="0FF8E10C">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对外聘律师</w:t>
            </w:r>
            <w:r>
              <w:rPr>
                <w:rFonts w:hint="eastAsia" w:ascii="Times New Roman" w:hAnsi="Times New Roman" w:eastAsia="仿宋_GB2312" w:cs="仿宋_GB2312"/>
                <w:b/>
                <w:bCs/>
                <w:sz w:val="28"/>
                <w:szCs w:val="28"/>
                <w:lang w:val="en-US" w:eastAsia="zh-CN"/>
              </w:rPr>
              <w:t>事务所</w:t>
            </w:r>
            <w:r>
              <w:rPr>
                <w:rFonts w:hint="eastAsia" w:ascii="Times New Roman" w:hAnsi="Times New Roman" w:eastAsia="仿宋_GB2312" w:cs="仿宋_GB2312"/>
                <w:b/>
                <w:bCs/>
                <w:sz w:val="28"/>
                <w:szCs w:val="28"/>
              </w:rPr>
              <w:t>服务评价小结</w:t>
            </w:r>
          </w:p>
          <w:p w14:paraId="1B28E5AB">
            <w:pPr>
              <w:jc w:val="both"/>
              <w:rPr>
                <w:rFonts w:hint="eastAsia" w:ascii="Times New Roman" w:hAnsi="Times New Roman" w:eastAsia="仿宋_GB2312" w:cs="仿宋_GB2312"/>
                <w:b w:val="0"/>
                <w:bCs w:val="0"/>
                <w:sz w:val="28"/>
                <w:szCs w:val="28"/>
              </w:rPr>
            </w:pPr>
          </w:p>
        </w:tc>
        <w:tc>
          <w:tcPr>
            <w:tcW w:w="7809" w:type="dxa"/>
            <w:gridSpan w:val="5"/>
          </w:tcPr>
          <w:p w14:paraId="7C6087D1">
            <w:pPr>
              <w:pStyle w:val="3"/>
              <w:rPr>
                <w:rFonts w:hint="eastAsia" w:ascii="Times New Roman" w:hAnsi="Times New Roman" w:eastAsia="仿宋_GB2312" w:cs="仿宋_GB2312"/>
                <w:b w:val="0"/>
                <w:bCs w:val="0"/>
                <w:sz w:val="28"/>
                <w:szCs w:val="28"/>
              </w:rPr>
            </w:pPr>
          </w:p>
          <w:p w14:paraId="41F29773">
            <w:pPr>
              <w:pStyle w:val="3"/>
              <w:rPr>
                <w:rFonts w:hint="eastAsia" w:ascii="Times New Roman" w:hAnsi="Times New Roman" w:eastAsia="仿宋_GB2312" w:cs="仿宋_GB2312"/>
                <w:b w:val="0"/>
                <w:bCs w:val="0"/>
                <w:sz w:val="28"/>
                <w:szCs w:val="28"/>
              </w:rPr>
            </w:pPr>
          </w:p>
          <w:p w14:paraId="7B77C108">
            <w:pPr>
              <w:pStyle w:val="3"/>
              <w:rPr>
                <w:rFonts w:hint="eastAsia" w:ascii="Times New Roman" w:hAnsi="Times New Roman" w:eastAsia="仿宋_GB2312" w:cs="仿宋_GB2312"/>
                <w:b w:val="0"/>
                <w:bCs w:val="0"/>
                <w:sz w:val="28"/>
                <w:szCs w:val="28"/>
              </w:rPr>
            </w:pPr>
          </w:p>
          <w:p w14:paraId="3E663671">
            <w:pPr>
              <w:pStyle w:val="3"/>
              <w:rPr>
                <w:rFonts w:hint="eastAsia" w:ascii="Times New Roman" w:hAnsi="Times New Roman" w:eastAsia="仿宋_GB2312" w:cs="仿宋_GB2312"/>
                <w:b w:val="0"/>
                <w:bCs w:val="0"/>
                <w:sz w:val="28"/>
                <w:szCs w:val="28"/>
              </w:rPr>
            </w:pPr>
          </w:p>
          <w:p w14:paraId="57DF9823">
            <w:pPr>
              <w:pStyle w:val="3"/>
              <w:rPr>
                <w:rFonts w:hint="eastAsia" w:ascii="Times New Roman" w:hAnsi="Times New Roman" w:eastAsia="仿宋_GB2312" w:cs="仿宋_GB2312"/>
                <w:b w:val="0"/>
                <w:bCs w:val="0"/>
                <w:sz w:val="28"/>
                <w:szCs w:val="28"/>
              </w:rPr>
            </w:pPr>
          </w:p>
          <w:p w14:paraId="56F986AF">
            <w:pPr>
              <w:pStyle w:val="3"/>
              <w:rPr>
                <w:rFonts w:hint="eastAsia" w:ascii="Times New Roman" w:hAnsi="Times New Roman" w:eastAsia="仿宋_GB2312" w:cs="仿宋_GB2312"/>
                <w:b w:val="0"/>
                <w:bCs w:val="0"/>
                <w:sz w:val="28"/>
                <w:szCs w:val="28"/>
              </w:rPr>
            </w:pPr>
          </w:p>
          <w:p w14:paraId="01296145">
            <w:pPr>
              <w:pStyle w:val="3"/>
              <w:rPr>
                <w:rFonts w:hint="eastAsia" w:ascii="Times New Roman" w:hAnsi="Times New Roman" w:eastAsia="仿宋_GB2312" w:cs="仿宋_GB2312"/>
                <w:b w:val="0"/>
                <w:bCs w:val="0"/>
                <w:sz w:val="28"/>
                <w:szCs w:val="28"/>
              </w:rPr>
            </w:pPr>
          </w:p>
          <w:p w14:paraId="7EFEDD14">
            <w:pPr>
              <w:pStyle w:val="3"/>
              <w:rPr>
                <w:rFonts w:hint="eastAsia" w:ascii="Times New Roman" w:hAnsi="Times New Roman" w:eastAsia="仿宋_GB2312" w:cs="仿宋_GB2312"/>
                <w:b w:val="0"/>
                <w:bCs w:val="0"/>
                <w:sz w:val="28"/>
                <w:szCs w:val="28"/>
              </w:rPr>
            </w:pPr>
          </w:p>
          <w:p w14:paraId="26011089">
            <w:pPr>
              <w:pStyle w:val="3"/>
              <w:rPr>
                <w:rFonts w:hint="eastAsia" w:ascii="Times New Roman" w:hAnsi="Times New Roman" w:eastAsia="仿宋_GB2312" w:cs="仿宋_GB2312"/>
                <w:b w:val="0"/>
                <w:bCs w:val="0"/>
                <w:sz w:val="28"/>
                <w:szCs w:val="28"/>
              </w:rPr>
            </w:pPr>
          </w:p>
          <w:p w14:paraId="57F86F74">
            <w:pPr>
              <w:pStyle w:val="3"/>
              <w:rPr>
                <w:rFonts w:hint="eastAsia" w:ascii="Times New Roman" w:hAnsi="Times New Roman" w:eastAsia="仿宋_GB2312" w:cs="仿宋_GB2312"/>
                <w:b w:val="0"/>
                <w:bCs w:val="0"/>
                <w:sz w:val="28"/>
                <w:szCs w:val="28"/>
              </w:rPr>
            </w:pPr>
          </w:p>
          <w:p w14:paraId="18B3D6AC">
            <w:pPr>
              <w:pStyle w:val="3"/>
              <w:rPr>
                <w:rFonts w:hint="eastAsia" w:ascii="Times New Roman" w:hAnsi="Times New Roman" w:eastAsia="仿宋_GB2312" w:cs="仿宋_GB2312"/>
                <w:b w:val="0"/>
                <w:bCs w:val="0"/>
                <w:sz w:val="28"/>
                <w:szCs w:val="28"/>
              </w:rPr>
            </w:pPr>
          </w:p>
          <w:p w14:paraId="0B89D5A9">
            <w:pPr>
              <w:pStyle w:val="3"/>
              <w:rPr>
                <w:rFonts w:hint="eastAsia" w:ascii="Times New Roman" w:hAnsi="Times New Roman" w:eastAsia="仿宋_GB2312" w:cs="仿宋_GB2312"/>
                <w:b w:val="0"/>
                <w:bCs w:val="0"/>
                <w:sz w:val="28"/>
                <w:szCs w:val="28"/>
              </w:rPr>
            </w:pPr>
          </w:p>
          <w:p w14:paraId="01B42DE6">
            <w:pPr>
              <w:pStyle w:val="3"/>
              <w:rPr>
                <w:rFonts w:hint="eastAsia" w:ascii="Times New Roman" w:hAnsi="Times New Roman" w:eastAsia="仿宋_GB2312" w:cs="仿宋_GB2312"/>
                <w:b w:val="0"/>
                <w:bCs w:val="0"/>
                <w:sz w:val="28"/>
                <w:szCs w:val="28"/>
              </w:rPr>
            </w:pPr>
          </w:p>
          <w:p w14:paraId="0C8D86A2">
            <w:pPr>
              <w:pStyle w:val="3"/>
              <w:rPr>
                <w:rFonts w:hint="eastAsia" w:ascii="Times New Roman" w:hAnsi="Times New Roman" w:eastAsia="仿宋_GB2312" w:cs="仿宋_GB2312"/>
                <w:b w:val="0"/>
                <w:bCs w:val="0"/>
                <w:sz w:val="28"/>
                <w:szCs w:val="28"/>
              </w:rPr>
            </w:pPr>
          </w:p>
          <w:p w14:paraId="4429387B">
            <w:pPr>
              <w:pStyle w:val="3"/>
              <w:rPr>
                <w:rFonts w:hint="eastAsia" w:ascii="Times New Roman" w:hAnsi="Times New Roman" w:eastAsia="仿宋_GB2312" w:cs="仿宋_GB2312"/>
                <w:b w:val="0"/>
                <w:bCs w:val="0"/>
                <w:sz w:val="28"/>
                <w:szCs w:val="28"/>
              </w:rPr>
            </w:pPr>
          </w:p>
        </w:tc>
      </w:tr>
      <w:tr w14:paraId="2EA2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354" w:type="dxa"/>
            <w:gridSpan w:val="6"/>
            <w:vAlign w:val="center"/>
          </w:tcPr>
          <w:p w14:paraId="265C502A">
            <w:pPr>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考核</w:t>
            </w:r>
            <w:r>
              <w:rPr>
                <w:rFonts w:hint="eastAsia" w:ascii="Times New Roman" w:hAnsi="Times New Roman" w:eastAsia="仿宋_GB2312" w:cs="仿宋_GB2312"/>
                <w:b w:val="0"/>
                <w:bCs w:val="0"/>
                <w:sz w:val="28"/>
                <w:szCs w:val="28"/>
              </w:rPr>
              <w:t xml:space="preserve">部门：           </w:t>
            </w:r>
            <w:r>
              <w:rPr>
                <w:rFonts w:hint="eastAsia" w:ascii="Times New Roman" w:hAnsi="Times New Roman" w:eastAsia="仿宋_GB2312" w:cs="仿宋_GB2312"/>
                <w:b w:val="0"/>
                <w:bCs w:val="0"/>
                <w:sz w:val="28"/>
                <w:szCs w:val="28"/>
                <w:lang w:val="en-US" w:eastAsia="zh-CN"/>
              </w:rPr>
              <w:t xml:space="preserve">  考核</w:t>
            </w:r>
            <w:r>
              <w:rPr>
                <w:rFonts w:hint="eastAsia" w:ascii="Times New Roman" w:hAnsi="Times New Roman" w:eastAsia="仿宋_GB2312" w:cs="仿宋_GB2312"/>
                <w:b w:val="0"/>
                <w:bCs w:val="0"/>
                <w:sz w:val="28"/>
                <w:szCs w:val="28"/>
              </w:rPr>
              <w:t>人：</w:t>
            </w:r>
            <w:r>
              <w:rPr>
                <w:rFonts w:hint="eastAsia" w:ascii="Times New Roman" w:hAnsi="Times New Roman" w:eastAsia="仿宋_GB2312" w:cs="仿宋_GB2312"/>
                <w:b w:val="0"/>
                <w:bCs w:val="0"/>
                <w:sz w:val="28"/>
                <w:szCs w:val="28"/>
                <w:lang w:val="en-US" w:eastAsia="zh-CN"/>
              </w:rPr>
              <w:t xml:space="preserve">           </w:t>
            </w:r>
            <w:r>
              <w:rPr>
                <w:rFonts w:hint="eastAsia" w:ascii="仿宋_GB2312" w:hAnsi="仿宋_GB2312" w:eastAsia="仿宋_GB2312" w:cs="仿宋_GB2312"/>
                <w:sz w:val="28"/>
                <w:szCs w:val="28"/>
              </w:rPr>
              <w:t>考核时间：</w:t>
            </w:r>
            <w:r>
              <w:rPr>
                <w:rFonts w:hint="eastAsia" w:ascii="仿宋_GB2312" w:hAnsi="仿宋_GB2312" w:eastAsia="仿宋_GB2312" w:cs="仿宋_GB2312"/>
                <w:sz w:val="28"/>
                <w:szCs w:val="28"/>
                <w:lang w:val="en-US" w:eastAsia="zh-CN"/>
              </w:rPr>
              <w:t xml:space="preserve">     年   月  日</w:t>
            </w:r>
          </w:p>
        </w:tc>
      </w:tr>
    </w:tbl>
    <w:p w14:paraId="53BD5807">
      <w:pPr>
        <w:adjustRightInd w:val="0"/>
        <w:snapToGrid w:val="0"/>
        <w:spacing w:afterLines="0" w:line="480" w:lineRule="exact"/>
      </w:pPr>
    </w:p>
    <w:p w14:paraId="70E51052">
      <w:pPr>
        <w:pStyle w:val="4"/>
        <w:numPr>
          <w:ilvl w:val="12"/>
          <w:numId w:val="0"/>
        </w:numPr>
        <w:snapToGrid w:val="0"/>
        <w:spacing w:before="0" w:after="0"/>
        <w:ind w:left="0" w:leftChars="0" w:firstLine="0" w:firstLineChars="0"/>
        <w:jc w:val="center"/>
        <w:rPr>
          <w:rFonts w:hAnsi="宋体"/>
          <w:b/>
          <w:bCs/>
          <w:color w:val="auto"/>
          <w:szCs w:val="32"/>
          <w:highlight w:val="none"/>
        </w:rPr>
      </w:pPr>
      <w:bookmarkStart w:id="12" w:name="a12ff54d8b30f11f09cebfb70091900a4"/>
      <w:r>
        <w:rPr>
          <w:rFonts w:hint="default" w:hAnsi="宋体" w:cs="Times New Roman"/>
          <w:b/>
          <w:color w:val="auto"/>
          <w:sz w:val="32"/>
          <w:szCs w:val="32"/>
          <w:highlight w:val="none"/>
          <w:lang w:val="en-US" w:eastAsia="zh-CN"/>
        </w:rPr>
        <w:t xml:space="preserve">第三章  </w:t>
      </w:r>
      <w:bookmarkStart w:id="13" w:name="_Toc32395"/>
      <w:r>
        <w:rPr>
          <w:rFonts w:hint="default" w:hAnsi="宋体"/>
          <w:b/>
          <w:bCs/>
          <w:color w:val="auto"/>
          <w:szCs w:val="32"/>
          <w:highlight w:val="none"/>
          <w:lang w:val="en-US" w:eastAsia="zh-CN"/>
        </w:rPr>
        <w:t>合同条款</w:t>
      </w:r>
      <w:bookmarkEnd w:id="12"/>
      <w:bookmarkEnd w:id="13"/>
    </w:p>
    <w:p w14:paraId="61BAF37A">
      <w:pPr>
        <w:widowControl w:val="0"/>
        <w:autoSpaceDE/>
        <w:autoSpaceDN/>
        <w:adjustRightInd w:val="0"/>
        <w:snapToGrid w:val="0"/>
        <w:spacing w:after="0" w:line="500" w:lineRule="exact"/>
        <w:ind w:right="960"/>
        <w:jc w:val="right"/>
        <w:rPr>
          <w:rFonts w:ascii="Arial" w:hAnsi="Arial" w:eastAsia="MS Mincho" w:cs="Times New Roman"/>
          <w:b/>
          <w:bCs/>
          <w:color w:val="auto"/>
          <w:kern w:val="0"/>
          <w:sz w:val="24"/>
          <w:szCs w:val="24"/>
          <w:u w:val="single"/>
          <w:lang w:eastAsia="zh-CN"/>
        </w:rPr>
      </w:pPr>
      <w:r>
        <w:rPr>
          <w:rFonts w:hint="eastAsia"/>
          <w:bCs/>
          <w:color w:val="auto"/>
        </w:rPr>
        <w:t xml:space="preserve">                                </w:t>
      </w:r>
      <w:r>
        <w:rPr>
          <w:rFonts w:hint="eastAsia" w:ascii="宋体" w:hAnsi="宋体" w:eastAsia="宋体" w:cs="宋体"/>
          <w:bCs/>
          <w:color w:val="auto"/>
          <w:kern w:val="0"/>
          <w:sz w:val="24"/>
          <w:szCs w:val="24"/>
          <w:lang w:eastAsia="zh-CN"/>
        </w:rPr>
        <w:t>合同编号:</w:t>
      </w:r>
    </w:p>
    <w:p w14:paraId="0B5A39ED">
      <w:pPr>
        <w:widowControl w:val="0"/>
        <w:autoSpaceDE/>
        <w:autoSpaceDN/>
        <w:adjustRightInd w:val="0"/>
        <w:snapToGrid w:val="0"/>
        <w:spacing w:after="0" w:line="500" w:lineRule="exact"/>
        <w:jc w:val="both"/>
        <w:rPr>
          <w:rFonts w:ascii="Arial" w:hAnsi="Arial" w:eastAsia="MS Mincho" w:cs="Times New Roman"/>
          <w:b/>
          <w:bCs/>
          <w:color w:val="auto"/>
          <w:kern w:val="0"/>
          <w:sz w:val="44"/>
          <w:szCs w:val="44"/>
          <w:u w:val="single"/>
          <w:lang w:eastAsia="zh-CN"/>
        </w:rPr>
      </w:pPr>
    </w:p>
    <w:p w14:paraId="73FEAF52">
      <w:pPr>
        <w:adjustRightInd w:val="0"/>
        <w:snapToGrid w:val="0"/>
        <w:spacing w:after="120" w:line="500" w:lineRule="exact"/>
        <w:jc w:val="both"/>
        <w:rPr>
          <w:rFonts w:ascii="Arial" w:hAnsi="Arial" w:eastAsia="MS Mincho" w:cs="Times New Roman"/>
          <w:b/>
          <w:bCs/>
          <w:color w:val="auto"/>
          <w:sz w:val="44"/>
          <w:szCs w:val="44"/>
          <w:u w:val="single"/>
          <w:lang w:val="en-US" w:eastAsia="zh-CN" w:bidi="ar-SA"/>
        </w:rPr>
      </w:pPr>
    </w:p>
    <w:p w14:paraId="1948A370">
      <w:pPr>
        <w:widowControl w:val="0"/>
        <w:autoSpaceDE/>
        <w:autoSpaceDN/>
        <w:adjustRightInd w:val="0"/>
        <w:snapToGrid w:val="0"/>
        <w:spacing w:after="0" w:line="500" w:lineRule="exact"/>
        <w:jc w:val="both"/>
        <w:rPr>
          <w:rFonts w:ascii="Arial" w:hAnsi="Arial" w:eastAsia="MS Mincho" w:cs="Times New Roman"/>
          <w:b/>
          <w:bCs/>
          <w:color w:val="auto"/>
          <w:kern w:val="0"/>
          <w:sz w:val="44"/>
          <w:szCs w:val="44"/>
          <w:u w:val="single"/>
          <w:lang w:eastAsia="zh-CN"/>
        </w:rPr>
      </w:pPr>
    </w:p>
    <w:p w14:paraId="68205707">
      <w:pPr>
        <w:widowControl w:val="0"/>
        <w:autoSpaceDE/>
        <w:autoSpaceDN/>
        <w:adjustRightInd w:val="0"/>
        <w:snapToGrid w:val="0"/>
        <w:spacing w:after="0" w:line="500" w:lineRule="exact"/>
        <w:jc w:val="both"/>
        <w:rPr>
          <w:rFonts w:ascii="Arial" w:hAnsi="Arial" w:eastAsia="MS Mincho" w:cs="Times New Roman"/>
          <w:b/>
          <w:bCs/>
          <w:color w:val="auto"/>
          <w:kern w:val="0"/>
          <w:sz w:val="44"/>
          <w:szCs w:val="44"/>
          <w:u w:val="single"/>
          <w:lang w:eastAsia="zh-CN"/>
        </w:rPr>
      </w:pPr>
    </w:p>
    <w:p w14:paraId="3095BBC2">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default" w:ascii="宋体" w:hAnsi="宋体" w:eastAsia="宋体" w:cs="宋体"/>
          <w:b/>
          <w:bCs/>
          <w:color w:val="auto"/>
          <w:kern w:val="0"/>
          <w:sz w:val="44"/>
          <w:szCs w:val="44"/>
          <w:lang w:val="en-US" w:eastAsia="zh-CN"/>
        </w:rPr>
      </w:pPr>
      <w:r>
        <w:rPr>
          <w:rFonts w:hint="eastAsia" w:ascii="宋体" w:hAnsi="宋体" w:eastAsia="宋体" w:cs="宋体"/>
          <w:b/>
          <w:bCs/>
          <w:color w:val="auto"/>
          <w:kern w:val="0"/>
          <w:sz w:val="44"/>
          <w:szCs w:val="44"/>
          <w:lang w:val="en-US" w:eastAsia="zh-CN"/>
        </w:rPr>
        <w:t>东莞市东引运河流域樟村断面综合治理工程（污水管网完善工程第二标段）施工合同纠纷专项法律服务项目合同</w:t>
      </w:r>
    </w:p>
    <w:p w14:paraId="2116AF50">
      <w:pPr>
        <w:widowControl w:val="0"/>
        <w:autoSpaceDE/>
        <w:autoSpaceDN/>
        <w:adjustRightInd w:val="0"/>
        <w:snapToGrid w:val="0"/>
        <w:spacing w:after="0" w:line="560" w:lineRule="exact"/>
        <w:jc w:val="center"/>
        <w:rPr>
          <w:rFonts w:hint="eastAsia" w:ascii="宋体" w:hAnsi="宋体" w:eastAsia="宋体" w:cs="宋体"/>
          <w:b/>
          <w:bCs/>
          <w:color w:val="auto"/>
          <w:kern w:val="0"/>
          <w:sz w:val="44"/>
          <w:szCs w:val="44"/>
          <w:lang w:eastAsia="zh-CN"/>
        </w:rPr>
      </w:pPr>
    </w:p>
    <w:p w14:paraId="13B7CAFA">
      <w:pPr>
        <w:widowControl w:val="0"/>
        <w:autoSpaceDE/>
        <w:autoSpaceDN/>
        <w:adjustRightInd w:val="0"/>
        <w:snapToGrid w:val="0"/>
        <w:spacing w:after="0" w:line="500" w:lineRule="exact"/>
        <w:jc w:val="both"/>
        <w:rPr>
          <w:rFonts w:ascii="Arial" w:hAnsi="Arial" w:eastAsia="MS Mincho" w:cs="Times New Roman"/>
          <w:color w:val="auto"/>
          <w:kern w:val="0"/>
          <w:sz w:val="20"/>
          <w:szCs w:val="20"/>
          <w:lang w:eastAsia="zh-CN"/>
        </w:rPr>
      </w:pPr>
    </w:p>
    <w:p w14:paraId="7DB7A9CD">
      <w:pPr>
        <w:widowControl w:val="0"/>
        <w:autoSpaceDE/>
        <w:autoSpaceDN/>
        <w:adjustRightInd w:val="0"/>
        <w:snapToGrid w:val="0"/>
        <w:spacing w:after="0" w:line="500" w:lineRule="exact"/>
        <w:jc w:val="center"/>
        <w:rPr>
          <w:rFonts w:ascii="Arial" w:hAnsi="Arial" w:eastAsia="MS Mincho" w:cs="Times New Roman"/>
          <w:color w:val="auto"/>
          <w:kern w:val="0"/>
          <w:sz w:val="20"/>
          <w:szCs w:val="20"/>
          <w:lang w:eastAsia="zh-CN"/>
        </w:rPr>
      </w:pPr>
    </w:p>
    <w:p w14:paraId="3D6CF7C3">
      <w:pPr>
        <w:rPr>
          <w:lang w:val="en-US" w:eastAsia="zh-CN"/>
        </w:rPr>
      </w:pPr>
    </w:p>
    <w:p w14:paraId="765E0D22">
      <w:pPr>
        <w:widowControl w:val="0"/>
        <w:autoSpaceDE/>
        <w:autoSpaceDN/>
        <w:adjustRightInd/>
        <w:spacing w:after="0" w:line="240" w:lineRule="auto"/>
        <w:rPr>
          <w:rFonts w:ascii="Arial" w:hAnsi="Arial" w:eastAsia="MS Mincho" w:cs="Times New Roman"/>
          <w:color w:val="auto"/>
          <w:kern w:val="0"/>
          <w:sz w:val="20"/>
          <w:szCs w:val="20"/>
          <w:lang w:eastAsia="zh-CN"/>
        </w:rPr>
      </w:pPr>
    </w:p>
    <w:p w14:paraId="59E1F51F">
      <w:pPr>
        <w:rPr>
          <w:lang w:val="en-US" w:eastAsia="zh-CN"/>
        </w:rPr>
      </w:pPr>
    </w:p>
    <w:p w14:paraId="6FD77790">
      <w:pPr>
        <w:widowControl w:val="0"/>
        <w:autoSpaceDE/>
        <w:autoSpaceDN/>
        <w:adjustRightInd w:val="0"/>
        <w:snapToGrid w:val="0"/>
        <w:spacing w:after="0" w:line="500" w:lineRule="exact"/>
        <w:ind w:firstLine="1400" w:firstLineChars="500"/>
        <w:jc w:val="both"/>
        <w:rPr>
          <w:rFonts w:hint="default" w:ascii="宋体" w:hAnsi="宋体" w:eastAsia="宋体" w:cs="宋体"/>
          <w:color w:val="auto"/>
          <w:kern w:val="0"/>
          <w:sz w:val="28"/>
          <w:szCs w:val="28"/>
          <w:u w:val="single"/>
          <w:lang w:val="en-US" w:eastAsia="zh-CN"/>
        </w:rPr>
      </w:pPr>
      <w:r>
        <w:rPr>
          <w:rFonts w:hint="default" w:ascii="宋体" w:hAnsi="宋体" w:eastAsia="宋体" w:cs="宋体"/>
          <w:color w:val="auto"/>
          <w:kern w:val="0"/>
          <w:sz w:val="28"/>
          <w:szCs w:val="28"/>
          <w:u w:val="none"/>
          <w:lang w:val="en-US" w:eastAsia="zh-CN"/>
        </w:rPr>
        <w:t>甲方：</w:t>
      </w:r>
      <w:r>
        <w:rPr>
          <w:rFonts w:hint="eastAsia" w:hAnsi="宋体" w:cs="宋体"/>
          <w:color w:val="auto"/>
          <w:kern w:val="0"/>
          <w:sz w:val="28"/>
          <w:szCs w:val="28"/>
          <w:u w:val="single"/>
          <w:lang w:val="en-US" w:eastAsia="zh-CN"/>
        </w:rPr>
        <w:t xml:space="preserve">   东莞市莞清水环境投资有限公司  </w:t>
      </w:r>
    </w:p>
    <w:p w14:paraId="224E9AD2">
      <w:pPr>
        <w:adjustRightInd w:val="0"/>
        <w:snapToGrid w:val="0"/>
        <w:spacing w:after="120" w:line="500" w:lineRule="exact"/>
        <w:ind w:firstLine="1680" w:firstLineChars="600"/>
        <w:rPr>
          <w:rFonts w:hint="eastAsia" w:ascii="Arial" w:hAnsi="Arial" w:eastAsia="MS Mincho" w:cs="Times New Roman"/>
          <w:sz w:val="28"/>
          <w:szCs w:val="28"/>
          <w:u w:val="single"/>
          <w:lang w:val="en-US" w:eastAsia="zh-CN" w:bidi="ar-SA"/>
        </w:rPr>
      </w:pPr>
    </w:p>
    <w:p w14:paraId="5D0FAA63">
      <w:pPr>
        <w:pStyle w:val="15"/>
        <w:widowControl/>
        <w:pBdr>
          <w:top w:val="none" w:color="auto" w:sz="0" w:space="0"/>
          <w:left w:val="none" w:color="auto" w:sz="0" w:space="0"/>
          <w:bottom w:val="none" w:color="auto" w:sz="0" w:space="0"/>
          <w:right w:val="none" w:color="auto" w:sz="0" w:space="0"/>
        </w:pBdr>
        <w:shd w:val="clear" w:fill="FFFFFF"/>
        <w:ind w:firstLine="1400" w:firstLineChars="500"/>
        <w:jc w:val="both"/>
        <w:rPr>
          <w:rFonts w:hint="default" w:ascii="宋体" w:hAnsi="宋体" w:eastAsia="宋体" w:cs="宋体"/>
          <w:bCs/>
          <w:color w:val="auto"/>
          <w:kern w:val="0"/>
          <w:sz w:val="28"/>
          <w:szCs w:val="28"/>
          <w:u w:val="single"/>
          <w:lang w:val="en-US" w:eastAsia="zh-CN"/>
        </w:rPr>
      </w:pPr>
      <w:r>
        <w:rPr>
          <w:rFonts w:hint="eastAsia" w:ascii="宋体" w:hAnsi="宋体" w:eastAsia="宋体" w:cs="宋体"/>
          <w:bCs/>
          <w:color w:val="auto"/>
          <w:kern w:val="0"/>
          <w:sz w:val="28"/>
          <w:szCs w:val="28"/>
          <w:lang w:val="en-US" w:eastAsia="zh-CN" w:bidi="ar-SA"/>
        </w:rPr>
        <w:t>乙方</w:t>
      </w:r>
      <w:r>
        <w:rPr>
          <w:rFonts w:hint="eastAsia" w:ascii="宋体" w:hAnsi="宋体" w:eastAsia="宋体" w:cs="宋体"/>
          <w:bCs/>
          <w:color w:val="auto"/>
          <w:kern w:val="0"/>
          <w:sz w:val="28"/>
          <w:szCs w:val="28"/>
          <w:lang w:eastAsia="zh-CN" w:bidi="ar-SA"/>
        </w:rPr>
        <w:t>：</w:t>
      </w:r>
      <w:r>
        <w:rPr>
          <w:rFonts w:hint="eastAsia" w:cs="宋体"/>
          <w:bCs/>
          <w:i w:val="0"/>
          <w:iCs w:val="0"/>
          <w:caps w:val="0"/>
          <w:color w:val="auto"/>
          <w:spacing w:val="0"/>
          <w:sz w:val="28"/>
          <w:szCs w:val="28"/>
          <w:u w:val="single"/>
          <w:shd w:val="clear"/>
          <w:lang w:val="en-US" w:eastAsia="zh-CN" w:bidi="ar-SA"/>
        </w:rPr>
        <w:t xml:space="preserve">                                  </w:t>
      </w:r>
    </w:p>
    <w:p w14:paraId="2FB87E04">
      <w:pPr>
        <w:adjustRightInd w:val="0"/>
        <w:snapToGrid w:val="0"/>
        <w:spacing w:after="120" w:line="500" w:lineRule="exact"/>
        <w:rPr>
          <w:rFonts w:hint="default" w:ascii="Arial" w:hAnsi="Arial" w:eastAsia="MS Mincho" w:cs="Times New Roman"/>
          <w:sz w:val="20"/>
          <w:szCs w:val="20"/>
          <w:lang w:val="en-US" w:eastAsia="zh-CN" w:bidi="ar-SA"/>
        </w:rPr>
      </w:pPr>
    </w:p>
    <w:p w14:paraId="485D7BC7">
      <w:pPr>
        <w:widowControl w:val="0"/>
        <w:autoSpaceDE/>
        <w:autoSpaceDN/>
        <w:adjustRightInd w:val="0"/>
        <w:snapToGrid w:val="0"/>
        <w:spacing w:after="0" w:line="500" w:lineRule="exact"/>
        <w:ind w:firstLine="0" w:firstLineChars="0"/>
        <w:jc w:val="both"/>
        <w:rPr>
          <w:rFonts w:ascii="宋体" w:hAnsi="宋体" w:eastAsia="宋体" w:cs="宋体"/>
          <w:color w:val="auto"/>
          <w:kern w:val="0"/>
          <w:sz w:val="30"/>
          <w:szCs w:val="30"/>
          <w:lang w:eastAsia="zh-CN"/>
        </w:rPr>
      </w:pPr>
    </w:p>
    <w:p w14:paraId="439EA2F2">
      <w:pPr>
        <w:rPr>
          <w:lang w:val="en-US" w:eastAsia="zh-CN"/>
        </w:rPr>
      </w:pPr>
    </w:p>
    <w:p w14:paraId="6646CE4E">
      <w:pPr>
        <w:widowControl w:val="0"/>
        <w:autoSpaceDE/>
        <w:autoSpaceDN/>
        <w:adjustRightInd w:val="0"/>
        <w:snapToGrid w:val="0"/>
        <w:spacing w:after="0" w:line="500" w:lineRule="exact"/>
        <w:ind w:firstLine="0" w:firstLineChars="0"/>
        <w:jc w:val="center"/>
        <w:rPr>
          <w:rFonts w:hint="default" w:ascii="宋体" w:hAnsi="宋体" w:eastAsia="宋体" w:cs="宋体"/>
          <w:bCs/>
          <w:color w:val="auto"/>
          <w:kern w:val="0"/>
          <w:sz w:val="28"/>
          <w:szCs w:val="28"/>
          <w:u w:val="single"/>
          <w:lang w:val="en-US" w:eastAsia="zh-CN"/>
        </w:rPr>
      </w:pPr>
      <w:r>
        <w:rPr>
          <w:rFonts w:hint="eastAsia" w:ascii="宋体" w:hAnsi="宋体" w:eastAsia="宋体" w:cs="宋体"/>
          <w:color w:val="auto"/>
          <w:kern w:val="0"/>
          <w:sz w:val="28"/>
          <w:szCs w:val="28"/>
          <w:lang w:eastAsia="zh-CN"/>
        </w:rPr>
        <w:t>签订日期：</w:t>
      </w:r>
      <w:r>
        <w:rPr>
          <w:rFonts w:hint="eastAsia" w:ascii="宋体" w:hAnsi="宋体" w:eastAsia="宋体" w:cs="宋体"/>
          <w:color w:val="auto"/>
          <w:kern w:val="0"/>
          <w:sz w:val="28"/>
          <w:szCs w:val="28"/>
          <w:lang w:val="en-US" w:eastAsia="zh-CN"/>
        </w:rPr>
        <w:t xml:space="preserve">   年   月   日</w:t>
      </w:r>
    </w:p>
    <w:p w14:paraId="434E189B">
      <w:pPr>
        <w:adjustRightInd w:val="0"/>
        <w:snapToGrid w:val="0"/>
        <w:spacing w:line="500" w:lineRule="exact"/>
        <w:ind w:firstLine="0" w:firstLineChars="0"/>
        <w:jc w:val="both"/>
        <w:rPr>
          <w:rFonts w:hint="eastAsia" w:ascii="宋体" w:hAnsi="宋体" w:eastAsia="宋体" w:cs="宋体"/>
          <w:color w:val="auto"/>
          <w:sz w:val="24"/>
          <w:szCs w:val="24"/>
          <w:lang w:val="en-US" w:eastAsia="zh-CN"/>
        </w:rPr>
      </w:pPr>
    </w:p>
    <w:p w14:paraId="578FF5F9">
      <w:pPr>
        <w:pStyle w:val="3"/>
        <w:rPr>
          <w:rFonts w:hint="eastAsia" w:ascii="宋体" w:hAnsi="宋体" w:eastAsia="宋体" w:cs="宋体"/>
          <w:color w:val="auto"/>
          <w:sz w:val="24"/>
          <w:szCs w:val="24"/>
          <w:lang w:val="en-US" w:eastAsia="zh-CN"/>
        </w:rPr>
      </w:pPr>
    </w:p>
    <w:p w14:paraId="213C4EAD">
      <w:pPr>
        <w:rPr>
          <w:rFonts w:hint="eastAsia"/>
          <w:lang w:val="en-US" w:eastAsia="zh-CN"/>
        </w:rPr>
        <w:sectPr>
          <w:headerReference r:id="rId5" w:type="first"/>
          <w:footerReference r:id="rId7" w:type="first"/>
          <w:headerReference r:id="rId4" w:type="default"/>
          <w:footerReference r:id="rId6" w:type="default"/>
          <w:pgSz w:w="11906" w:h="16838"/>
          <w:pgMar w:top="1803" w:right="1440" w:bottom="1803" w:left="1440" w:header="850" w:footer="992" w:gutter="0"/>
          <w:pgNumType w:fmt="decimal"/>
          <w:cols w:space="0" w:num="1"/>
          <w:rtlGutter w:val="0"/>
          <w:docGrid w:type="lines" w:linePitch="339" w:charSpace="0"/>
        </w:sectPr>
      </w:pPr>
    </w:p>
    <w:p w14:paraId="37C6144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color w:val="auto"/>
          <w:kern w:val="0"/>
          <w:sz w:val="24"/>
          <w:szCs w:val="24"/>
          <w:lang w:val="en-GB" w:eastAsia="zh-CN"/>
        </w:rPr>
      </w:pPr>
      <w:r>
        <w:rPr>
          <w:rFonts w:hint="eastAsia" w:ascii="宋体" w:hAnsi="宋体" w:eastAsia="宋体" w:cs="宋体"/>
          <w:color w:val="auto"/>
          <w:kern w:val="0"/>
          <w:sz w:val="24"/>
          <w:szCs w:val="24"/>
          <w:lang w:val="en-US" w:eastAsia="zh-CN"/>
        </w:rPr>
        <w:t>根据《中华人民共和国民法典》及相关法律法规的规定，甲、乙双方经协商一致，就东莞市东引运河流域樟村断面综合治理工程（污水管网完善工程第二标段）施工合同纠纷一案</w:t>
      </w:r>
      <w:r>
        <w:rPr>
          <w:rFonts w:hint="eastAsia" w:hAnsi="宋体" w:cs="Times New Roman"/>
          <w:color w:val="auto"/>
          <w:kern w:val="0"/>
          <w:sz w:val="24"/>
          <w:szCs w:val="24"/>
          <w:lang w:val="en-US" w:eastAsia="zh-CN"/>
        </w:rPr>
        <w:t>（下称“本案”）</w:t>
      </w:r>
      <w:r>
        <w:rPr>
          <w:rFonts w:hint="eastAsia" w:ascii="宋体" w:hAnsi="宋体" w:eastAsia="宋体" w:cs="宋体"/>
          <w:color w:val="auto"/>
          <w:kern w:val="0"/>
          <w:sz w:val="24"/>
          <w:szCs w:val="24"/>
          <w:lang w:val="en-US" w:eastAsia="zh-CN"/>
        </w:rPr>
        <w:t>委托乙方的律师提供专项法律服务事宜达成如下约定，以资信守。</w:t>
      </w:r>
    </w:p>
    <w:p w14:paraId="1D60B93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一、</w:t>
      </w:r>
      <w:r>
        <w:rPr>
          <w:rFonts w:hint="eastAsia" w:ascii="宋体" w:hAnsi="宋体" w:eastAsia="宋体" w:cs="宋体"/>
          <w:b/>
          <w:color w:val="auto"/>
          <w:kern w:val="0"/>
          <w:sz w:val="24"/>
          <w:szCs w:val="24"/>
          <w:lang w:val="en-GB" w:eastAsia="en-US"/>
        </w:rPr>
        <w:t>服务</w:t>
      </w:r>
      <w:r>
        <w:rPr>
          <w:rFonts w:hint="eastAsia" w:ascii="宋体" w:hAnsi="宋体" w:eastAsia="宋体" w:cs="宋体"/>
          <w:b/>
          <w:color w:val="auto"/>
          <w:kern w:val="0"/>
          <w:sz w:val="24"/>
          <w:szCs w:val="24"/>
          <w:lang w:val="en-US" w:eastAsia="zh-CN"/>
        </w:rPr>
        <w:t>概况</w:t>
      </w:r>
    </w:p>
    <w:p w14:paraId="6C3EE68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（一）服务范围：</w:t>
      </w:r>
    </w:p>
    <w:p w14:paraId="1040EC9C">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代表</w:t>
      </w:r>
      <w:r>
        <w:rPr>
          <w:rFonts w:hint="eastAsia" w:hAnsi="宋体" w:cs="宋体"/>
          <w:b w:val="0"/>
          <w:bCs w:val="0"/>
          <w:color w:val="auto"/>
          <w:kern w:val="0"/>
          <w:sz w:val="24"/>
          <w:szCs w:val="24"/>
          <w:lang w:val="en-US" w:eastAsia="zh-CN"/>
        </w:rPr>
        <w:t>甲方</w:t>
      </w:r>
      <w:r>
        <w:rPr>
          <w:rFonts w:hint="eastAsia" w:ascii="宋体" w:hAnsi="宋体" w:eastAsia="宋体" w:cs="宋体"/>
          <w:b w:val="0"/>
          <w:bCs w:val="0"/>
          <w:color w:val="auto"/>
          <w:kern w:val="0"/>
          <w:sz w:val="24"/>
          <w:szCs w:val="24"/>
          <w:lang w:val="en-US" w:eastAsia="zh-CN"/>
        </w:rPr>
        <w:t>参加</w:t>
      </w:r>
      <w:r>
        <w:rPr>
          <w:rFonts w:hint="eastAsia" w:hAnsi="宋体" w:cs="宋体"/>
          <w:b w:val="0"/>
          <w:bCs w:val="0"/>
          <w:color w:val="auto"/>
          <w:kern w:val="0"/>
          <w:sz w:val="24"/>
          <w:szCs w:val="24"/>
          <w:lang w:val="en-US" w:eastAsia="zh-CN"/>
        </w:rPr>
        <w:t>本案</w:t>
      </w:r>
      <w:r>
        <w:rPr>
          <w:rFonts w:hint="eastAsia" w:ascii="宋体" w:hAnsi="宋体" w:eastAsia="宋体" w:cs="宋体"/>
          <w:b w:val="0"/>
          <w:bCs w:val="0"/>
          <w:color w:val="auto"/>
          <w:kern w:val="0"/>
          <w:sz w:val="24"/>
          <w:szCs w:val="24"/>
          <w:lang w:val="en-US" w:eastAsia="zh-CN"/>
        </w:rPr>
        <w:t>一审、二审、发回重审一审、发回重审二审及提供本案相关法律服务。</w:t>
      </w:r>
    </w:p>
    <w:p w14:paraId="0567DF4F">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b w:val="0"/>
          <w:color w:val="auto"/>
          <w:kern w:val="0"/>
          <w:sz w:val="24"/>
          <w:szCs w:val="24"/>
          <w:lang w:val="en-US" w:eastAsia="zh-CN"/>
        </w:rPr>
      </w:pPr>
      <w:r>
        <w:rPr>
          <w:rFonts w:hint="eastAsia" w:hAnsi="宋体" w:cs="宋体"/>
          <w:b w:val="0"/>
          <w:color w:val="auto"/>
          <w:kern w:val="0"/>
          <w:sz w:val="24"/>
          <w:szCs w:val="24"/>
          <w:lang w:val="en-US" w:eastAsia="zh-CN"/>
        </w:rPr>
        <w:t>（二）</w:t>
      </w:r>
      <w:r>
        <w:rPr>
          <w:rFonts w:hint="eastAsia" w:ascii="宋体" w:hAnsi="宋体" w:eastAsia="宋体" w:cs="宋体"/>
          <w:b w:val="0"/>
          <w:color w:val="auto"/>
          <w:kern w:val="0"/>
          <w:sz w:val="24"/>
          <w:szCs w:val="24"/>
          <w:lang w:val="en-US" w:eastAsia="zh-CN"/>
        </w:rPr>
        <w:t>服务期限</w:t>
      </w:r>
    </w:p>
    <w:p w14:paraId="08486B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自合同签订之日起至</w:t>
      </w:r>
      <w:r>
        <w:rPr>
          <w:rFonts w:hint="eastAsia" w:hAnsi="宋体" w:cs="宋体"/>
          <w:b w:val="0"/>
          <w:color w:val="auto"/>
          <w:kern w:val="0"/>
          <w:sz w:val="24"/>
          <w:szCs w:val="24"/>
          <w:lang w:val="en-US" w:eastAsia="zh-CN"/>
        </w:rPr>
        <w:t>本案</w:t>
      </w:r>
      <w:r>
        <w:rPr>
          <w:rFonts w:hint="eastAsia" w:ascii="宋体" w:hAnsi="宋体" w:eastAsia="宋体" w:cs="宋体"/>
          <w:b w:val="0"/>
          <w:color w:val="auto"/>
          <w:kern w:val="0"/>
          <w:sz w:val="24"/>
          <w:szCs w:val="24"/>
          <w:lang w:val="en-US" w:eastAsia="zh-CN"/>
        </w:rPr>
        <w:t>结案之日止。</w:t>
      </w:r>
    </w:p>
    <w:p w14:paraId="534BC08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（三）服务内容</w:t>
      </w:r>
    </w:p>
    <w:p w14:paraId="6956AC5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1、参与</w:t>
      </w:r>
      <w:r>
        <w:rPr>
          <w:rFonts w:hint="eastAsia" w:hAnsi="宋体" w:cs="宋体"/>
          <w:b w:val="0"/>
          <w:bCs w:val="0"/>
          <w:color w:val="auto"/>
          <w:kern w:val="0"/>
          <w:sz w:val="24"/>
          <w:szCs w:val="24"/>
          <w:lang w:val="en-US" w:eastAsia="zh-CN"/>
        </w:rPr>
        <w:t>本项目案件的</w:t>
      </w:r>
      <w:r>
        <w:rPr>
          <w:rFonts w:hint="eastAsia" w:ascii="宋体" w:hAnsi="宋体" w:eastAsia="宋体" w:cs="宋体"/>
          <w:b w:val="0"/>
          <w:bCs w:val="0"/>
          <w:color w:val="auto"/>
          <w:kern w:val="0"/>
          <w:sz w:val="24"/>
          <w:szCs w:val="24"/>
          <w:lang w:val="en-US" w:eastAsia="zh-CN"/>
        </w:rPr>
        <w:t>谈判、调解，制定诉讼策略，对案件风险、存在问题提供法律意见、解决方案，按甲方的要求出具书面意见、报告；</w:t>
      </w:r>
    </w:p>
    <w:p w14:paraId="73BEEA1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2、根据甲方委托，代理甲方处理</w:t>
      </w:r>
      <w:r>
        <w:rPr>
          <w:rFonts w:hint="eastAsia" w:hAnsi="宋体" w:cs="宋体"/>
          <w:b w:val="0"/>
          <w:bCs w:val="0"/>
          <w:color w:val="auto"/>
          <w:kern w:val="0"/>
          <w:sz w:val="24"/>
          <w:szCs w:val="24"/>
          <w:lang w:val="en-US" w:eastAsia="zh-CN"/>
        </w:rPr>
        <w:t>本项目授权案件</w:t>
      </w:r>
      <w:r>
        <w:rPr>
          <w:rFonts w:hint="eastAsia" w:ascii="宋体" w:hAnsi="宋体" w:eastAsia="宋体" w:cs="宋体"/>
          <w:b w:val="0"/>
          <w:bCs w:val="0"/>
          <w:color w:val="auto"/>
          <w:kern w:val="0"/>
          <w:sz w:val="24"/>
          <w:szCs w:val="24"/>
          <w:lang w:val="en-US" w:eastAsia="zh-CN"/>
        </w:rPr>
        <w:t>相关事宜，包括调查取证、应诉、答辩、提交证据材料、参加法院组织的庭审、调解等诉讼活动、代收法律文书、协助、配合司法机关完成案件审理等必要程序；</w:t>
      </w:r>
    </w:p>
    <w:p w14:paraId="00289E7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3、参加甲方关于</w:t>
      </w:r>
      <w:r>
        <w:rPr>
          <w:rFonts w:hint="eastAsia" w:hAnsi="宋体" w:cs="宋体"/>
          <w:b w:val="0"/>
          <w:bCs w:val="0"/>
          <w:color w:val="auto"/>
          <w:kern w:val="0"/>
          <w:sz w:val="24"/>
          <w:szCs w:val="24"/>
          <w:lang w:val="en-US" w:eastAsia="zh-CN"/>
        </w:rPr>
        <w:t>本项目案件</w:t>
      </w:r>
      <w:r>
        <w:rPr>
          <w:rFonts w:hint="eastAsia" w:ascii="宋体" w:hAnsi="宋体" w:eastAsia="宋体" w:cs="宋体"/>
          <w:b w:val="0"/>
          <w:bCs w:val="0"/>
          <w:color w:val="auto"/>
          <w:kern w:val="0"/>
          <w:sz w:val="24"/>
          <w:szCs w:val="24"/>
          <w:lang w:val="en-US" w:eastAsia="zh-CN"/>
        </w:rPr>
        <w:t>相关内外部会议，提出法律建议；</w:t>
      </w:r>
    </w:p>
    <w:p w14:paraId="29DAE74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4、根据甲方要求，对外出具律师函、法律意见书等文书；</w:t>
      </w:r>
    </w:p>
    <w:p w14:paraId="405595C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5、案件作出裁决后，协助甲方处理后续履行事宜，包括但不限于对案件结果出具意见并提出建议，陪同甲方参加相关会议、谈判等；</w:t>
      </w:r>
    </w:p>
    <w:p w14:paraId="4CB700A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hAnsi="宋体" w:cs="宋体"/>
          <w:b w:val="0"/>
          <w:bCs w:val="0"/>
          <w:color w:val="auto"/>
          <w:kern w:val="0"/>
          <w:sz w:val="24"/>
          <w:szCs w:val="24"/>
          <w:lang w:val="en-US" w:eastAsia="zh-CN"/>
        </w:rPr>
      </w:pPr>
      <w:r>
        <w:rPr>
          <w:rFonts w:hint="eastAsia" w:hAnsi="宋体" w:cs="宋体"/>
          <w:b w:val="0"/>
          <w:bCs w:val="0"/>
          <w:color w:val="auto"/>
          <w:kern w:val="0"/>
          <w:sz w:val="24"/>
          <w:szCs w:val="24"/>
          <w:lang w:val="en-US" w:eastAsia="zh-CN"/>
        </w:rPr>
        <w:t>6、代表甲方处理案涉项目涉及的第三人主张质押权以及其他案件法院要求协助执行等问题，确保甲方依法履行相关法律文书；</w:t>
      </w:r>
    </w:p>
    <w:p w14:paraId="611FE13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hAnsi="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lang w:val="en-US" w:eastAsia="zh-CN"/>
        </w:rPr>
        <w:t>其他甲方要求的法律服务。</w:t>
      </w:r>
    </w:p>
    <w:p w14:paraId="45834A3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（四）服务人员</w:t>
      </w:r>
    </w:p>
    <w:p w14:paraId="2AC2D3D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乙方接受甲方委托，依照现行法律之规定，指派</w:t>
      </w:r>
      <w:r>
        <w:rPr>
          <w:rFonts w:hint="eastAsia" w:ascii="宋体" w:hAnsi="宋体" w:eastAsia="宋体" w:cs="宋体"/>
          <w:b w:val="0"/>
          <w:bCs w:val="0"/>
          <w:color w:val="auto"/>
          <w:kern w:val="0"/>
          <w:sz w:val="24"/>
          <w:szCs w:val="24"/>
          <w:u w:val="single"/>
          <w:lang w:val="en-US" w:eastAsia="zh-CN"/>
        </w:rPr>
        <w:t xml:space="preserve"> </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b w:val="0"/>
          <w:bCs w:val="0"/>
          <w:color w:val="auto"/>
          <w:kern w:val="0"/>
          <w:sz w:val="24"/>
          <w:szCs w:val="24"/>
          <w:u w:val="single"/>
          <w:lang w:val="en-US" w:eastAsia="zh-CN"/>
        </w:rPr>
        <w:t xml:space="preserve">   </w:t>
      </w:r>
      <w:r>
        <w:rPr>
          <w:rFonts w:hint="eastAsia" w:ascii="宋体" w:hAnsi="宋体" w:eastAsia="宋体" w:cs="宋体"/>
          <w:b w:val="0"/>
          <w:bCs w:val="0"/>
          <w:color w:val="auto"/>
          <w:kern w:val="0"/>
          <w:sz w:val="24"/>
          <w:szCs w:val="24"/>
          <w:lang w:val="en-US" w:eastAsia="zh-CN"/>
        </w:rPr>
        <w:t>为甲方之代理人参与</w:t>
      </w:r>
      <w:r>
        <w:rPr>
          <w:rFonts w:hint="eastAsia" w:hAnsi="宋体" w:cs="宋体"/>
          <w:b w:val="0"/>
          <w:bCs w:val="0"/>
          <w:color w:val="auto"/>
          <w:kern w:val="0"/>
          <w:sz w:val="24"/>
          <w:szCs w:val="24"/>
          <w:lang w:val="en-US" w:eastAsia="zh-CN"/>
        </w:rPr>
        <w:t>本项目</w:t>
      </w:r>
      <w:r>
        <w:rPr>
          <w:rFonts w:hint="eastAsia" w:ascii="宋体" w:hAnsi="宋体" w:eastAsia="宋体" w:cs="宋体"/>
          <w:b w:val="0"/>
          <w:bCs w:val="0"/>
          <w:color w:val="auto"/>
          <w:kern w:val="0"/>
          <w:sz w:val="24"/>
          <w:szCs w:val="24"/>
          <w:lang w:val="en-US" w:eastAsia="zh-CN"/>
        </w:rPr>
        <w:t>的相关代理工作</w:t>
      </w:r>
      <w:r>
        <w:rPr>
          <w:rFonts w:hint="eastAsia" w:hAnsi="宋体" w:cs="宋体"/>
          <w:b w:val="0"/>
          <w:bCs w:val="0"/>
          <w:color w:val="auto"/>
          <w:kern w:val="0"/>
          <w:sz w:val="24"/>
          <w:szCs w:val="24"/>
          <w:lang w:val="en-US" w:eastAsia="zh-CN"/>
        </w:rPr>
        <w:t>；其中</w:t>
      </w:r>
      <w:r>
        <w:rPr>
          <w:rFonts w:hint="eastAsia" w:hAnsi="宋体" w:cs="宋体"/>
          <w:b w:val="0"/>
          <w:bCs w:val="0"/>
          <w:color w:val="auto"/>
          <w:kern w:val="0"/>
          <w:sz w:val="24"/>
          <w:szCs w:val="24"/>
          <w:u w:val="single"/>
          <w:lang w:val="en-US" w:eastAsia="zh-CN"/>
        </w:rPr>
        <w:t xml:space="preserve">        </w:t>
      </w:r>
      <w:r>
        <w:rPr>
          <w:rFonts w:hint="eastAsia" w:hAnsi="宋体" w:cs="宋体"/>
          <w:b w:val="0"/>
          <w:bCs w:val="0"/>
          <w:color w:val="auto"/>
          <w:kern w:val="0"/>
          <w:sz w:val="24"/>
          <w:szCs w:val="24"/>
          <w:u w:val="none"/>
          <w:lang w:val="en-US" w:eastAsia="zh-CN"/>
        </w:rPr>
        <w:t>律师为本项目负责人，必须在本案中</w:t>
      </w:r>
      <w:r>
        <w:rPr>
          <w:rFonts w:hint="eastAsia" w:ascii="宋体" w:hAnsi="宋体" w:eastAsia="宋体" w:cs="宋体"/>
          <w:b w:val="0"/>
          <w:bCs w:val="0"/>
          <w:color w:val="auto"/>
          <w:kern w:val="0"/>
          <w:sz w:val="24"/>
          <w:szCs w:val="24"/>
          <w:lang w:val="en-US" w:eastAsia="zh-CN"/>
        </w:rPr>
        <w:t>作为代理律师</w:t>
      </w:r>
      <w:r>
        <w:rPr>
          <w:rFonts w:hint="eastAsia"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rPr>
        <w:t>如</w:t>
      </w:r>
      <w:r>
        <w:rPr>
          <w:rFonts w:hint="eastAsia" w:hAnsi="宋体" w:cs="宋体"/>
          <w:b w:val="0"/>
          <w:bCs w:val="0"/>
          <w:color w:val="auto"/>
          <w:kern w:val="0"/>
          <w:sz w:val="24"/>
          <w:szCs w:val="24"/>
          <w:lang w:val="en-US" w:eastAsia="zh-CN"/>
        </w:rPr>
        <w:t>上述</w:t>
      </w:r>
      <w:r>
        <w:rPr>
          <w:rFonts w:hint="eastAsia" w:ascii="宋体" w:hAnsi="宋体" w:eastAsia="宋体" w:cs="宋体"/>
          <w:b w:val="0"/>
          <w:bCs w:val="0"/>
          <w:color w:val="auto"/>
          <w:kern w:val="0"/>
          <w:sz w:val="24"/>
          <w:szCs w:val="24"/>
          <w:lang w:val="en-US" w:eastAsia="zh-CN"/>
        </w:rPr>
        <w:t>律师不能办理时，乙方须另行指派其他同等资格以上的律师作为代理人并需报甲方同意。</w:t>
      </w:r>
    </w:p>
    <w:p w14:paraId="6ADAC5F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二、服务费用</w:t>
      </w:r>
    </w:p>
    <w:p w14:paraId="05D08254">
      <w:pPr>
        <w:keepNext w:val="0"/>
        <w:keepLines w:val="0"/>
        <w:numPr>
          <w:ilvl w:val="-1"/>
          <w:numId w:val="0"/>
        </w:numPr>
        <w:kinsoku/>
        <w:wordWrap/>
        <w:overflowPunct/>
        <w:topLinePunct w:val="0"/>
        <w:autoSpaceDE w:val="0"/>
        <w:autoSpaceDN w:val="0"/>
        <w:bidi w:val="0"/>
        <w:adjustRightInd w:val="0"/>
        <w:snapToGrid w:val="0"/>
        <w:spacing w:line="360" w:lineRule="auto"/>
        <w:ind w:left="0" w:firstLine="480" w:firstLineChars="200"/>
        <w:jc w:val="left"/>
        <w:textAlignment w:val="auto"/>
        <w:rPr>
          <w:rFonts w:hint="eastAsia" w:ascii="宋体" w:hAnsi="宋体" w:eastAsia="宋体" w:cs="Times New Roman"/>
          <w:color w:val="auto"/>
          <w:kern w:val="0"/>
          <w:sz w:val="24"/>
          <w:szCs w:val="24"/>
          <w:lang w:val="en-US" w:eastAsia="zh-CN"/>
        </w:rPr>
      </w:pPr>
      <w:r>
        <w:rPr>
          <w:rFonts w:hint="eastAsia" w:hAnsi="宋体" w:cs="Times New Roman"/>
          <w:color w:val="auto"/>
          <w:kern w:val="0"/>
          <w:sz w:val="24"/>
          <w:szCs w:val="24"/>
          <w:lang w:val="en-US" w:eastAsia="zh-CN"/>
        </w:rPr>
        <w:t>本案</w:t>
      </w:r>
      <w:r>
        <w:rPr>
          <w:rFonts w:hint="eastAsia" w:ascii="宋体" w:hAnsi="宋体" w:eastAsia="宋体" w:cs="Times New Roman"/>
          <w:color w:val="auto"/>
          <w:kern w:val="0"/>
          <w:sz w:val="24"/>
          <w:szCs w:val="24"/>
          <w:lang w:val="en-US" w:eastAsia="zh-CN"/>
        </w:rPr>
        <w:t>服务费</w:t>
      </w:r>
      <w:r>
        <w:rPr>
          <w:rFonts w:hint="eastAsia" w:hAnsi="宋体" w:cs="Times New Roman"/>
          <w:color w:val="auto"/>
          <w:kern w:val="0"/>
          <w:sz w:val="24"/>
          <w:szCs w:val="24"/>
          <w:lang w:val="en-US" w:eastAsia="zh-CN"/>
        </w:rPr>
        <w:t>总额</w:t>
      </w:r>
      <w:r>
        <w:rPr>
          <w:rFonts w:hint="eastAsia" w:ascii="宋体" w:hAnsi="宋体" w:eastAsia="宋体" w:cs="Times New Roman"/>
          <w:color w:val="auto"/>
          <w:kern w:val="0"/>
          <w:sz w:val="24"/>
          <w:szCs w:val="24"/>
          <w:lang w:val="en-US" w:eastAsia="zh-CN"/>
        </w:rPr>
        <w:t>为</w:t>
      </w:r>
      <w:r>
        <w:rPr>
          <w:rFonts w:hint="eastAsia" w:hAnsi="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lang w:val="en-US" w:eastAsia="zh-CN"/>
        </w:rPr>
        <w:t>元（含税，税率为6%，详见下表），包含一审、二审、重审一审、重审二审及本案相关法律服务费用，最终服务费用按</w:t>
      </w:r>
      <w:r>
        <w:rPr>
          <w:rFonts w:hint="eastAsia" w:hAnsi="宋体" w:cs="Times New Roman"/>
          <w:color w:val="auto"/>
          <w:kern w:val="0"/>
          <w:sz w:val="24"/>
          <w:szCs w:val="24"/>
          <w:lang w:val="en-US" w:eastAsia="zh-CN"/>
        </w:rPr>
        <w:t>乙方</w:t>
      </w:r>
      <w:r>
        <w:rPr>
          <w:rFonts w:hint="eastAsia" w:ascii="宋体" w:hAnsi="宋体" w:eastAsia="宋体" w:cs="Times New Roman"/>
          <w:color w:val="auto"/>
          <w:kern w:val="0"/>
          <w:sz w:val="24"/>
          <w:szCs w:val="24"/>
          <w:lang w:val="en-US" w:eastAsia="zh-CN"/>
        </w:rPr>
        <w:t>实际代理的诉讼阶段及对应的诉讼结果计</w:t>
      </w:r>
      <w:r>
        <w:rPr>
          <w:rFonts w:hint="default" w:ascii="宋体" w:hAnsi="宋体" w:eastAsia="宋体" w:cs="Times New Roman"/>
          <w:color w:val="auto"/>
          <w:kern w:val="0"/>
          <w:sz w:val="24"/>
          <w:szCs w:val="24"/>
          <w:lang w:val="en-US" w:eastAsia="zh-CN"/>
        </w:rPr>
        <w:t>算</w:t>
      </w:r>
      <w:r>
        <w:rPr>
          <w:rFonts w:hint="eastAsia" w:ascii="宋体" w:hAnsi="宋体" w:eastAsia="宋体" w:cs="Times New Roman"/>
          <w:color w:val="auto"/>
          <w:kern w:val="0"/>
          <w:sz w:val="24"/>
          <w:szCs w:val="24"/>
          <w:lang w:val="en-US" w:eastAsia="zh-CN"/>
        </w:rPr>
        <w:t>。</w:t>
      </w:r>
    </w:p>
    <w:tbl>
      <w:tblPr>
        <w:tblStyle w:val="20"/>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6297"/>
      </w:tblGrid>
      <w:tr w14:paraId="62FB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1974" w:type="dxa"/>
            <w:vAlign w:val="center"/>
          </w:tcPr>
          <w:p w14:paraId="667C1345">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诉讼阶段</w:t>
            </w:r>
          </w:p>
        </w:tc>
        <w:tc>
          <w:tcPr>
            <w:tcW w:w="6297" w:type="dxa"/>
            <w:vAlign w:val="center"/>
          </w:tcPr>
          <w:p w14:paraId="6FD5616B">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服务费（单位：元）</w:t>
            </w:r>
          </w:p>
        </w:tc>
      </w:tr>
      <w:tr w14:paraId="117B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restart"/>
            <w:vAlign w:val="center"/>
          </w:tcPr>
          <w:p w14:paraId="798F8AD3">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一审</w:t>
            </w:r>
          </w:p>
        </w:tc>
        <w:tc>
          <w:tcPr>
            <w:tcW w:w="6297" w:type="dxa"/>
            <w:vAlign w:val="center"/>
          </w:tcPr>
          <w:p w14:paraId="0A2E79D9">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胜诉：</w:t>
            </w:r>
            <w:r>
              <w:rPr>
                <w:rFonts w:hint="eastAsia" w:hAnsi="宋体" w:cs="Times New Roman"/>
                <w:color w:val="auto"/>
                <w:kern w:val="0"/>
                <w:sz w:val="24"/>
                <w:szCs w:val="24"/>
                <w:lang w:val="en-US" w:eastAsia="zh-CN"/>
              </w:rPr>
              <w:t xml:space="preserve"> </w:t>
            </w:r>
          </w:p>
        </w:tc>
      </w:tr>
      <w:tr w14:paraId="6F61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continue"/>
            <w:vAlign w:val="center"/>
          </w:tcPr>
          <w:p w14:paraId="0C9C35FC">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p>
        </w:tc>
        <w:tc>
          <w:tcPr>
            <w:tcW w:w="6297" w:type="dxa"/>
            <w:vAlign w:val="center"/>
          </w:tcPr>
          <w:p w14:paraId="010EF81D">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败诉：</w:t>
            </w:r>
            <w:r>
              <w:rPr>
                <w:rFonts w:hint="eastAsia" w:hAnsi="宋体" w:cs="Times New Roman"/>
                <w:color w:val="auto"/>
                <w:kern w:val="0"/>
                <w:sz w:val="24"/>
                <w:szCs w:val="24"/>
                <w:lang w:val="en-US" w:eastAsia="zh-CN"/>
              </w:rPr>
              <w:t xml:space="preserve"> </w:t>
            </w:r>
          </w:p>
        </w:tc>
      </w:tr>
      <w:tr w14:paraId="0520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continue"/>
            <w:vAlign w:val="center"/>
          </w:tcPr>
          <w:p w14:paraId="7F707BD6">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p>
        </w:tc>
        <w:tc>
          <w:tcPr>
            <w:tcW w:w="6297" w:type="dxa"/>
            <w:vAlign w:val="center"/>
          </w:tcPr>
          <w:p w14:paraId="32ED6542">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both"/>
              <w:textAlignment w:val="auto"/>
              <w:rPr>
                <w:rFonts w:hint="default" w:ascii="宋体" w:hAnsi="宋体" w:eastAsia="宋体" w:cs="Times New Roman"/>
                <w:color w:val="auto"/>
                <w:kern w:val="0"/>
                <w:sz w:val="24"/>
                <w:szCs w:val="24"/>
                <w:lang w:val="en-US" w:eastAsia="zh-CN"/>
              </w:rPr>
            </w:pPr>
            <w:r>
              <w:rPr>
                <w:rFonts w:hint="eastAsia" w:hAnsi="宋体" w:cs="Times New Roman"/>
                <w:color w:val="auto"/>
                <w:kern w:val="0"/>
                <w:sz w:val="24"/>
                <w:szCs w:val="24"/>
                <w:vertAlign w:val="baseline"/>
                <w:lang w:val="en-US" w:eastAsia="zh-CN"/>
              </w:rPr>
              <w:t>乙方</w:t>
            </w:r>
            <w:r>
              <w:rPr>
                <w:rFonts w:hint="eastAsia" w:ascii="宋体" w:hAnsi="宋体" w:eastAsia="宋体" w:cs="Times New Roman"/>
                <w:color w:val="auto"/>
                <w:kern w:val="0"/>
                <w:sz w:val="24"/>
                <w:szCs w:val="24"/>
                <w:vertAlign w:val="baseline"/>
                <w:lang w:val="en-US" w:eastAsia="zh-CN"/>
              </w:rPr>
              <w:t>参加开庭前，原告撤诉、调解、和解的：</w:t>
            </w:r>
            <w:r>
              <w:rPr>
                <w:rFonts w:hint="eastAsia" w:hAnsi="宋体" w:cs="Times New Roman"/>
                <w:color w:val="auto"/>
                <w:kern w:val="0"/>
                <w:sz w:val="24"/>
                <w:szCs w:val="24"/>
                <w:vertAlign w:val="baseline"/>
                <w:lang w:val="en-US" w:eastAsia="zh-CN"/>
              </w:rPr>
              <w:t xml:space="preserve"> </w:t>
            </w:r>
          </w:p>
        </w:tc>
      </w:tr>
      <w:tr w14:paraId="051C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continue"/>
            <w:vAlign w:val="center"/>
          </w:tcPr>
          <w:p w14:paraId="73B44747">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p>
        </w:tc>
        <w:tc>
          <w:tcPr>
            <w:tcW w:w="6297" w:type="dxa"/>
            <w:vAlign w:val="center"/>
          </w:tcPr>
          <w:p w14:paraId="0DE5A084">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both"/>
              <w:textAlignment w:val="auto"/>
              <w:rPr>
                <w:rFonts w:hint="default" w:ascii="宋体" w:hAnsi="宋体" w:eastAsia="宋体" w:cs="Times New Roman"/>
                <w:color w:val="auto"/>
                <w:kern w:val="0"/>
                <w:sz w:val="24"/>
                <w:szCs w:val="24"/>
                <w:lang w:val="en-US" w:eastAsia="zh-CN"/>
              </w:rPr>
            </w:pPr>
            <w:r>
              <w:rPr>
                <w:rFonts w:hint="eastAsia" w:hAnsi="宋体" w:cs="Times New Roman"/>
                <w:color w:val="auto"/>
                <w:kern w:val="0"/>
                <w:sz w:val="24"/>
                <w:szCs w:val="24"/>
                <w:vertAlign w:val="baseline"/>
                <w:lang w:val="en-US" w:eastAsia="zh-CN"/>
              </w:rPr>
              <w:t>乙方</w:t>
            </w:r>
            <w:r>
              <w:rPr>
                <w:rFonts w:hint="eastAsia" w:ascii="宋体" w:hAnsi="宋体" w:eastAsia="宋体" w:cs="Times New Roman"/>
                <w:color w:val="auto"/>
                <w:kern w:val="0"/>
                <w:sz w:val="24"/>
                <w:szCs w:val="24"/>
                <w:vertAlign w:val="baseline"/>
                <w:lang w:val="en-US" w:eastAsia="zh-CN"/>
              </w:rPr>
              <w:t>参加开庭后，原告撤诉、调解、和解的：</w:t>
            </w:r>
            <w:r>
              <w:rPr>
                <w:rFonts w:hint="eastAsia" w:hAnsi="宋体" w:cs="Times New Roman"/>
                <w:color w:val="auto"/>
                <w:kern w:val="0"/>
                <w:sz w:val="24"/>
                <w:szCs w:val="24"/>
                <w:vertAlign w:val="baseline"/>
                <w:lang w:val="en-US" w:eastAsia="zh-CN"/>
              </w:rPr>
              <w:t xml:space="preserve"> </w:t>
            </w:r>
          </w:p>
        </w:tc>
      </w:tr>
      <w:tr w14:paraId="783E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Merge w:val="restart"/>
            <w:vAlign w:val="center"/>
          </w:tcPr>
          <w:p w14:paraId="6C60358A">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二审</w:t>
            </w:r>
          </w:p>
        </w:tc>
        <w:tc>
          <w:tcPr>
            <w:tcW w:w="6297" w:type="dxa"/>
            <w:vAlign w:val="center"/>
          </w:tcPr>
          <w:p w14:paraId="5E75F5FA">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胜诉：</w:t>
            </w:r>
            <w:r>
              <w:rPr>
                <w:rFonts w:hint="eastAsia" w:hAnsi="宋体" w:cs="Times New Roman"/>
                <w:color w:val="auto"/>
                <w:kern w:val="0"/>
                <w:sz w:val="24"/>
                <w:szCs w:val="24"/>
                <w:lang w:val="en-US" w:eastAsia="zh-CN"/>
              </w:rPr>
              <w:t xml:space="preserve"> </w:t>
            </w:r>
          </w:p>
        </w:tc>
      </w:tr>
      <w:tr w14:paraId="09B9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Merge w:val="continue"/>
            <w:vAlign w:val="center"/>
          </w:tcPr>
          <w:p w14:paraId="53D41833">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p>
        </w:tc>
        <w:tc>
          <w:tcPr>
            <w:tcW w:w="6297" w:type="dxa"/>
            <w:vAlign w:val="center"/>
          </w:tcPr>
          <w:p w14:paraId="799A0CB5">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败诉：</w:t>
            </w:r>
            <w:r>
              <w:rPr>
                <w:rFonts w:hint="eastAsia" w:hAnsi="宋体" w:cs="Times New Roman"/>
                <w:color w:val="auto"/>
                <w:kern w:val="0"/>
                <w:sz w:val="24"/>
                <w:szCs w:val="24"/>
                <w:lang w:val="en-US" w:eastAsia="zh-CN"/>
              </w:rPr>
              <w:t xml:space="preserve"> </w:t>
            </w:r>
          </w:p>
        </w:tc>
      </w:tr>
      <w:tr w14:paraId="0357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Merge w:val="continue"/>
            <w:vAlign w:val="center"/>
          </w:tcPr>
          <w:p w14:paraId="08E48E36">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p>
        </w:tc>
        <w:tc>
          <w:tcPr>
            <w:tcW w:w="6297" w:type="dxa"/>
            <w:vAlign w:val="center"/>
          </w:tcPr>
          <w:p w14:paraId="57949A13">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发回重审、</w:t>
            </w:r>
            <w:r>
              <w:rPr>
                <w:rFonts w:hint="eastAsia" w:ascii="宋体" w:hAnsi="宋体" w:eastAsia="宋体" w:cs="Times New Roman"/>
                <w:color w:val="auto"/>
                <w:kern w:val="0"/>
                <w:sz w:val="24"/>
                <w:szCs w:val="24"/>
                <w:vertAlign w:val="baseline"/>
                <w:lang w:val="en-US" w:eastAsia="zh-CN"/>
              </w:rPr>
              <w:t>撤诉、调解、和解：</w:t>
            </w:r>
          </w:p>
        </w:tc>
      </w:tr>
      <w:tr w14:paraId="1126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Align w:val="center"/>
          </w:tcPr>
          <w:p w14:paraId="1D0112CB">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发回重审一审</w:t>
            </w:r>
          </w:p>
        </w:tc>
        <w:tc>
          <w:tcPr>
            <w:tcW w:w="6297" w:type="dxa"/>
            <w:vAlign w:val="center"/>
          </w:tcPr>
          <w:p w14:paraId="3C7C2BF5">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Times New Roman"/>
                <w:color w:val="auto"/>
                <w:kern w:val="0"/>
                <w:sz w:val="24"/>
                <w:szCs w:val="24"/>
                <w:lang w:val="en-US" w:eastAsia="zh-CN"/>
              </w:rPr>
            </w:pPr>
          </w:p>
        </w:tc>
      </w:tr>
      <w:tr w14:paraId="2703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Align w:val="center"/>
          </w:tcPr>
          <w:p w14:paraId="69DAB430">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发回重审二审</w:t>
            </w:r>
          </w:p>
        </w:tc>
        <w:tc>
          <w:tcPr>
            <w:tcW w:w="6297" w:type="dxa"/>
            <w:vAlign w:val="center"/>
          </w:tcPr>
          <w:p w14:paraId="2CE57D03">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Times New Roman"/>
                <w:color w:val="auto"/>
                <w:kern w:val="0"/>
                <w:sz w:val="24"/>
                <w:szCs w:val="24"/>
                <w:lang w:val="en-US" w:eastAsia="zh-CN"/>
              </w:rPr>
            </w:pPr>
          </w:p>
        </w:tc>
      </w:tr>
    </w:tbl>
    <w:p w14:paraId="18ACC74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宋体" w:hAnsi="宋体" w:eastAsia="宋体" w:cs="Times New Roman"/>
          <w:b/>
          <w:bCs/>
          <w:color w:val="auto"/>
          <w:kern w:val="0"/>
          <w:sz w:val="24"/>
          <w:szCs w:val="24"/>
          <w:lang w:val="en-US" w:eastAsia="zh-CN"/>
        </w:rPr>
      </w:pPr>
      <w:r>
        <w:rPr>
          <w:rFonts w:hint="eastAsia" w:ascii="宋体" w:hAnsi="宋体" w:eastAsia="宋体" w:cs="Times New Roman"/>
          <w:b/>
          <w:bCs/>
          <w:color w:val="auto"/>
          <w:kern w:val="0"/>
          <w:sz w:val="24"/>
          <w:szCs w:val="24"/>
          <w:lang w:val="en-US" w:eastAsia="zh-CN"/>
        </w:rPr>
        <w:t>备注:胜诉是指法院判决采购人无需承担责任；败诉是指法院判决采购人需承担责任。</w:t>
      </w:r>
    </w:p>
    <w:p w14:paraId="6381DA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特别说明：</w:t>
      </w:r>
    </w:p>
    <w:p w14:paraId="2FD232B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w:t>
      </w:r>
      <w:r>
        <w:rPr>
          <w:rFonts w:hint="eastAsia" w:hAnsi="宋体" w:cs="Times New Roman"/>
          <w:color w:val="auto"/>
          <w:kern w:val="0"/>
          <w:sz w:val="24"/>
          <w:szCs w:val="24"/>
          <w:highlight w:val="none"/>
          <w:lang w:val="en-US" w:eastAsia="zh-CN"/>
        </w:rPr>
        <w:t>.</w:t>
      </w:r>
      <w:r>
        <w:rPr>
          <w:rFonts w:hint="eastAsia" w:ascii="宋体" w:hAnsi="宋体" w:eastAsia="宋体" w:cs="Times New Roman"/>
          <w:color w:val="auto"/>
          <w:kern w:val="0"/>
          <w:sz w:val="24"/>
          <w:szCs w:val="24"/>
          <w:lang w:val="en-US" w:eastAsia="zh-CN"/>
        </w:rPr>
        <w:t>上述的一审、二审、发回重审一审、发回重审二审等阶段发生且实际委托代理后，才支付相应的服务费，不发生的阶段或发生的阶段未实际委托代理的则不支付相应的费用。</w:t>
      </w:r>
    </w:p>
    <w:p w14:paraId="2F680A4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2.若</w:t>
      </w:r>
      <w:r>
        <w:rPr>
          <w:rFonts w:hint="eastAsia" w:hAnsi="宋体" w:cs="Times New Roman"/>
          <w:color w:val="auto"/>
          <w:kern w:val="0"/>
          <w:sz w:val="24"/>
          <w:szCs w:val="24"/>
          <w:lang w:val="en-US" w:eastAsia="zh-CN"/>
        </w:rPr>
        <w:t>乙方</w:t>
      </w:r>
      <w:r>
        <w:rPr>
          <w:rFonts w:hint="eastAsia" w:ascii="宋体" w:hAnsi="宋体" w:eastAsia="宋体" w:cs="Times New Roman"/>
          <w:color w:val="auto"/>
          <w:kern w:val="0"/>
          <w:sz w:val="24"/>
          <w:szCs w:val="24"/>
          <w:lang w:val="en-US" w:eastAsia="zh-CN"/>
        </w:rPr>
        <w:t>收到授权案件后尚未开展任何实质性工作〔实质性工作包括：（1）提交答辩状及证据材料；（2）提交上诉状；（3）参加开庭；（4）参与和解调解；（5）其他</w:t>
      </w:r>
      <w:r>
        <w:rPr>
          <w:rFonts w:hint="eastAsia" w:hAnsi="宋体" w:cs="Times New Roman"/>
          <w:color w:val="auto"/>
          <w:kern w:val="0"/>
          <w:sz w:val="24"/>
          <w:szCs w:val="24"/>
          <w:lang w:val="en-US" w:eastAsia="zh-CN"/>
        </w:rPr>
        <w:t>甲方</w:t>
      </w:r>
      <w:r>
        <w:rPr>
          <w:rFonts w:hint="eastAsia" w:ascii="宋体" w:hAnsi="宋体" w:eastAsia="宋体" w:cs="Times New Roman"/>
          <w:color w:val="auto"/>
          <w:kern w:val="0"/>
          <w:sz w:val="24"/>
          <w:szCs w:val="24"/>
          <w:lang w:val="en-US" w:eastAsia="zh-CN"/>
        </w:rPr>
        <w:t>认可的工作〕而案件结案的，则</w:t>
      </w:r>
      <w:r>
        <w:rPr>
          <w:rFonts w:hint="eastAsia" w:hAnsi="宋体" w:cs="Times New Roman"/>
          <w:color w:val="auto"/>
          <w:kern w:val="0"/>
          <w:sz w:val="24"/>
          <w:szCs w:val="24"/>
          <w:lang w:val="en-US" w:eastAsia="zh-CN"/>
        </w:rPr>
        <w:t>甲方</w:t>
      </w:r>
      <w:r>
        <w:rPr>
          <w:rFonts w:hint="eastAsia" w:ascii="宋体" w:hAnsi="宋体" w:eastAsia="宋体" w:cs="Times New Roman"/>
          <w:color w:val="auto"/>
          <w:kern w:val="0"/>
          <w:sz w:val="24"/>
          <w:szCs w:val="24"/>
          <w:lang w:val="en-US" w:eastAsia="zh-CN"/>
        </w:rPr>
        <w:t>无需支付任何费用。</w:t>
      </w:r>
    </w:p>
    <w:p w14:paraId="679A1F7D">
      <w:pPr>
        <w:snapToGrid w:val="0"/>
        <w:spacing w:line="360" w:lineRule="auto"/>
        <w:ind w:firstLine="480" w:firstLineChars="200"/>
        <w:jc w:val="both"/>
        <w:rPr>
          <w:rFonts w:hint="eastAsia" w:hAnsi="宋体" w:cs="Times New Roman"/>
          <w:color w:val="auto"/>
          <w:lang w:val="en-US" w:eastAsia="zh-CN"/>
        </w:rPr>
      </w:pPr>
      <w:r>
        <w:rPr>
          <w:rFonts w:hint="eastAsia" w:hAnsi="宋体" w:cs="Times New Roman"/>
          <w:color w:val="auto"/>
          <w:lang w:val="en-US" w:eastAsia="zh-CN"/>
        </w:rPr>
        <w:t>3.上述各阶段含税服务费包含完成相应诉讼阶段的全部费用，包括但不限于律师费、相关法律服务费、交通费、差旅费、通讯费、资料费、税金及利润等乙方全面妥善履行该诉讼阶段工作内容的全部费用。除本合同另有约定外，乙方无权向甲方另行主张任何其他费用或补偿。</w:t>
      </w:r>
    </w:p>
    <w:p w14:paraId="377151C3">
      <w:pPr>
        <w:snapToGrid w:val="0"/>
        <w:spacing w:line="360" w:lineRule="auto"/>
        <w:ind w:firstLine="480" w:firstLineChars="200"/>
        <w:jc w:val="both"/>
        <w:rPr>
          <w:rFonts w:hint="eastAsia" w:hAnsi="宋体" w:cs="Times New Roman"/>
          <w:color w:val="auto"/>
          <w:lang w:val="en-US" w:eastAsia="zh-CN"/>
        </w:rPr>
      </w:pPr>
      <w:r>
        <w:rPr>
          <w:rFonts w:hint="eastAsia" w:hAnsi="宋体" w:cs="Times New Roman"/>
          <w:color w:val="auto"/>
          <w:lang w:val="en-US" w:eastAsia="zh-CN"/>
        </w:rPr>
        <w:t>4.若案涉项目涉及第三人主张质押权、其他案件法院要求协助执行等问题，乙方需一并跟进处理；如因前述问题导致甲方无法正常履行判决而案件进入执行阶段的，则乙方继续代理案件执行阶段。乙方知悉并同意，甲方不再对此另行支付费用。</w:t>
      </w:r>
    </w:p>
    <w:p w14:paraId="7AE23A2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三、付款方式</w:t>
      </w:r>
    </w:p>
    <w:p w14:paraId="3166623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1、乙方每完成一个诉讼阶段的服务后（以收到法院相关法律文书为准），乙方按甲方要求提交请款材料（包括请款报告、等额有效的税率为【6】%的增值税专用发票等），甲方在收到前述材料并确认无误后15个工作日内支付相应款项。</w:t>
      </w:r>
    </w:p>
    <w:p w14:paraId="3A0E8AC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bCs w:val="0"/>
          <w:color w:val="auto"/>
          <w:kern w:val="0"/>
          <w:sz w:val="24"/>
          <w:szCs w:val="24"/>
          <w:lang w:val="en-US" w:eastAsia="zh-CN"/>
        </w:rPr>
        <w:t>特别约定：</w:t>
      </w:r>
      <w:r>
        <w:rPr>
          <w:rFonts w:hint="eastAsia" w:ascii="宋体" w:hAnsi="宋体" w:eastAsia="宋体" w:cs="宋体"/>
          <w:color w:val="auto"/>
          <w:kern w:val="0"/>
          <w:sz w:val="24"/>
          <w:szCs w:val="24"/>
          <w:lang w:val="en-US" w:eastAsia="zh-CN"/>
        </w:rPr>
        <w:t>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6 %）”，对于多出的税款金额，乙方自愿放弃。</w:t>
      </w:r>
    </w:p>
    <w:p w14:paraId="2B08A07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2、本项服务费</w:t>
      </w:r>
      <w:r>
        <w:rPr>
          <w:rFonts w:hint="eastAsia" w:ascii="宋体" w:hAnsi="宋体" w:eastAsia="宋体" w:cs="宋体"/>
          <w:bCs w:val="0"/>
          <w:color w:val="auto"/>
          <w:kern w:val="0"/>
          <w:sz w:val="24"/>
          <w:szCs w:val="24"/>
          <w:lang w:val="en-US" w:eastAsia="zh-CN"/>
        </w:rPr>
        <w:t>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14:paraId="38A51EC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hAnsi="宋体" w:cs="宋体"/>
          <w:bCs w:val="0"/>
          <w:color w:val="auto"/>
          <w:kern w:val="0"/>
          <w:sz w:val="24"/>
          <w:szCs w:val="24"/>
          <w:lang w:val="en-US" w:eastAsia="zh-CN"/>
        </w:rPr>
      </w:pPr>
      <w:r>
        <w:rPr>
          <w:rFonts w:hint="eastAsia" w:hAnsi="宋体" w:cs="宋体"/>
          <w:bCs w:val="0"/>
          <w:color w:val="auto"/>
          <w:kern w:val="0"/>
          <w:sz w:val="24"/>
          <w:szCs w:val="24"/>
          <w:lang w:val="en-US" w:eastAsia="zh-CN"/>
        </w:rPr>
        <w:t>3、乙方的收款信息如下：</w:t>
      </w:r>
    </w:p>
    <w:p w14:paraId="0D0384A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hAnsi="宋体" w:cs="宋体"/>
          <w:bCs w:val="0"/>
          <w:color w:val="auto"/>
          <w:kern w:val="0"/>
          <w:sz w:val="24"/>
          <w:szCs w:val="24"/>
          <w:lang w:val="en-US" w:eastAsia="zh-CN"/>
        </w:rPr>
      </w:pPr>
      <w:r>
        <w:rPr>
          <w:rFonts w:hint="eastAsia" w:hAnsi="宋体" w:cs="宋体"/>
          <w:bCs w:val="0"/>
          <w:color w:val="auto"/>
          <w:kern w:val="0"/>
          <w:sz w:val="24"/>
          <w:szCs w:val="24"/>
          <w:lang w:val="en-US" w:eastAsia="zh-CN"/>
        </w:rPr>
        <w:t>账户名：</w:t>
      </w:r>
    </w:p>
    <w:p w14:paraId="074B490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hAnsi="宋体" w:cs="宋体"/>
          <w:bCs w:val="0"/>
          <w:color w:val="auto"/>
          <w:kern w:val="0"/>
          <w:sz w:val="24"/>
          <w:szCs w:val="24"/>
          <w:lang w:val="en-US" w:eastAsia="zh-CN"/>
        </w:rPr>
      </w:pPr>
      <w:r>
        <w:rPr>
          <w:rFonts w:hint="eastAsia" w:hAnsi="宋体" w:cs="宋体"/>
          <w:bCs w:val="0"/>
          <w:color w:val="auto"/>
          <w:kern w:val="0"/>
          <w:sz w:val="24"/>
          <w:szCs w:val="24"/>
          <w:lang w:val="en-US" w:eastAsia="zh-CN"/>
        </w:rPr>
        <w:t>开户行：</w:t>
      </w:r>
    </w:p>
    <w:p w14:paraId="270729C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hAnsi="宋体" w:cs="宋体"/>
          <w:bCs w:val="0"/>
          <w:color w:val="auto"/>
          <w:kern w:val="0"/>
          <w:sz w:val="24"/>
          <w:szCs w:val="24"/>
          <w:lang w:val="en-US" w:eastAsia="zh-CN"/>
        </w:rPr>
      </w:pPr>
      <w:r>
        <w:rPr>
          <w:rFonts w:hint="eastAsia" w:hAnsi="宋体" w:cs="宋体"/>
          <w:bCs w:val="0"/>
          <w:color w:val="auto"/>
          <w:kern w:val="0"/>
          <w:sz w:val="24"/>
          <w:szCs w:val="24"/>
          <w:lang w:val="en-US" w:eastAsia="zh-CN"/>
        </w:rPr>
        <w:t>账号：</w:t>
      </w:r>
    </w:p>
    <w:p w14:paraId="3D50161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color w:val="auto"/>
          <w:kern w:val="0"/>
          <w:sz w:val="24"/>
          <w:szCs w:val="24"/>
          <w:lang w:eastAsia="zh-CN"/>
        </w:rPr>
        <w:t>乙方确认本合同项下的款项均支付至上述银行账户，甲方将款项支付至乙方指定账户即完成支付义务。如乙方收款账户发生任何变更，乙方应至少提前【5】个工作日书面通知甲方；因未及时通知或因上述银行账户被查封、冻结或发生其他非因甲方原因导致款项未能及时到账的，因此导致的后果由乙方自行承担，与甲方无关。</w:t>
      </w:r>
    </w:p>
    <w:p w14:paraId="0C828D7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4</w:t>
      </w:r>
      <w:r>
        <w:rPr>
          <w:rFonts w:hint="eastAsia" w:ascii="宋体" w:hAnsi="宋体" w:eastAsia="宋体" w:cs="宋体"/>
          <w:bCs w:val="0"/>
          <w:color w:val="auto"/>
          <w:kern w:val="0"/>
          <w:sz w:val="24"/>
          <w:szCs w:val="24"/>
          <w:lang w:val="en-US" w:eastAsia="zh-CN"/>
        </w:rPr>
        <w:t>、合同的履约过程中，乙方根据本合同约定需向甲方支付违约金、赔偿金或其他应付费用等款项的，乙方必须向甲方支付完相关款项后，甲方才根据本合同向乙方支付服务费。若乙方未能支付前述费用，甲方有权直接从未付服务费中扣除，且乙方必须按照扣除前述费用前的服务费开具增值税专用发票，保证增值税税额符合法律规定。</w:t>
      </w:r>
    </w:p>
    <w:p w14:paraId="1E392FA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四、权利义务</w:t>
      </w:r>
    </w:p>
    <w:p w14:paraId="7143B32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（一）甲方的权利义务</w:t>
      </w:r>
    </w:p>
    <w:p w14:paraId="3496A70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1、甲方应当按时足额支付服务费用；</w:t>
      </w:r>
    </w:p>
    <w:p w14:paraId="72EE224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2、甲方有义务如实向乙方叙述案情，为乙方提供必要的协助和配合，并为乙方提供有关</w:t>
      </w:r>
      <w:r>
        <w:rPr>
          <w:rFonts w:hint="eastAsia" w:hAnsi="宋体" w:cs="宋体"/>
          <w:bCs w:val="0"/>
          <w:color w:val="auto"/>
          <w:kern w:val="0"/>
          <w:sz w:val="24"/>
          <w:szCs w:val="24"/>
          <w:lang w:val="en-US" w:eastAsia="zh-CN"/>
        </w:rPr>
        <w:t>本项目授权案件</w:t>
      </w:r>
      <w:r>
        <w:rPr>
          <w:rFonts w:hint="eastAsia" w:ascii="宋体" w:hAnsi="宋体" w:eastAsia="宋体" w:cs="宋体"/>
          <w:bCs w:val="0"/>
          <w:color w:val="auto"/>
          <w:kern w:val="0"/>
          <w:sz w:val="24"/>
          <w:szCs w:val="24"/>
          <w:lang w:val="en-US" w:eastAsia="zh-CN"/>
        </w:rPr>
        <w:t>的证据材料；</w:t>
      </w:r>
    </w:p>
    <w:p w14:paraId="548B4CB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Arial" w:hAnsi="Arial" w:eastAsia="MS Mincho" w:cs="Times New Roman"/>
          <w:kern w:val="0"/>
          <w:sz w:val="20"/>
          <w:szCs w:val="20"/>
          <w:lang w:val="en-US" w:eastAsia="zh-CN"/>
        </w:rPr>
      </w:pPr>
      <w:r>
        <w:rPr>
          <w:rFonts w:hint="eastAsia" w:ascii="宋体" w:hAnsi="宋体" w:eastAsia="宋体" w:cs="宋体"/>
          <w:bCs w:val="0"/>
          <w:color w:val="auto"/>
          <w:kern w:val="0"/>
          <w:sz w:val="24"/>
          <w:szCs w:val="24"/>
          <w:lang w:val="en-US" w:eastAsia="zh-CN"/>
        </w:rPr>
        <w:t>3、甲方</w:t>
      </w:r>
      <w:r>
        <w:rPr>
          <w:rFonts w:hint="eastAsia" w:hAnsi="宋体" w:cs="宋体"/>
          <w:bCs w:val="0"/>
          <w:color w:val="auto"/>
          <w:kern w:val="0"/>
          <w:sz w:val="24"/>
          <w:szCs w:val="24"/>
          <w:lang w:val="en-US" w:eastAsia="zh-CN"/>
        </w:rPr>
        <w:t>与东莞市水务环境投资控股集团有限公司</w:t>
      </w:r>
      <w:r>
        <w:rPr>
          <w:rFonts w:hint="eastAsia" w:ascii="宋体" w:hAnsi="宋体" w:eastAsia="宋体" w:cs="宋体"/>
          <w:bCs w:val="0"/>
          <w:color w:val="auto"/>
          <w:kern w:val="0"/>
          <w:sz w:val="24"/>
          <w:szCs w:val="24"/>
          <w:lang w:val="en-US" w:eastAsia="zh-CN"/>
        </w:rPr>
        <w:t>有权按照《东莞市水务集团专项法律服务/诉讼代理服务单位考核评价表》（附件</w:t>
      </w:r>
      <w:r>
        <w:rPr>
          <w:rFonts w:hint="eastAsia" w:hAnsi="宋体" w:cs="宋体"/>
          <w:bCs w:val="0"/>
          <w:color w:val="auto"/>
          <w:kern w:val="0"/>
          <w:sz w:val="24"/>
          <w:szCs w:val="24"/>
          <w:lang w:val="en-US" w:eastAsia="zh-CN"/>
        </w:rPr>
        <w:t>4</w:t>
      </w:r>
      <w:r>
        <w:rPr>
          <w:rFonts w:hint="eastAsia" w:ascii="宋体" w:hAnsi="宋体" w:eastAsia="宋体" w:cs="宋体"/>
          <w:bCs w:val="0"/>
          <w:color w:val="auto"/>
          <w:kern w:val="0"/>
          <w:sz w:val="24"/>
          <w:szCs w:val="24"/>
          <w:lang w:val="en-US" w:eastAsia="zh-CN"/>
        </w:rPr>
        <w:t>）进行考核评分。考核得分为不合格的（70分以下），甲方有权提前解除合同。</w:t>
      </w:r>
    </w:p>
    <w:p w14:paraId="052455F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（二）乙方的权利义务</w:t>
      </w:r>
    </w:p>
    <w:p w14:paraId="5275D0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1、</w:t>
      </w:r>
      <w:r>
        <w:rPr>
          <w:rFonts w:hint="eastAsia" w:ascii="宋体" w:hAnsi="宋体" w:eastAsia="宋体" w:cs="宋体"/>
          <w:bCs w:val="0"/>
          <w:color w:val="auto"/>
          <w:kern w:val="0"/>
          <w:sz w:val="24"/>
          <w:szCs w:val="24"/>
          <w:lang w:eastAsia="zh-CN"/>
        </w:rPr>
        <w:t>乙方应按照本</w:t>
      </w:r>
      <w:r>
        <w:rPr>
          <w:rFonts w:hint="eastAsia" w:ascii="宋体" w:hAnsi="宋体" w:eastAsia="宋体" w:cs="宋体"/>
          <w:bCs w:val="0"/>
          <w:color w:val="auto"/>
          <w:kern w:val="0"/>
          <w:sz w:val="24"/>
          <w:szCs w:val="24"/>
          <w:lang w:val="en-US" w:eastAsia="zh-CN"/>
        </w:rPr>
        <w:t>合同</w:t>
      </w:r>
      <w:r>
        <w:rPr>
          <w:rFonts w:hint="eastAsia" w:ascii="宋体" w:hAnsi="宋体" w:eastAsia="宋体" w:cs="宋体"/>
          <w:bCs w:val="0"/>
          <w:color w:val="auto"/>
          <w:kern w:val="0"/>
          <w:sz w:val="24"/>
          <w:szCs w:val="24"/>
          <w:lang w:eastAsia="zh-CN"/>
        </w:rPr>
        <w:t>约定</w:t>
      </w:r>
      <w:r>
        <w:rPr>
          <w:rFonts w:hint="eastAsia" w:ascii="宋体" w:hAnsi="宋体" w:eastAsia="宋体" w:cs="宋体"/>
          <w:bCs w:val="0"/>
          <w:color w:val="auto"/>
          <w:kern w:val="0"/>
          <w:sz w:val="24"/>
          <w:szCs w:val="24"/>
          <w:lang w:val="en-US" w:eastAsia="zh-CN"/>
        </w:rPr>
        <w:t>和甲方要求</w:t>
      </w:r>
      <w:r>
        <w:rPr>
          <w:rFonts w:hint="eastAsia" w:ascii="宋体" w:hAnsi="宋体" w:eastAsia="宋体" w:cs="宋体"/>
          <w:bCs w:val="0"/>
          <w:color w:val="auto"/>
          <w:kern w:val="0"/>
          <w:sz w:val="24"/>
          <w:szCs w:val="24"/>
          <w:lang w:eastAsia="zh-CN"/>
        </w:rPr>
        <w:t>完成</w:t>
      </w:r>
      <w:r>
        <w:rPr>
          <w:rFonts w:hint="eastAsia" w:ascii="宋体" w:hAnsi="宋体" w:eastAsia="宋体" w:cs="宋体"/>
          <w:bCs w:val="0"/>
          <w:color w:val="auto"/>
          <w:kern w:val="0"/>
          <w:sz w:val="24"/>
          <w:szCs w:val="24"/>
          <w:lang w:val="en-US" w:eastAsia="zh-CN"/>
        </w:rPr>
        <w:t>服务</w:t>
      </w:r>
      <w:r>
        <w:rPr>
          <w:rFonts w:hint="eastAsia" w:ascii="宋体" w:hAnsi="宋体" w:eastAsia="宋体" w:cs="宋体"/>
          <w:bCs w:val="0"/>
          <w:color w:val="auto"/>
          <w:kern w:val="0"/>
          <w:sz w:val="24"/>
          <w:szCs w:val="24"/>
          <w:lang w:eastAsia="zh-CN"/>
        </w:rPr>
        <w:t>内容；</w:t>
      </w:r>
    </w:p>
    <w:p w14:paraId="61989FC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2、乙方律师应依法维护甲方的合法权益，全力负责完成代理事项，保守甲方商业秘密及保存好甲方提供的诉讼证据材料</w:t>
      </w:r>
      <w:r>
        <w:rPr>
          <w:rFonts w:hint="eastAsia" w:hAnsi="宋体" w:cs="宋体"/>
          <w:bCs w:val="0"/>
          <w:color w:val="auto"/>
          <w:kern w:val="0"/>
          <w:sz w:val="24"/>
          <w:szCs w:val="24"/>
          <w:lang w:val="en-US" w:eastAsia="zh-CN"/>
        </w:rPr>
        <w:t>；</w:t>
      </w:r>
    </w:p>
    <w:p w14:paraId="0472C00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3、乙方应当及时就委托事项向甲方提供书面或口头的法律意见、工作进展汇报等。</w:t>
      </w:r>
    </w:p>
    <w:p w14:paraId="71DCAF4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五、违约责任</w:t>
      </w:r>
    </w:p>
    <w:p w14:paraId="0140EA6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default"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1、乙方办理委托事宜期间及委托事项办理完结后，应严格遵守律师职业道德，确保提供的服务符合合同约定或甲方要求，如乙方提供的服务违反法律法规</w:t>
      </w:r>
      <w:r>
        <w:rPr>
          <w:rFonts w:hint="eastAsia" w:hAnsi="宋体" w:cs="宋体"/>
          <w:bCs w:val="0"/>
          <w:color w:val="auto"/>
          <w:kern w:val="0"/>
          <w:sz w:val="24"/>
          <w:szCs w:val="24"/>
          <w:lang w:val="en-US" w:eastAsia="zh-CN"/>
        </w:rPr>
        <w:t>、</w:t>
      </w:r>
      <w:r>
        <w:rPr>
          <w:rFonts w:hint="eastAsia" w:ascii="宋体" w:hAnsi="宋体" w:eastAsia="宋体" w:cs="宋体"/>
          <w:bCs w:val="0"/>
          <w:color w:val="auto"/>
          <w:kern w:val="0"/>
          <w:sz w:val="24"/>
          <w:szCs w:val="24"/>
          <w:lang w:val="en-US" w:eastAsia="zh-CN"/>
        </w:rPr>
        <w:t>相关政策性文件规定或</w:t>
      </w:r>
      <w:r>
        <w:rPr>
          <w:rFonts w:hint="eastAsia" w:hAnsi="宋体" w:cs="宋体"/>
          <w:bCs w:val="0"/>
          <w:color w:val="auto"/>
          <w:kern w:val="0"/>
          <w:sz w:val="24"/>
          <w:szCs w:val="24"/>
          <w:lang w:val="en-US" w:eastAsia="zh-CN"/>
        </w:rPr>
        <w:t>合同约定的</w:t>
      </w:r>
      <w:r>
        <w:rPr>
          <w:rFonts w:hint="eastAsia" w:ascii="宋体" w:hAnsi="宋体" w:eastAsia="宋体" w:cs="宋体"/>
          <w:bCs w:val="0"/>
          <w:color w:val="auto"/>
          <w:kern w:val="0"/>
          <w:sz w:val="24"/>
          <w:szCs w:val="24"/>
          <w:lang w:val="en-US" w:eastAsia="zh-CN"/>
        </w:rPr>
        <w:t>，</w:t>
      </w:r>
      <w:r>
        <w:rPr>
          <w:rFonts w:hint="eastAsia" w:ascii="宋体" w:hAnsi="宋体" w:eastAsia="宋体" w:cs="宋体"/>
          <w:bCs w:val="0"/>
          <w:color w:val="auto"/>
          <w:kern w:val="0"/>
          <w:sz w:val="24"/>
          <w:szCs w:val="24"/>
          <w:lang w:eastAsia="zh-CN"/>
        </w:rPr>
        <w:t>甲方有权解除本合同，乙方应退还甲方已支付的全部费用，同时向甲方支付</w:t>
      </w:r>
      <w:r>
        <w:rPr>
          <w:rFonts w:hint="eastAsia" w:ascii="宋体" w:hAnsi="宋体" w:eastAsia="宋体" w:cs="宋体"/>
          <w:bCs w:val="0"/>
          <w:color w:val="auto"/>
          <w:kern w:val="0"/>
          <w:sz w:val="24"/>
          <w:szCs w:val="24"/>
          <w:lang w:val="en-US" w:eastAsia="zh-CN"/>
        </w:rPr>
        <w:t>20000元</w:t>
      </w:r>
      <w:r>
        <w:rPr>
          <w:rFonts w:hint="eastAsia" w:ascii="宋体" w:hAnsi="宋体" w:eastAsia="宋体" w:cs="宋体"/>
          <w:bCs w:val="0"/>
          <w:color w:val="auto"/>
          <w:kern w:val="0"/>
          <w:sz w:val="24"/>
          <w:szCs w:val="24"/>
          <w:lang w:eastAsia="zh-CN"/>
        </w:rPr>
        <w:t>违约金。</w:t>
      </w:r>
      <w:r>
        <w:rPr>
          <w:rFonts w:hint="eastAsia" w:ascii="宋体" w:hAnsi="宋体" w:eastAsia="宋体" w:cs="宋体"/>
          <w:bCs w:val="0"/>
          <w:color w:val="auto"/>
          <w:kern w:val="0"/>
          <w:sz w:val="24"/>
          <w:szCs w:val="24"/>
          <w:lang w:val="en-US" w:eastAsia="zh-CN"/>
        </w:rPr>
        <w:t>违约金不足以弥补甲方损失的，乙方应就不足部分向甲方予以赔偿。</w:t>
      </w:r>
    </w:p>
    <w:p w14:paraId="0EFE435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bCs w:val="0"/>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hAnsi="宋体" w:cs="宋体"/>
          <w:color w:val="auto"/>
          <w:kern w:val="0"/>
          <w:sz w:val="24"/>
          <w:szCs w:val="24"/>
          <w:lang w:val="en-US" w:eastAsia="zh-CN"/>
        </w:rPr>
        <w:t>乙方应</w:t>
      </w:r>
      <w:r>
        <w:rPr>
          <w:rFonts w:hint="eastAsia" w:ascii="宋体" w:hAnsi="宋体" w:eastAsia="宋体" w:cs="宋体"/>
          <w:color w:val="auto"/>
          <w:kern w:val="0"/>
          <w:sz w:val="24"/>
          <w:szCs w:val="24"/>
          <w:lang w:eastAsia="zh-CN"/>
        </w:rPr>
        <w:t>加强对其人员的管理，保证具有履行本合同的资质能力。如因资质丧失（包括但不限于注销、撤销、降低、法律变化或政策调整等），甲方有权解除本合同，并另行委托有资质的第三方继续进行（乙方应无条件配合移交相关工作），由此造成的损失由乙方承担。</w:t>
      </w:r>
    </w:p>
    <w:p w14:paraId="3962F9F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3、如</w:t>
      </w:r>
      <w:r>
        <w:rPr>
          <w:rFonts w:hint="eastAsia" w:ascii="宋体" w:hAnsi="宋体" w:eastAsia="宋体" w:cs="宋体"/>
          <w:bCs w:val="0"/>
          <w:color w:val="auto"/>
          <w:kern w:val="0"/>
          <w:sz w:val="24"/>
          <w:szCs w:val="24"/>
          <w:lang w:eastAsia="zh-CN"/>
        </w:rPr>
        <w:t>乙方</w:t>
      </w:r>
      <w:r>
        <w:rPr>
          <w:rFonts w:hint="eastAsia" w:ascii="宋体" w:hAnsi="宋体" w:eastAsia="宋体" w:cs="宋体"/>
          <w:bCs w:val="0"/>
          <w:color w:val="auto"/>
          <w:kern w:val="0"/>
          <w:sz w:val="24"/>
          <w:szCs w:val="24"/>
          <w:lang w:val="en-US" w:eastAsia="zh-CN"/>
        </w:rPr>
        <w:t>无正当理由</w:t>
      </w:r>
      <w:r>
        <w:rPr>
          <w:rFonts w:hint="eastAsia" w:ascii="宋体" w:hAnsi="宋体" w:eastAsia="宋体" w:cs="宋体"/>
          <w:bCs w:val="0"/>
          <w:color w:val="auto"/>
          <w:kern w:val="0"/>
          <w:sz w:val="24"/>
          <w:szCs w:val="24"/>
          <w:lang w:eastAsia="zh-CN"/>
        </w:rPr>
        <w:t>擅自中止、终止或解除合同的，乙方应退还甲方已支付的全部费用，</w:t>
      </w:r>
      <w:r>
        <w:rPr>
          <w:rFonts w:hint="eastAsia" w:ascii="宋体" w:hAnsi="宋体" w:eastAsia="宋体" w:cs="宋体"/>
          <w:bCs w:val="0"/>
          <w:color w:val="auto"/>
          <w:kern w:val="0"/>
          <w:sz w:val="24"/>
          <w:szCs w:val="24"/>
          <w:lang w:val="en-US" w:eastAsia="zh-CN"/>
        </w:rPr>
        <w:t>同时向甲方支付20000元违约金。违约金不足以弥补甲方损失的，乙方应就不足部分向甲方予以赔偿。</w:t>
      </w:r>
    </w:p>
    <w:p w14:paraId="7D1D880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4</w:t>
      </w:r>
      <w:r>
        <w:rPr>
          <w:rFonts w:hint="eastAsia" w:ascii="宋体" w:hAnsi="宋体" w:eastAsia="宋体" w:cs="宋体"/>
          <w:bCs w:val="0"/>
          <w:color w:val="auto"/>
          <w:kern w:val="0"/>
          <w:sz w:val="24"/>
          <w:szCs w:val="24"/>
          <w:lang w:val="en-US" w:eastAsia="zh-CN"/>
        </w:rPr>
        <w:t>、因乙方违反本合同产生的违约金、赔偿金等，甲方有权在未付款项中直接扣除，如造成甲方损失，甲方实际损失高于违约金的，甲方有权另行追偿。</w:t>
      </w:r>
    </w:p>
    <w:p w14:paraId="3F7CA9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default"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 xml:space="preserve">5、如因乙方原因，导致发生法律纠纷案件，甲方被列为承担责任的诉讼当事人，或造成社会负面影响的，视为乙方违约，甲方有权向乙方收取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23079B8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六、保密责任</w:t>
      </w:r>
    </w:p>
    <w:p w14:paraId="4A19633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1、甲、乙双方对对方所提供的资料、数据等均负有保密义务，未经另一方同意，不得向任何第三方泄露。</w:t>
      </w:r>
    </w:p>
    <w:p w14:paraId="5D19ECD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2、未经甲方同意，乙方不得将其任何相关资料透露给合同以外的第三方或用于本合同以外的其他地方，否则，视为乙方违约，乙方应承担因此产生的一切后果及全部赔偿责任。</w:t>
      </w:r>
    </w:p>
    <w:p w14:paraId="7EC0B2E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3、若出现泄密情况，守约方有权追究泄密方相关经济赔偿责任及其他法律责任。</w:t>
      </w:r>
    </w:p>
    <w:p w14:paraId="0B4D2C4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4、本合同保密条款不因本合同终止而终止失效，直至相关保密信息被合法公开之日</w:t>
      </w:r>
      <w:r>
        <w:rPr>
          <w:rFonts w:hint="eastAsia" w:hAnsi="宋体" w:cs="宋体"/>
          <w:b w:val="0"/>
          <w:bCs w:val="0"/>
          <w:color w:val="auto"/>
          <w:kern w:val="0"/>
          <w:sz w:val="24"/>
          <w:szCs w:val="24"/>
          <w:lang w:val="en-US" w:eastAsia="zh-CN"/>
        </w:rPr>
        <w:t>为</w:t>
      </w:r>
      <w:r>
        <w:rPr>
          <w:rFonts w:hint="eastAsia" w:ascii="宋体" w:hAnsi="宋体" w:eastAsia="宋体" w:cs="宋体"/>
          <w:b w:val="0"/>
          <w:bCs w:val="0"/>
          <w:color w:val="auto"/>
          <w:kern w:val="0"/>
          <w:sz w:val="24"/>
          <w:szCs w:val="24"/>
          <w:lang w:val="en-US" w:eastAsia="zh-CN"/>
        </w:rPr>
        <w:t>止。</w:t>
      </w:r>
    </w:p>
    <w:p w14:paraId="21CADF5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七、争议的解决</w:t>
      </w:r>
    </w:p>
    <w:p w14:paraId="5F494E6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1、因合同履行中发生的争议，可通过合同当事人双方友好协商解决。协商不成的，任何一方可向甲方所在地有管辖权人</w:t>
      </w:r>
      <w:r>
        <w:rPr>
          <w:rFonts w:hint="eastAsia" w:ascii="宋体" w:hAnsi="宋体" w:eastAsia="宋体" w:cs="宋体"/>
          <w:bCs w:val="0"/>
          <w:color w:val="auto"/>
          <w:kern w:val="0"/>
          <w:sz w:val="24"/>
          <w:szCs w:val="24"/>
          <w:lang w:val="en-US" w:eastAsia="zh-CN"/>
        </w:rPr>
        <w:fldChar w:fldCharType="begin"/>
      </w:r>
      <w:r>
        <w:rPr>
          <w:rFonts w:hint="eastAsia" w:ascii="宋体" w:hAnsi="宋体" w:eastAsia="宋体" w:cs="宋体"/>
          <w:bCs w:val="0"/>
          <w:color w:val="auto"/>
          <w:kern w:val="0"/>
          <w:sz w:val="24"/>
          <w:szCs w:val="24"/>
          <w:lang w:val="en-US" w:eastAsia="zh-CN"/>
        </w:rPr>
        <w:instrText xml:space="preserve"> HYPERLINK "http://www.chinalawedu.com/web/23243/" \t "_blank" \o "民法" </w:instrText>
      </w:r>
      <w:r>
        <w:rPr>
          <w:rFonts w:hint="eastAsia" w:ascii="宋体" w:hAnsi="宋体" w:eastAsia="宋体" w:cs="宋体"/>
          <w:bCs w:val="0"/>
          <w:color w:val="auto"/>
          <w:kern w:val="0"/>
          <w:sz w:val="24"/>
          <w:szCs w:val="24"/>
          <w:lang w:val="en-US" w:eastAsia="zh-CN"/>
        </w:rPr>
        <w:fldChar w:fldCharType="separate"/>
      </w:r>
      <w:r>
        <w:rPr>
          <w:rFonts w:hint="eastAsia" w:ascii="宋体" w:hAnsi="宋体" w:eastAsia="宋体" w:cs="宋体"/>
          <w:bCs w:val="0"/>
          <w:color w:val="auto"/>
          <w:kern w:val="0"/>
          <w:sz w:val="24"/>
          <w:szCs w:val="24"/>
          <w:lang w:val="en-US" w:eastAsia="zh-CN"/>
        </w:rPr>
        <w:t>民法</w:t>
      </w:r>
      <w:r>
        <w:rPr>
          <w:rFonts w:hint="eastAsia" w:ascii="宋体" w:hAnsi="宋体" w:eastAsia="宋体" w:cs="宋体"/>
          <w:bCs w:val="0"/>
          <w:color w:val="auto"/>
          <w:kern w:val="0"/>
          <w:sz w:val="24"/>
          <w:szCs w:val="24"/>
          <w:lang w:val="en-US" w:eastAsia="zh-CN"/>
        </w:rPr>
        <w:fldChar w:fldCharType="end"/>
      </w:r>
      <w:r>
        <w:rPr>
          <w:rFonts w:hint="eastAsia" w:ascii="宋体" w:hAnsi="宋体" w:eastAsia="宋体" w:cs="宋体"/>
          <w:bCs w:val="0"/>
          <w:color w:val="auto"/>
          <w:kern w:val="0"/>
          <w:sz w:val="24"/>
          <w:szCs w:val="24"/>
          <w:lang w:val="en-US" w:eastAsia="zh-CN"/>
        </w:rPr>
        <w:t>院提起诉讼。</w:t>
      </w:r>
    </w:p>
    <w:p w14:paraId="0E40B29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2、守约方为解决争议而支出的诉讼费、仲裁费、律师费、公证费、保全费、担保费、鉴证费、调查取证费、差旅费等费用均由违约方承担。</w:t>
      </w:r>
    </w:p>
    <w:p w14:paraId="342071E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八、送达</w:t>
      </w:r>
    </w:p>
    <w:p w14:paraId="6A384D1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本合同约定的送达地址，其适用范围包括双方非诉时各类通知、协议等文件以及就合同发生纠纷时相关文件和法律文书的送达，同时包括在争议进入仲裁、民事诉讼程序后的一审、二审、再审和执行程序。具体如下：</w:t>
      </w:r>
    </w:p>
    <w:p w14:paraId="4E806D13">
      <w:pPr>
        <w:keepNext w:val="0"/>
        <w:keepLines w:val="0"/>
        <w:pageBreakBefore w:val="0"/>
        <w:widowControl w:val="0"/>
        <w:kinsoku/>
        <w:wordWrap/>
        <w:overflowPunct/>
        <w:topLinePunct w:val="0"/>
        <w:autoSpaceDE/>
        <w:autoSpaceDN/>
        <w:bidi w:val="0"/>
        <w:adjustRightInd w:val="0"/>
        <w:snapToGrid w:val="0"/>
        <w:spacing w:before="0" w:line="560" w:lineRule="exact"/>
        <w:ind w:left="0" w:firstLine="480" w:firstLineChars="200"/>
        <w:jc w:val="both"/>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 xml:space="preserve">（1）甲方确认其有效的送达地址为【 </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】；联系人：【</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】；联系电话【</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w:t>
      </w:r>
      <w:r>
        <w:rPr>
          <w:rFonts w:hint="eastAsia"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rPr>
        <w:t>电子邮箱【】。</w:t>
      </w:r>
    </w:p>
    <w:p w14:paraId="44B5D7C7">
      <w:pPr>
        <w:keepNext w:val="0"/>
        <w:keepLines w:val="0"/>
        <w:pageBreakBefore w:val="0"/>
        <w:widowControl w:val="0"/>
        <w:kinsoku/>
        <w:wordWrap/>
        <w:overflowPunct/>
        <w:topLinePunct w:val="0"/>
        <w:autoSpaceDE/>
        <w:autoSpaceDN/>
        <w:bidi w:val="0"/>
        <w:adjustRightInd w:val="0"/>
        <w:snapToGrid w:val="0"/>
        <w:spacing w:before="0" w:line="560" w:lineRule="exact"/>
        <w:ind w:left="0" w:firstLine="480" w:firstLineChars="200"/>
        <w:jc w:val="both"/>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（2）乙方确认其有效的送达地址为【</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】；联系人：【</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】；联系电话【】；电子邮箱【】。</w:t>
      </w:r>
    </w:p>
    <w:p w14:paraId="5FB81C83">
      <w:pPr>
        <w:keepNext w:val="0"/>
        <w:keepLines w:val="0"/>
        <w:pageBreakBefore w:val="0"/>
        <w:widowControl w:val="0"/>
        <w:kinsoku/>
        <w:wordWrap/>
        <w:overflowPunct/>
        <w:topLinePunct w:val="0"/>
        <w:autoSpaceDE/>
        <w:autoSpaceDN/>
        <w:bidi w:val="0"/>
        <w:adjustRightInd w:val="0"/>
        <w:snapToGrid w:val="0"/>
        <w:spacing w:before="0" w:line="560" w:lineRule="exact"/>
        <w:ind w:left="0" w:firstLine="480" w:firstLineChars="200"/>
        <w:jc w:val="both"/>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信函寄出三日后视为送达，其他方式发出之日即视为送达，实际收到时间更早的，以实际收到时间为送达时间。一方无故拒收或无法联系或联系方式错误等原因导致无法送达的，仍视为已送达；无论是否为对方签收还是第三人签收，都被认为十分确定地送达给了对方；一方联系方式变更的，应当提前书面通知对方，否则视为未变更，由变更方承担不利后果。</w:t>
      </w:r>
    </w:p>
    <w:p w14:paraId="53C6B28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Arial" w:hAnsi="Arial" w:eastAsia="MS Mincho" w:cs="Times New Roman"/>
          <w:kern w:val="0"/>
          <w:sz w:val="20"/>
          <w:szCs w:val="20"/>
          <w:lang w:val="en-US" w:eastAsia="zh-CN"/>
        </w:rPr>
      </w:pPr>
      <w:r>
        <w:rPr>
          <w:rFonts w:hint="eastAsia" w:ascii="宋体" w:hAnsi="宋体" w:eastAsia="宋体" w:cs="宋体"/>
          <w:b w:val="0"/>
          <w:bCs w:val="0"/>
          <w:color w:val="auto"/>
          <w:kern w:val="0"/>
          <w:sz w:val="24"/>
          <w:szCs w:val="24"/>
          <w:lang w:val="en-US" w:eastAsia="zh-CN"/>
        </w:rPr>
        <w:t>3、本条款具有独立法律效力，不因合同其他条款的无效而无效。</w:t>
      </w:r>
    </w:p>
    <w:p w14:paraId="187ED42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九、其他</w:t>
      </w:r>
    </w:p>
    <w:p w14:paraId="19C7872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val="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eastAsia="zh-CN"/>
        </w:rPr>
        <w:t>1、本合同未尽事宜，双方可签订补充协议作为附件，补充协议与本合同</w:t>
      </w:r>
      <w:r>
        <w:rPr>
          <w:rFonts w:hint="eastAsia" w:ascii="宋体" w:hAnsi="宋体" w:eastAsia="宋体" w:cs="宋体"/>
          <w:bCs w:val="0"/>
          <w:color w:val="auto"/>
          <w:kern w:val="0"/>
          <w:sz w:val="24"/>
          <w:szCs w:val="24"/>
          <w:lang w:val="en-US" w:eastAsia="zh-CN"/>
        </w:rPr>
        <w:t>同具</w:t>
      </w:r>
      <w:r>
        <w:rPr>
          <w:rFonts w:hint="eastAsia" w:ascii="宋体" w:hAnsi="宋体" w:eastAsia="宋体" w:cs="宋体"/>
          <w:bCs w:val="0"/>
          <w:color w:val="auto"/>
          <w:kern w:val="0"/>
          <w:sz w:val="24"/>
          <w:szCs w:val="24"/>
          <w:lang w:eastAsia="zh-CN"/>
        </w:rPr>
        <w:t>法律效力。</w:t>
      </w:r>
    </w:p>
    <w:p w14:paraId="3AF7FBD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val="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eastAsia="zh-CN"/>
        </w:rPr>
        <w:t>2、本合同附件与本合同同具法律效力，本合同与附件互为补充，如有冲突，以其中标准及要求高者以及利于甲方的约定优先。</w:t>
      </w:r>
    </w:p>
    <w:p w14:paraId="4085869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val="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3、</w:t>
      </w:r>
      <w:r>
        <w:rPr>
          <w:rFonts w:hint="eastAsia" w:ascii="宋体" w:hAnsi="宋体" w:eastAsia="宋体" w:cs="宋体"/>
          <w:bCs w:val="0"/>
          <w:color w:val="auto"/>
          <w:kern w:val="0"/>
          <w:sz w:val="24"/>
          <w:szCs w:val="24"/>
          <w:lang w:eastAsia="zh-CN"/>
        </w:rPr>
        <w:t>本合同由</w:t>
      </w:r>
      <w:r>
        <w:rPr>
          <w:rFonts w:hint="eastAsia" w:ascii="宋体" w:hAnsi="宋体" w:eastAsia="宋体" w:cs="宋体"/>
          <w:bCs w:val="0"/>
          <w:color w:val="auto"/>
          <w:kern w:val="0"/>
          <w:sz w:val="24"/>
          <w:szCs w:val="24"/>
          <w:lang w:val="en-US" w:eastAsia="zh-CN"/>
        </w:rPr>
        <w:t>甲乙双方</w:t>
      </w:r>
      <w:r>
        <w:rPr>
          <w:rFonts w:hint="eastAsia" w:ascii="宋体" w:hAnsi="宋体" w:eastAsia="宋体" w:cs="宋体"/>
          <w:bCs w:val="0"/>
          <w:color w:val="auto"/>
          <w:kern w:val="0"/>
          <w:sz w:val="24"/>
          <w:szCs w:val="24"/>
          <w:lang w:eastAsia="zh-CN"/>
        </w:rPr>
        <w:t>签字</w:t>
      </w:r>
      <w:r>
        <w:rPr>
          <w:rFonts w:hint="eastAsia" w:ascii="宋体" w:hAnsi="宋体" w:eastAsia="宋体" w:cs="宋体"/>
          <w:bCs w:val="0"/>
          <w:color w:val="auto"/>
          <w:kern w:val="0"/>
          <w:sz w:val="24"/>
          <w:szCs w:val="24"/>
          <w:lang w:val="en-US" w:eastAsia="zh-CN"/>
        </w:rPr>
        <w:t>并</w:t>
      </w:r>
      <w:r>
        <w:rPr>
          <w:rFonts w:hint="eastAsia" w:ascii="宋体" w:hAnsi="宋体" w:eastAsia="宋体" w:cs="宋体"/>
          <w:bCs w:val="0"/>
          <w:color w:val="auto"/>
          <w:kern w:val="0"/>
          <w:sz w:val="24"/>
          <w:szCs w:val="24"/>
          <w:lang w:eastAsia="zh-CN"/>
        </w:rPr>
        <w:t>盖章后生效，至双方均完成应履行之合约义务后终止。本合同一式</w:t>
      </w:r>
      <w:r>
        <w:rPr>
          <w:rFonts w:hint="default" w:ascii="宋体" w:hAnsi="宋体" w:eastAsia="宋体" w:cs="宋体"/>
          <w:bCs w:val="0"/>
          <w:color w:val="auto"/>
          <w:kern w:val="0"/>
          <w:sz w:val="24"/>
          <w:szCs w:val="24"/>
          <w:u w:val="single"/>
          <w:lang w:val="en-US" w:eastAsia="zh-CN"/>
        </w:rPr>
        <w:t>伍</w:t>
      </w:r>
      <w:r>
        <w:rPr>
          <w:rFonts w:hint="eastAsia" w:ascii="宋体" w:hAnsi="宋体" w:eastAsia="宋体" w:cs="宋体"/>
          <w:bCs w:val="0"/>
          <w:color w:val="auto"/>
          <w:kern w:val="0"/>
          <w:sz w:val="24"/>
          <w:szCs w:val="24"/>
          <w:lang w:eastAsia="zh-CN"/>
        </w:rPr>
        <w:t>份，</w:t>
      </w:r>
      <w:r>
        <w:rPr>
          <w:rFonts w:hint="eastAsia" w:ascii="宋体" w:hAnsi="宋体" w:eastAsia="宋体" w:cs="宋体"/>
          <w:bCs w:val="0"/>
          <w:color w:val="auto"/>
          <w:kern w:val="0"/>
          <w:sz w:val="24"/>
          <w:szCs w:val="24"/>
          <w:lang w:val="en-US" w:eastAsia="zh-CN"/>
        </w:rPr>
        <w:t>甲方执</w:t>
      </w:r>
      <w:r>
        <w:rPr>
          <w:rFonts w:hint="default" w:ascii="宋体" w:hAnsi="宋体" w:eastAsia="宋体" w:cs="宋体"/>
          <w:bCs w:val="0"/>
          <w:color w:val="auto"/>
          <w:kern w:val="0"/>
          <w:sz w:val="24"/>
          <w:szCs w:val="24"/>
          <w:u w:val="single"/>
          <w:lang w:val="en-US" w:eastAsia="zh-CN"/>
        </w:rPr>
        <w:t>叁</w:t>
      </w:r>
      <w:r>
        <w:rPr>
          <w:rFonts w:hint="eastAsia" w:ascii="宋体" w:hAnsi="宋体" w:eastAsia="宋体" w:cs="宋体"/>
          <w:bCs w:val="0"/>
          <w:color w:val="auto"/>
          <w:kern w:val="0"/>
          <w:sz w:val="24"/>
          <w:szCs w:val="24"/>
          <w:lang w:val="en-US" w:eastAsia="zh-CN"/>
        </w:rPr>
        <w:t>份，乙方执</w:t>
      </w:r>
      <w:r>
        <w:rPr>
          <w:rFonts w:hint="eastAsia" w:ascii="宋体" w:hAnsi="宋体" w:eastAsia="宋体" w:cs="宋体"/>
          <w:bCs w:val="0"/>
          <w:color w:val="auto"/>
          <w:kern w:val="0"/>
          <w:sz w:val="24"/>
          <w:szCs w:val="24"/>
          <w:u w:val="single"/>
          <w:lang w:val="en-US" w:eastAsia="zh-CN"/>
        </w:rPr>
        <w:t>贰</w:t>
      </w:r>
      <w:r>
        <w:rPr>
          <w:rFonts w:hint="eastAsia" w:ascii="宋体" w:hAnsi="宋体" w:eastAsia="宋体" w:cs="宋体"/>
          <w:bCs w:val="0"/>
          <w:color w:val="auto"/>
          <w:kern w:val="0"/>
          <w:sz w:val="24"/>
          <w:szCs w:val="24"/>
          <w:lang w:val="en-US" w:eastAsia="zh-CN"/>
        </w:rPr>
        <w:t>份</w:t>
      </w:r>
      <w:r>
        <w:rPr>
          <w:rFonts w:hint="eastAsia" w:ascii="宋体" w:hAnsi="宋体" w:eastAsia="宋体" w:cs="宋体"/>
          <w:bCs w:val="0"/>
          <w:color w:val="auto"/>
          <w:kern w:val="0"/>
          <w:sz w:val="24"/>
          <w:szCs w:val="24"/>
          <w:lang w:eastAsia="zh-CN"/>
        </w:rPr>
        <w:t>，具有同等法律效力。</w:t>
      </w:r>
    </w:p>
    <w:p w14:paraId="43148F13">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bidi="ar-SA"/>
        </w:rPr>
      </w:pPr>
      <w:r>
        <w:rPr>
          <w:rFonts w:hint="eastAsia" w:ascii="宋体" w:hAnsi="宋体" w:eastAsia="宋体" w:cs="宋体"/>
          <w:bCs w:val="0"/>
          <w:color w:val="auto"/>
          <w:kern w:val="0"/>
          <w:sz w:val="24"/>
          <w:szCs w:val="24"/>
          <w:lang w:val="en-US" w:eastAsia="zh-CN" w:bidi="ar-SA"/>
        </w:rPr>
        <w:t>附件：</w:t>
      </w:r>
    </w:p>
    <w:p w14:paraId="5B9A3E81">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default" w:ascii="宋体" w:hAnsi="宋体" w:eastAsia="宋体" w:cs="宋体"/>
          <w:bCs w:val="0"/>
          <w:color w:val="auto"/>
          <w:kern w:val="0"/>
          <w:sz w:val="24"/>
          <w:szCs w:val="24"/>
          <w:lang w:val="en-US" w:eastAsia="zh-CN" w:bidi="ar-SA"/>
        </w:rPr>
      </w:pPr>
      <w:r>
        <w:rPr>
          <w:rFonts w:hint="eastAsia" w:ascii="宋体" w:hAnsi="宋体" w:eastAsia="宋体" w:cs="宋体"/>
          <w:bCs w:val="0"/>
          <w:color w:val="auto"/>
          <w:kern w:val="0"/>
          <w:sz w:val="24"/>
          <w:szCs w:val="24"/>
          <w:lang w:val="en-US" w:eastAsia="zh-CN" w:bidi="ar-SA"/>
        </w:rPr>
        <w:t>1、报价</w:t>
      </w:r>
      <w:r>
        <w:rPr>
          <w:rFonts w:hint="eastAsia" w:hAnsi="宋体" w:cs="宋体"/>
          <w:bCs w:val="0"/>
          <w:color w:val="auto"/>
          <w:kern w:val="0"/>
          <w:sz w:val="24"/>
          <w:szCs w:val="24"/>
          <w:lang w:val="en-US" w:eastAsia="zh-CN" w:bidi="ar-SA"/>
        </w:rPr>
        <w:t>文件</w:t>
      </w:r>
    </w:p>
    <w:p w14:paraId="54B42729">
      <w:pPr>
        <w:keepNext w:val="0"/>
        <w:keepLines w:val="0"/>
        <w:pageBreakBefore w:val="0"/>
        <w:tabs>
          <w:tab w:val="left" w:pos="955"/>
        </w:tabs>
        <w:kinsoku/>
        <w:wordWrap/>
        <w:overflowPunct/>
        <w:topLinePunct w:val="0"/>
        <w:bidi w:val="0"/>
        <w:adjustRightInd w:val="0"/>
        <w:snapToGrid w:val="0"/>
        <w:spacing w:line="560" w:lineRule="exact"/>
        <w:ind w:firstLine="480" w:firstLineChars="200"/>
        <w:jc w:val="both"/>
        <w:textAlignment w:val="auto"/>
        <w:rPr>
          <w:rFonts w:hint="default" w:ascii="宋体" w:hAnsi="宋体" w:eastAsia="宋体" w:cs="宋体"/>
          <w:bCs w:val="0"/>
          <w:color w:val="auto"/>
          <w:kern w:val="0"/>
          <w:sz w:val="24"/>
          <w:szCs w:val="24"/>
          <w:lang w:val="en-US" w:eastAsia="zh-CN" w:bidi="ar-SA"/>
        </w:rPr>
      </w:pPr>
      <w:r>
        <w:rPr>
          <w:rFonts w:hint="eastAsia" w:ascii="宋体" w:hAnsi="宋体" w:eastAsia="宋体" w:cs="宋体"/>
          <w:bCs w:val="0"/>
          <w:color w:val="auto"/>
          <w:kern w:val="0"/>
          <w:sz w:val="24"/>
          <w:szCs w:val="24"/>
          <w:lang w:val="en-US" w:eastAsia="zh-CN" w:bidi="ar-SA"/>
        </w:rPr>
        <w:t>2、</w:t>
      </w:r>
      <w:r>
        <w:rPr>
          <w:rFonts w:hint="eastAsia" w:hAnsi="宋体" w:cs="宋体"/>
          <w:bCs w:val="0"/>
          <w:color w:val="auto"/>
          <w:kern w:val="0"/>
          <w:sz w:val="24"/>
          <w:szCs w:val="24"/>
          <w:lang w:val="en-US" w:eastAsia="zh-CN" w:bidi="ar-SA"/>
        </w:rPr>
        <w:t>预算文件</w:t>
      </w:r>
    </w:p>
    <w:p w14:paraId="02E80FC5">
      <w:pPr>
        <w:keepNext w:val="0"/>
        <w:keepLines w:val="0"/>
        <w:pageBreakBefore w:val="0"/>
        <w:tabs>
          <w:tab w:val="left" w:pos="955"/>
        </w:tabs>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bidi="ar-SA"/>
        </w:rPr>
      </w:pPr>
      <w:r>
        <w:rPr>
          <w:rFonts w:hint="eastAsia" w:hAnsi="宋体" w:cs="宋体"/>
          <w:bCs w:val="0"/>
          <w:color w:val="auto"/>
          <w:kern w:val="0"/>
          <w:sz w:val="24"/>
          <w:szCs w:val="24"/>
          <w:lang w:val="en-US" w:eastAsia="zh-CN" w:bidi="ar-SA"/>
        </w:rPr>
        <w:t>3、</w:t>
      </w:r>
      <w:r>
        <w:rPr>
          <w:rFonts w:hint="eastAsia" w:ascii="宋体" w:hAnsi="宋体" w:eastAsia="宋体" w:cs="宋体"/>
          <w:bCs w:val="0"/>
          <w:color w:val="auto"/>
          <w:kern w:val="0"/>
          <w:sz w:val="24"/>
          <w:szCs w:val="24"/>
          <w:lang w:val="en-US" w:eastAsia="zh-CN" w:bidi="ar-SA"/>
        </w:rPr>
        <w:t>用户需求书</w:t>
      </w:r>
    </w:p>
    <w:p w14:paraId="59860FDD">
      <w:pPr>
        <w:keepNext w:val="0"/>
        <w:keepLines w:val="0"/>
        <w:pageBreakBefore w:val="0"/>
        <w:tabs>
          <w:tab w:val="left" w:pos="955"/>
        </w:tabs>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bidi="ar-SA"/>
        </w:rPr>
      </w:pPr>
      <w:r>
        <w:rPr>
          <w:rFonts w:hint="eastAsia" w:ascii="宋体" w:hAnsi="宋体" w:cs="宋体"/>
          <w:bCs w:val="0"/>
          <w:color w:val="auto"/>
          <w:kern w:val="0"/>
          <w:sz w:val="24"/>
          <w:szCs w:val="24"/>
          <w:lang w:val="en-US" w:eastAsia="zh-CN" w:bidi="ar-SA"/>
        </w:rPr>
        <w:t>4、</w:t>
      </w:r>
      <w:r>
        <w:rPr>
          <w:rFonts w:hint="eastAsia" w:ascii="宋体" w:hAnsi="宋体" w:eastAsia="宋体" w:cs="宋体"/>
          <w:bCs w:val="0"/>
          <w:color w:val="auto"/>
          <w:kern w:val="0"/>
          <w:sz w:val="24"/>
          <w:szCs w:val="24"/>
          <w:lang w:val="en-US" w:eastAsia="zh-CN"/>
        </w:rPr>
        <w:t>东莞市水务集团专项法律服务/诉讼代理服务单位考核评价表</w:t>
      </w:r>
    </w:p>
    <w:p w14:paraId="5A2478ED">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bidi="ar-SA"/>
        </w:rPr>
      </w:pPr>
      <w:r>
        <w:rPr>
          <w:rFonts w:hint="eastAsia" w:hAnsi="宋体" w:cs="宋体"/>
          <w:bCs w:val="0"/>
          <w:color w:val="auto"/>
          <w:kern w:val="0"/>
          <w:sz w:val="24"/>
          <w:szCs w:val="24"/>
          <w:lang w:val="en-US" w:eastAsia="zh-CN" w:bidi="ar-SA"/>
        </w:rPr>
        <w:t>6</w:t>
      </w:r>
      <w:r>
        <w:rPr>
          <w:rFonts w:hint="eastAsia" w:ascii="宋体" w:hAnsi="宋体" w:eastAsia="宋体" w:cs="宋体"/>
          <w:bCs w:val="0"/>
          <w:color w:val="auto"/>
          <w:kern w:val="0"/>
          <w:sz w:val="24"/>
          <w:szCs w:val="24"/>
          <w:lang w:val="en-US" w:eastAsia="zh-CN" w:bidi="ar-SA"/>
        </w:rPr>
        <w:t>、承诺书</w:t>
      </w:r>
    </w:p>
    <w:p w14:paraId="087EEB20">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color w:val="auto"/>
          <w:sz w:val="24"/>
          <w:szCs w:val="24"/>
          <w:u w:val="none"/>
          <w:lang w:val="en-US" w:eastAsia="zh-CN" w:bidi="ar-SA"/>
        </w:rPr>
      </w:pPr>
      <w:r>
        <w:rPr>
          <w:rFonts w:hint="eastAsia" w:hAnsi="宋体" w:cs="宋体"/>
          <w:bCs w:val="0"/>
          <w:color w:val="auto"/>
          <w:kern w:val="0"/>
          <w:sz w:val="24"/>
          <w:szCs w:val="24"/>
          <w:lang w:val="en-US" w:eastAsia="zh-CN" w:bidi="ar-SA"/>
        </w:rPr>
        <w:t>7</w:t>
      </w:r>
      <w:r>
        <w:rPr>
          <w:rFonts w:hint="eastAsia" w:ascii="宋体" w:hAnsi="宋体" w:eastAsia="宋体" w:cs="宋体"/>
          <w:bCs w:val="0"/>
          <w:color w:val="auto"/>
          <w:kern w:val="0"/>
          <w:sz w:val="24"/>
          <w:szCs w:val="24"/>
          <w:lang w:val="en-US" w:eastAsia="zh-CN" w:bidi="ar-SA"/>
        </w:rPr>
        <w:t>、阳光合作告知函及回执</w:t>
      </w:r>
    </w:p>
    <w:p w14:paraId="16BDE60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宋体" w:hAnsi="宋体" w:eastAsia="宋体" w:cs="宋体"/>
          <w:bCs/>
          <w:color w:val="auto"/>
          <w:sz w:val="24"/>
          <w:szCs w:val="24"/>
          <w:u w:val="none"/>
          <w:lang w:val="en-US" w:eastAsia="zh-CN" w:bidi="ar-SA"/>
        </w:rPr>
      </w:pPr>
      <w:r>
        <w:rPr>
          <w:rFonts w:hint="eastAsia" w:hAnsi="宋体" w:cs="宋体"/>
          <w:bCs/>
          <w:color w:val="auto"/>
          <w:sz w:val="24"/>
          <w:szCs w:val="24"/>
          <w:u w:val="none"/>
          <w:lang w:val="en-US" w:eastAsia="zh-CN" w:bidi="ar-SA"/>
        </w:rPr>
        <w:t>（以下无正文内容）</w:t>
      </w:r>
    </w:p>
    <w:p w14:paraId="477A5827">
      <w:pPr>
        <w:keepNext w:val="0"/>
        <w:keepLines w:val="0"/>
        <w:pageBreakBefore w:val="0"/>
        <w:kinsoku/>
        <w:wordWrap/>
        <w:overflowPunct/>
        <w:topLinePunct w:val="0"/>
        <w:bidi w:val="0"/>
        <w:adjustRightInd w:val="0"/>
        <w:snapToGrid w:val="0"/>
        <w:spacing w:line="560" w:lineRule="exact"/>
        <w:jc w:val="both"/>
        <w:textAlignment w:val="auto"/>
        <w:rPr>
          <w:rFonts w:hint="eastAsia" w:ascii="宋体" w:hAnsi="宋体" w:eastAsia="宋体" w:cs="宋体"/>
          <w:bCs/>
          <w:color w:val="auto"/>
          <w:sz w:val="24"/>
          <w:szCs w:val="24"/>
          <w:u w:val="none"/>
          <w:lang w:val="en-US" w:eastAsia="zh-CN" w:bidi="ar-SA"/>
        </w:rPr>
      </w:pPr>
    </w:p>
    <w:p w14:paraId="22AEDFE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exact"/>
        <w:ind w:left="0" w:right="0" w:firstLine="0"/>
        <w:jc w:val="left"/>
        <w:rPr>
          <w:rFonts w:hint="eastAsia" w:ascii="宋体" w:hAnsi="宋体" w:eastAsia="宋体" w:cs="宋体"/>
          <w:bCs/>
          <w:color w:val="auto"/>
          <w:sz w:val="24"/>
          <w:szCs w:val="24"/>
          <w:u w:val="none"/>
          <w:lang w:val="en-US" w:eastAsia="zh-CN" w:bidi="ar-SA"/>
        </w:rPr>
      </w:pPr>
    </w:p>
    <w:p w14:paraId="0C88C7F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exact"/>
        <w:ind w:left="0" w:right="0" w:firstLine="0"/>
        <w:jc w:val="left"/>
        <w:rPr>
          <w:rFonts w:hint="eastAsia" w:ascii="宋体" w:hAnsi="宋体" w:eastAsia="宋体" w:cs="宋体"/>
          <w:bCs/>
          <w:color w:val="auto"/>
          <w:sz w:val="24"/>
          <w:szCs w:val="24"/>
          <w:u w:val="none"/>
          <w:lang w:val="en-US" w:eastAsia="zh-CN" w:bidi="ar-SA"/>
        </w:rPr>
      </w:pPr>
    </w:p>
    <w:p w14:paraId="1ACF824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宋体" w:hAnsi="宋体" w:eastAsia="宋体" w:cs="宋体"/>
          <w:bCs/>
          <w:color w:val="auto"/>
          <w:sz w:val="24"/>
          <w:szCs w:val="24"/>
          <w:u w:val="none"/>
          <w:lang w:val="en-US" w:eastAsia="zh-CN" w:bidi="ar-SA"/>
        </w:rPr>
      </w:pPr>
      <w:r>
        <w:rPr>
          <w:rFonts w:hint="eastAsia" w:ascii="宋体" w:hAnsi="宋体" w:eastAsia="宋体" w:cs="宋体"/>
          <w:bCs/>
          <w:color w:val="auto"/>
          <w:sz w:val="24"/>
          <w:szCs w:val="24"/>
          <w:u w:val="none"/>
          <w:lang w:val="en-US" w:eastAsia="zh-CN" w:bidi="ar-SA"/>
        </w:rPr>
        <w:t>甲方</w:t>
      </w:r>
      <w:r>
        <w:rPr>
          <w:rFonts w:hint="eastAsia" w:cs="宋体"/>
          <w:bCs/>
          <w:color w:val="auto"/>
          <w:sz w:val="24"/>
          <w:szCs w:val="24"/>
          <w:u w:val="none"/>
          <w:lang w:val="en-US" w:eastAsia="zh-CN" w:bidi="ar-SA"/>
        </w:rPr>
        <w:t>：</w:t>
      </w:r>
      <w:r>
        <w:rPr>
          <w:rFonts w:hint="eastAsia" w:ascii="宋体" w:hAnsi="宋体" w:eastAsia="宋体" w:cs="宋体"/>
          <w:bCs/>
          <w:color w:val="auto"/>
          <w:sz w:val="24"/>
          <w:szCs w:val="24"/>
          <w:u w:val="none"/>
          <w:lang w:val="en-US" w:eastAsia="zh-CN" w:bidi="ar-SA"/>
        </w:rPr>
        <w:t>东莞市</w:t>
      </w:r>
      <w:r>
        <w:rPr>
          <w:rFonts w:hint="eastAsia" w:cs="宋体"/>
          <w:bCs/>
          <w:color w:val="auto"/>
          <w:sz w:val="24"/>
          <w:szCs w:val="24"/>
          <w:u w:val="none"/>
          <w:lang w:val="en-US" w:eastAsia="zh-CN" w:bidi="ar-SA"/>
        </w:rPr>
        <w:t>莞清</w:t>
      </w:r>
      <w:r>
        <w:rPr>
          <w:rFonts w:hint="eastAsia" w:ascii="宋体" w:hAnsi="宋体" w:eastAsia="宋体" w:cs="宋体"/>
          <w:bCs/>
          <w:color w:val="auto"/>
          <w:sz w:val="24"/>
          <w:szCs w:val="24"/>
          <w:u w:val="none"/>
          <w:lang w:val="en-US" w:eastAsia="zh-CN" w:bidi="ar-SA"/>
        </w:rPr>
        <w:t xml:space="preserve">水环境投资有限公司          </w:t>
      </w:r>
      <w:r>
        <w:rPr>
          <w:rFonts w:hint="eastAsia" w:hAnsi="宋体" w:cs="宋体"/>
          <w:bCs/>
          <w:color w:val="auto"/>
          <w:sz w:val="24"/>
          <w:szCs w:val="24"/>
          <w:u w:val="none"/>
          <w:lang w:val="en-US" w:eastAsia="zh-CN" w:bidi="ar-SA"/>
        </w:rPr>
        <w:t xml:space="preserve"> </w:t>
      </w:r>
    </w:p>
    <w:p w14:paraId="61EF0B6D">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hAnsi="宋体" w:cs="宋体"/>
          <w:bCs/>
          <w:color w:val="auto"/>
          <w:sz w:val="24"/>
          <w:szCs w:val="24"/>
          <w:u w:val="none"/>
          <w:lang w:val="en-US" w:eastAsia="zh-CN" w:bidi="ar-SA"/>
        </w:rPr>
      </w:pPr>
      <w:r>
        <w:rPr>
          <w:rFonts w:hint="eastAsia" w:ascii="宋体" w:hAnsi="宋体" w:eastAsia="宋体" w:cs="宋体"/>
          <w:bCs/>
          <w:color w:val="auto"/>
          <w:sz w:val="24"/>
          <w:szCs w:val="24"/>
          <w:u w:val="none"/>
          <w:lang w:val="en-US" w:eastAsia="zh-CN" w:bidi="ar-SA"/>
        </w:rPr>
        <w:t>法定代表人或授权代表：</w:t>
      </w:r>
      <w:r>
        <w:rPr>
          <w:rFonts w:hint="eastAsia" w:hAnsi="宋体" w:cs="宋体"/>
          <w:bCs/>
          <w:color w:val="auto"/>
          <w:sz w:val="24"/>
          <w:szCs w:val="24"/>
          <w:u w:val="none"/>
          <w:lang w:val="en-US" w:eastAsia="zh-CN" w:bidi="ar-SA"/>
        </w:rPr>
        <w:t xml:space="preserve">   </w:t>
      </w:r>
    </w:p>
    <w:p w14:paraId="48E779B4">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hAnsi="宋体" w:cs="宋体"/>
          <w:bCs/>
          <w:color w:val="auto"/>
          <w:sz w:val="24"/>
          <w:szCs w:val="24"/>
          <w:u w:val="none"/>
          <w:lang w:val="en-US" w:eastAsia="zh-CN" w:bidi="ar-SA"/>
        </w:rPr>
      </w:pPr>
    </w:p>
    <w:p w14:paraId="659F5F51">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hAnsi="宋体" w:cs="宋体"/>
          <w:bCs/>
          <w:color w:val="auto"/>
          <w:sz w:val="24"/>
          <w:szCs w:val="24"/>
          <w:u w:val="none"/>
          <w:lang w:val="en-US" w:eastAsia="zh-CN" w:bidi="ar-SA"/>
        </w:rPr>
      </w:pPr>
    </w:p>
    <w:p w14:paraId="6658F834">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hAnsi="宋体" w:cs="宋体"/>
          <w:bCs/>
          <w:color w:val="auto"/>
          <w:sz w:val="24"/>
          <w:szCs w:val="24"/>
          <w:u w:val="none"/>
          <w:lang w:val="en-US" w:eastAsia="zh-CN" w:bidi="ar-SA"/>
        </w:rPr>
      </w:pPr>
      <w:r>
        <w:rPr>
          <w:rFonts w:hint="eastAsia" w:hAnsi="宋体" w:cs="宋体"/>
          <w:bCs/>
          <w:color w:val="auto"/>
          <w:sz w:val="24"/>
          <w:szCs w:val="24"/>
          <w:u w:val="none"/>
          <w:lang w:val="en-US" w:eastAsia="zh-CN" w:bidi="ar-SA"/>
        </w:rPr>
        <w:t>乙方：</w:t>
      </w:r>
    </w:p>
    <w:p w14:paraId="56FC494F">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ascii="宋体" w:hAnsi="宋体" w:eastAsia="宋体" w:cs="宋体"/>
          <w:bCs/>
          <w:color w:val="auto"/>
          <w:sz w:val="24"/>
          <w:szCs w:val="24"/>
          <w:u w:val="none"/>
          <w:lang w:val="en-US" w:eastAsia="zh-CN" w:bidi="ar-SA"/>
        </w:rPr>
      </w:pPr>
      <w:r>
        <w:rPr>
          <w:rFonts w:hint="eastAsia" w:ascii="宋体" w:hAnsi="宋体" w:eastAsia="宋体" w:cs="宋体"/>
          <w:bCs/>
          <w:color w:val="auto"/>
          <w:sz w:val="24"/>
          <w:szCs w:val="24"/>
          <w:u w:val="none"/>
          <w:lang w:val="en-US" w:eastAsia="zh-CN" w:bidi="ar-SA"/>
        </w:rPr>
        <w:t>负责人或</w:t>
      </w:r>
      <w:r>
        <w:rPr>
          <w:rFonts w:hint="default" w:ascii="宋体" w:hAnsi="宋体" w:eastAsia="宋体" w:cs="宋体"/>
          <w:bCs/>
          <w:color w:val="auto"/>
          <w:sz w:val="24"/>
          <w:szCs w:val="24"/>
          <w:u w:val="none"/>
          <w:lang w:val="en-US" w:eastAsia="zh-CN" w:bidi="ar-SA"/>
        </w:rPr>
        <w:t>授权代表</w:t>
      </w:r>
      <w:r>
        <w:rPr>
          <w:rFonts w:hint="eastAsia" w:ascii="宋体" w:hAnsi="宋体" w:eastAsia="宋体" w:cs="宋体"/>
          <w:bCs/>
          <w:color w:val="auto"/>
          <w:sz w:val="24"/>
          <w:szCs w:val="24"/>
          <w:u w:val="none"/>
          <w:lang w:val="en-US" w:eastAsia="zh-CN" w:bidi="ar-SA"/>
        </w:rPr>
        <w:t xml:space="preserve">： </w:t>
      </w:r>
    </w:p>
    <w:p w14:paraId="40C00408">
      <w:pPr>
        <w:keepNext w:val="0"/>
        <w:keepLines w:val="0"/>
        <w:pageBreakBefore w:val="0"/>
        <w:kinsoku/>
        <w:wordWrap/>
        <w:overflowPunct/>
        <w:topLinePunct w:val="0"/>
        <w:bidi w:val="0"/>
        <w:adjustRightInd w:val="0"/>
        <w:snapToGrid w:val="0"/>
        <w:spacing w:line="560" w:lineRule="exact"/>
        <w:jc w:val="both"/>
        <w:textAlignment w:val="auto"/>
        <w:rPr>
          <w:rFonts w:hint="eastAsia" w:ascii="宋体" w:hAnsi="宋体" w:eastAsia="宋体" w:cs="宋体"/>
          <w:bCs/>
          <w:color w:val="auto"/>
          <w:sz w:val="24"/>
          <w:szCs w:val="24"/>
          <w:u w:val="none"/>
          <w:lang w:val="en-US" w:eastAsia="zh-CN" w:bidi="ar-SA"/>
        </w:rPr>
      </w:pPr>
    </w:p>
    <w:p w14:paraId="225D534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宋体" w:hAnsi="宋体" w:eastAsia="宋体" w:cs="宋体"/>
          <w:bCs/>
          <w:color w:val="auto"/>
          <w:kern w:val="0"/>
          <w:sz w:val="24"/>
          <w:szCs w:val="24"/>
          <w:u w:val="none"/>
          <w:lang w:val="en-US" w:eastAsia="zh-CN"/>
        </w:rPr>
      </w:pPr>
    </w:p>
    <w:p w14:paraId="7CF03204">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宋体" w:hAnsi="宋体" w:eastAsia="宋体" w:cs="宋体"/>
          <w:bCs/>
          <w:color w:val="auto"/>
          <w:kern w:val="0"/>
          <w:sz w:val="24"/>
          <w:szCs w:val="24"/>
          <w:u w:val="none"/>
          <w:lang w:val="en-US" w:eastAsia="zh-CN"/>
        </w:rPr>
      </w:pPr>
    </w:p>
    <w:p w14:paraId="6178354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宋体" w:hAnsi="宋体" w:eastAsia="宋体" w:cs="宋体"/>
          <w:bCs/>
          <w:color w:val="auto"/>
          <w:kern w:val="0"/>
          <w:sz w:val="28"/>
          <w:szCs w:val="28"/>
          <w:u w:val="none"/>
          <w:lang w:val="en-US" w:eastAsia="zh-CN"/>
        </w:rPr>
      </w:pPr>
      <w:r>
        <w:rPr>
          <w:rFonts w:hint="eastAsia" w:ascii="宋体" w:hAnsi="宋体" w:eastAsia="宋体" w:cs="宋体"/>
          <w:bCs/>
          <w:color w:val="auto"/>
          <w:kern w:val="0"/>
          <w:sz w:val="24"/>
          <w:szCs w:val="24"/>
          <w:u w:val="none"/>
          <w:lang w:val="en-US" w:eastAsia="zh-CN"/>
        </w:rPr>
        <w:t>签订日期：    年    月    日</w:t>
      </w:r>
    </w:p>
    <w:p w14:paraId="143384E8">
      <w:pPr>
        <w:rPr>
          <w:rFonts w:hint="eastAsia"/>
          <w:sz w:val="28"/>
          <w:szCs w:val="28"/>
          <w:lang w:val="en-US" w:eastAsia="zh-CN"/>
        </w:rPr>
      </w:pPr>
      <w:r>
        <w:rPr>
          <w:rFonts w:hint="eastAsia"/>
          <w:sz w:val="28"/>
          <w:szCs w:val="28"/>
          <w:lang w:val="en-US" w:eastAsia="zh-CN"/>
        </w:rPr>
        <w:br w:type="page"/>
      </w:r>
    </w:p>
    <w:p w14:paraId="033473BA">
      <w:pPr>
        <w:pStyle w:val="3"/>
        <w:jc w:val="left"/>
        <w:rPr>
          <w:rFonts w:hint="eastAsia"/>
          <w:lang w:val="en-US" w:eastAsia="zh-CN"/>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sz w:val="28"/>
          <w:szCs w:val="28"/>
          <w:lang w:val="en-US" w:eastAsia="zh-CN"/>
        </w:rPr>
        <w:t>附件1：报价文件</w:t>
      </w:r>
    </w:p>
    <w:p w14:paraId="049CAE0F">
      <w:pPr>
        <w:pStyle w:val="3"/>
        <w:jc w:val="both"/>
        <w:rPr>
          <w:rFonts w:hint="eastAsia"/>
          <w:sz w:val="28"/>
          <w:szCs w:val="28"/>
          <w:lang w:val="en-US" w:eastAsia="zh-CN"/>
        </w:rPr>
      </w:pPr>
      <w:r>
        <w:rPr>
          <w:rFonts w:hint="eastAsia"/>
          <w:sz w:val="28"/>
          <w:szCs w:val="28"/>
          <w:lang w:val="en-US" w:eastAsia="zh-CN"/>
        </w:rPr>
        <w:t>附件2：预算文件</w:t>
      </w:r>
    </w:p>
    <w:p w14:paraId="371FFE47">
      <w:pPr>
        <w:rPr>
          <w:rFonts w:hint="eastAsia"/>
          <w:lang w:val="en-US" w:eastAsia="zh-CN"/>
        </w:rPr>
        <w:sectPr>
          <w:pgSz w:w="11906" w:h="16838"/>
          <w:pgMar w:top="1440" w:right="1800" w:bottom="1440" w:left="1800" w:header="851" w:footer="992" w:gutter="0"/>
          <w:cols w:space="425" w:num="1"/>
          <w:docGrid w:type="lines" w:linePitch="312" w:charSpace="0"/>
        </w:sectPr>
      </w:pPr>
    </w:p>
    <w:p w14:paraId="10C4C557">
      <w:pPr>
        <w:keepNext w:val="0"/>
        <w:keepLines w:val="0"/>
        <w:pageBreakBefore w:val="0"/>
        <w:widowControl/>
        <w:kinsoku/>
        <w:wordWrap/>
        <w:overflowPunct/>
        <w:topLinePunct w:val="0"/>
        <w:autoSpaceDE/>
        <w:autoSpaceDN/>
        <w:bidi w:val="0"/>
        <w:adjustRightInd/>
        <w:snapToGrid/>
        <w:spacing w:line="580" w:lineRule="exact"/>
        <w:ind w:left="0" w:firstLine="0" w:firstLineChars="0"/>
        <w:jc w:val="left"/>
        <w:textAlignment w:val="auto"/>
        <w:outlineLvl w:val="9"/>
        <w:rPr>
          <w:rFonts w:hint="eastAsia" w:ascii="宋体" w:hAnsi="Times New Roman" w:eastAsia="宋体" w:cs="Times New Roman"/>
          <w:b/>
          <w:bCs/>
          <w:kern w:val="0"/>
          <w:sz w:val="28"/>
          <w:szCs w:val="28"/>
          <w:lang w:val="en-US" w:eastAsia="zh-CN" w:bidi="ar-SA"/>
        </w:rPr>
      </w:pPr>
      <w:r>
        <w:rPr>
          <w:rFonts w:hint="eastAsia" w:ascii="宋体" w:hAnsi="宋体" w:eastAsia="宋体" w:cs="宋体"/>
          <w:b/>
          <w:bCs w:val="0"/>
          <w:color w:val="000000"/>
          <w:kern w:val="2"/>
          <w:sz w:val="28"/>
          <w:szCs w:val="28"/>
          <w:lang w:val="en-US" w:eastAsia="zh-CN"/>
        </w:rPr>
        <w:t>附件</w:t>
      </w:r>
      <w:r>
        <w:rPr>
          <w:rFonts w:hint="eastAsia" w:hAnsi="宋体" w:cs="宋体"/>
          <w:b/>
          <w:bCs w:val="0"/>
          <w:color w:val="000000"/>
          <w:kern w:val="2"/>
          <w:sz w:val="28"/>
          <w:szCs w:val="28"/>
          <w:lang w:val="en-US" w:eastAsia="zh-CN"/>
        </w:rPr>
        <w:t>3</w:t>
      </w:r>
      <w:r>
        <w:rPr>
          <w:rFonts w:hint="eastAsia" w:ascii="宋体" w:hAnsi="宋体" w:eastAsia="宋体" w:cs="宋体"/>
          <w:b/>
          <w:bCs w:val="0"/>
          <w:color w:val="000000"/>
          <w:kern w:val="2"/>
          <w:sz w:val="28"/>
          <w:szCs w:val="28"/>
          <w:lang w:val="en-US" w:eastAsia="zh-CN"/>
        </w:rPr>
        <w:t>：</w:t>
      </w:r>
      <w:r>
        <w:rPr>
          <w:rFonts w:hint="eastAsia" w:ascii="宋体" w:hAnsi="Times New Roman" w:eastAsia="宋体" w:cs="Times New Roman"/>
          <w:b/>
          <w:bCs/>
          <w:kern w:val="0"/>
          <w:sz w:val="28"/>
          <w:szCs w:val="28"/>
          <w:lang w:val="en-US" w:eastAsia="zh-CN" w:bidi="ar-SA"/>
        </w:rPr>
        <w:t>用户需求书</w:t>
      </w:r>
    </w:p>
    <w:p w14:paraId="749D399B">
      <w:pPr>
        <w:keepNext w:val="0"/>
        <w:keepLines w:val="0"/>
        <w:pageBreakBefore w:val="0"/>
        <w:widowControl/>
        <w:numPr>
          <w:ilvl w:val="0"/>
          <w:numId w:val="0"/>
        </w:numPr>
        <w:kinsoku/>
        <w:wordWrap/>
        <w:overflowPunct/>
        <w:topLinePunct w:val="0"/>
        <w:autoSpaceDE/>
        <w:autoSpaceDN/>
        <w:bidi w:val="0"/>
        <w:adjustRightInd/>
        <w:snapToGrid/>
        <w:spacing w:after="0" w:afterLines="-2147483648" w:line="240" w:lineRule="auto"/>
        <w:ind w:right="0" w:rightChars="0"/>
        <w:jc w:val="left"/>
        <w:textAlignment w:val="auto"/>
        <w:rPr>
          <w:rFonts w:hint="eastAsia" w:hAnsi="宋体" w:cs="宋体"/>
          <w:b/>
          <w:bCs w:val="0"/>
          <w:color w:val="000000"/>
          <w:kern w:val="2"/>
          <w:sz w:val="28"/>
          <w:szCs w:val="28"/>
          <w:lang w:val="en-US" w:eastAsia="zh-CN"/>
        </w:rPr>
        <w:sectPr>
          <w:pgSz w:w="11906" w:h="16838"/>
          <w:pgMar w:top="1440" w:right="1800" w:bottom="1440" w:left="1800" w:header="851" w:footer="992" w:gutter="0"/>
          <w:cols w:space="425" w:num="1"/>
          <w:docGrid w:type="lines" w:linePitch="312" w:charSpace="0"/>
        </w:sectPr>
      </w:pPr>
    </w:p>
    <w:p w14:paraId="139443DC">
      <w:pPr>
        <w:keepNext w:val="0"/>
        <w:keepLines w:val="0"/>
        <w:pageBreakBefore w:val="0"/>
        <w:widowControl/>
        <w:numPr>
          <w:ilvl w:val="0"/>
          <w:numId w:val="0"/>
        </w:numPr>
        <w:kinsoku/>
        <w:wordWrap/>
        <w:overflowPunct/>
        <w:topLinePunct w:val="0"/>
        <w:autoSpaceDE/>
        <w:autoSpaceDN/>
        <w:bidi w:val="0"/>
        <w:adjustRightInd/>
        <w:snapToGrid/>
        <w:spacing w:after="0" w:afterLines="-2147483648" w:line="240" w:lineRule="auto"/>
        <w:ind w:right="0" w:rightChars="0"/>
        <w:jc w:val="left"/>
        <w:textAlignment w:val="auto"/>
        <w:rPr>
          <w:rFonts w:hint="default" w:ascii="Times New Roman" w:hAnsi="Times New Roman" w:eastAsia="仿宋_GB2312" w:cs="仿宋_GB2312"/>
          <w:b w:val="0"/>
          <w:bCs w:val="0"/>
          <w:sz w:val="28"/>
          <w:szCs w:val="28"/>
          <w:highlight w:val="none"/>
          <w:lang w:val="en-US" w:eastAsia="zh-CN"/>
        </w:rPr>
      </w:pPr>
      <w:r>
        <w:rPr>
          <w:rFonts w:hint="eastAsia" w:hAnsi="宋体" w:cs="宋体"/>
          <w:b/>
          <w:bCs w:val="0"/>
          <w:color w:val="000000"/>
          <w:kern w:val="2"/>
          <w:sz w:val="28"/>
          <w:szCs w:val="28"/>
          <w:lang w:val="en-US" w:eastAsia="zh-CN"/>
        </w:rPr>
        <w:t>附件4：</w:t>
      </w:r>
    </w:p>
    <w:p w14:paraId="3010C3EA">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方正小标宋简体" w:cs="方正小标宋简体"/>
          <w:b w:val="0"/>
          <w:bCs w:val="0"/>
          <w:sz w:val="44"/>
          <w:szCs w:val="44"/>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东莞市水务集团专项法律服务/诉讼代理</w:t>
      </w:r>
    </w:p>
    <w:p w14:paraId="7027730C">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楷体_GB2312" w:cs="楷体_GB2312"/>
          <w:b w:val="0"/>
          <w:bCs w:val="0"/>
          <w:sz w:val="30"/>
          <w:szCs w:val="30"/>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服务单位考核评价表</w:t>
      </w:r>
    </w:p>
    <w:p w14:paraId="5606DCE4">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填报部门/企业：（盖章）</w:t>
      </w:r>
      <w:r>
        <w:rPr>
          <w:rFonts w:hint="eastAsia" w:ascii="Times New Roman" w:hAnsi="Times New Roman"/>
          <w:b w:val="0"/>
          <w:bCs w:val="0"/>
          <w:sz w:val="28"/>
          <w:szCs w:val="28"/>
        </w:rPr>
        <w:t xml:space="preserve">                             </w:t>
      </w:r>
      <w:r>
        <w:rPr>
          <w:rFonts w:hint="eastAsia" w:ascii="Times New Roman" w:hAnsi="Times New Roman" w:eastAsia="仿宋_GB2312" w:cs="仿宋_GB2312"/>
          <w:b w:val="0"/>
          <w:bCs w:val="0"/>
          <w:sz w:val="28"/>
          <w:szCs w:val="28"/>
          <w:lang w:val="en-US" w:eastAsia="zh-CN"/>
        </w:rPr>
        <w:t>年  月  日</w:t>
      </w:r>
    </w:p>
    <w:tbl>
      <w:tblPr>
        <w:tblStyle w:val="20"/>
        <w:tblW w:w="9354"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938"/>
        <w:gridCol w:w="805"/>
        <w:gridCol w:w="1613"/>
        <w:gridCol w:w="1359"/>
        <w:gridCol w:w="2094"/>
      </w:tblGrid>
      <w:tr w14:paraId="4D16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5" w:type="dxa"/>
            <w:vAlign w:val="center"/>
          </w:tcPr>
          <w:p w14:paraId="1AE0DBD5">
            <w:pPr>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律师事务所</w:t>
            </w:r>
            <w:r>
              <w:rPr>
                <w:rFonts w:hint="eastAsia" w:ascii="Times New Roman" w:hAnsi="Times New Roman" w:eastAsia="仿宋_GB2312" w:cs="仿宋_GB2312"/>
                <w:b/>
                <w:bCs/>
                <w:sz w:val="28"/>
                <w:szCs w:val="28"/>
                <w:lang w:val="en-US" w:eastAsia="zh-CN"/>
              </w:rPr>
              <w:t>名称</w:t>
            </w:r>
          </w:p>
        </w:tc>
        <w:tc>
          <w:tcPr>
            <w:tcW w:w="1938" w:type="dxa"/>
            <w:vAlign w:val="center"/>
          </w:tcPr>
          <w:p w14:paraId="31F0C91E">
            <w:pPr>
              <w:jc w:val="center"/>
              <w:rPr>
                <w:rFonts w:hint="eastAsia" w:ascii="Times New Roman" w:hAnsi="Times New Roman" w:eastAsia="仿宋_GB2312" w:cs="仿宋_GB2312"/>
                <w:b w:val="0"/>
                <w:bCs w:val="0"/>
                <w:sz w:val="28"/>
                <w:szCs w:val="28"/>
              </w:rPr>
            </w:pPr>
          </w:p>
        </w:tc>
        <w:tc>
          <w:tcPr>
            <w:tcW w:w="805" w:type="dxa"/>
            <w:vAlign w:val="center"/>
          </w:tcPr>
          <w:p w14:paraId="554194C9">
            <w:pPr>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服务</w:t>
            </w:r>
            <w:r>
              <w:rPr>
                <w:rFonts w:hint="eastAsia" w:ascii="Times New Roman" w:hAnsi="Times New Roman" w:eastAsia="仿宋_GB2312" w:cs="仿宋_GB2312"/>
                <w:b/>
                <w:bCs/>
                <w:sz w:val="28"/>
                <w:szCs w:val="28"/>
                <w:lang w:val="en-US" w:eastAsia="zh-CN"/>
              </w:rPr>
              <w:t>期限</w:t>
            </w:r>
          </w:p>
        </w:tc>
        <w:tc>
          <w:tcPr>
            <w:tcW w:w="5066" w:type="dxa"/>
            <w:gridSpan w:val="3"/>
            <w:vAlign w:val="center"/>
          </w:tcPr>
          <w:p w14:paraId="08B71D2C">
            <w:pPr>
              <w:jc w:val="center"/>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z w:val="28"/>
                <w:szCs w:val="28"/>
              </w:rPr>
              <w:t xml:space="preserve">  年  月  日至   年  月  日</w:t>
            </w:r>
          </w:p>
        </w:tc>
      </w:tr>
      <w:tr w14:paraId="578B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45" w:type="dxa"/>
            <w:vAlign w:val="center"/>
          </w:tcPr>
          <w:p w14:paraId="587B010B">
            <w:pPr>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类别</w:t>
            </w:r>
          </w:p>
        </w:tc>
        <w:tc>
          <w:tcPr>
            <w:tcW w:w="4356" w:type="dxa"/>
            <w:gridSpan w:val="3"/>
            <w:vAlign w:val="center"/>
          </w:tcPr>
          <w:p w14:paraId="33EFD40F">
            <w:pPr>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考核内容</w:t>
            </w:r>
          </w:p>
        </w:tc>
        <w:tc>
          <w:tcPr>
            <w:tcW w:w="1359" w:type="dxa"/>
            <w:vAlign w:val="center"/>
          </w:tcPr>
          <w:p w14:paraId="5264A113">
            <w:pPr>
              <w:widowControl/>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得分</w:t>
            </w:r>
          </w:p>
        </w:tc>
        <w:tc>
          <w:tcPr>
            <w:tcW w:w="2094" w:type="dxa"/>
            <w:vAlign w:val="center"/>
          </w:tcPr>
          <w:p w14:paraId="14504896">
            <w:pPr>
              <w:widowControl/>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扣分情况说明</w:t>
            </w:r>
          </w:p>
        </w:tc>
      </w:tr>
      <w:tr w14:paraId="73C4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5" w:type="dxa"/>
            <w:vMerge w:val="restart"/>
            <w:vAlign w:val="center"/>
          </w:tcPr>
          <w:p w14:paraId="7DDB1EB0">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提</w:t>
            </w:r>
          </w:p>
          <w:p w14:paraId="574F3D89">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供</w:t>
            </w:r>
          </w:p>
          <w:p w14:paraId="3C11DA5A">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专</w:t>
            </w:r>
          </w:p>
          <w:p w14:paraId="2716DA5F">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项</w:t>
            </w:r>
          </w:p>
          <w:p w14:paraId="11E0CC2F">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法</w:t>
            </w:r>
          </w:p>
          <w:p w14:paraId="7D40A940">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律</w:t>
            </w:r>
          </w:p>
          <w:p w14:paraId="1BCED9C7">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服</w:t>
            </w:r>
          </w:p>
          <w:p w14:paraId="14B8F97B">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务</w:t>
            </w:r>
          </w:p>
          <w:p w14:paraId="066B2378">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w:t>
            </w:r>
          </w:p>
          <w:p w14:paraId="44BEDBDF">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诉</w:t>
            </w:r>
          </w:p>
          <w:p w14:paraId="05807CB7">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讼</w:t>
            </w:r>
          </w:p>
          <w:p w14:paraId="470E8296">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代</w:t>
            </w:r>
          </w:p>
          <w:p w14:paraId="5C2CDE61">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理</w:t>
            </w:r>
          </w:p>
          <w:p w14:paraId="20B60E15">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服</w:t>
            </w:r>
          </w:p>
          <w:p w14:paraId="25007073">
            <w:pPr>
              <w:spacing w:line="400" w:lineRule="exact"/>
              <w:jc w:val="center"/>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lang w:val="en-US" w:eastAsia="zh-CN"/>
              </w:rPr>
              <w:t>务</w:t>
            </w:r>
          </w:p>
        </w:tc>
        <w:tc>
          <w:tcPr>
            <w:tcW w:w="4356" w:type="dxa"/>
            <w:gridSpan w:val="3"/>
          </w:tcPr>
          <w:p w14:paraId="160336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就提供服务的</w:t>
            </w:r>
            <w:r>
              <w:rPr>
                <w:rFonts w:hint="eastAsia" w:ascii="Times New Roman" w:hAnsi="Times New Roman" w:eastAsia="仿宋_GB2312" w:cs="仿宋_GB2312"/>
                <w:b w:val="0"/>
                <w:bCs w:val="0"/>
                <w:sz w:val="24"/>
                <w:szCs w:val="24"/>
              </w:rPr>
              <w:t>范围、内容、费用等进行充分沟通</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rPr>
              <w:t>签订正式服务协议，明确告知收费标准</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及时开</w:t>
            </w:r>
            <w:r>
              <w:rPr>
                <w:rFonts w:hint="eastAsia" w:ascii="Times New Roman" w:hAnsi="Times New Roman" w:eastAsia="仿宋_GB2312" w:cs="仿宋_GB2312"/>
                <w:b w:val="0"/>
                <w:bCs w:val="0"/>
                <w:sz w:val="24"/>
                <w:szCs w:val="24"/>
              </w:rPr>
              <w:t>具</w:t>
            </w:r>
            <w:r>
              <w:rPr>
                <w:rFonts w:hint="eastAsia" w:ascii="Times New Roman" w:hAnsi="Times New Roman" w:eastAsia="仿宋_GB2312" w:cs="仿宋_GB2312"/>
                <w:b w:val="0"/>
                <w:bCs w:val="0"/>
                <w:sz w:val="24"/>
                <w:szCs w:val="24"/>
                <w:lang w:val="en-US" w:eastAsia="zh-CN"/>
              </w:rPr>
              <w:t>合法、有效的税务发票</w:t>
            </w:r>
            <w:r>
              <w:rPr>
                <w:rFonts w:hint="eastAsia" w:ascii="Times New Roman" w:hAnsi="Times New Roman" w:eastAsia="仿宋_GB2312" w:cs="仿宋_GB2312"/>
                <w:b w:val="0"/>
                <w:bCs w:val="0"/>
                <w:sz w:val="24"/>
                <w:szCs w:val="24"/>
              </w:rPr>
              <w:t>（1</w:t>
            </w:r>
            <w:r>
              <w:rPr>
                <w:rFonts w:hint="eastAsia" w:ascii="Times New Roman" w:hAnsi="Times New Roman" w:eastAsia="仿宋_GB2312" w:cs="仿宋_GB2312"/>
                <w:b w:val="0"/>
                <w:bCs w:val="0"/>
                <w:sz w:val="24"/>
                <w:szCs w:val="24"/>
                <w:lang w:val="en-US" w:eastAsia="zh-CN"/>
              </w:rPr>
              <w:t>0</w:t>
            </w:r>
            <w:r>
              <w:rPr>
                <w:rFonts w:hint="eastAsia" w:ascii="Times New Roman" w:hAnsi="Times New Roman" w:eastAsia="仿宋_GB2312" w:cs="仿宋_GB2312"/>
                <w:b w:val="0"/>
                <w:bCs w:val="0"/>
                <w:sz w:val="24"/>
                <w:szCs w:val="24"/>
              </w:rPr>
              <w:t>分）</w:t>
            </w:r>
          </w:p>
        </w:tc>
        <w:tc>
          <w:tcPr>
            <w:tcW w:w="1359" w:type="dxa"/>
          </w:tcPr>
          <w:p w14:paraId="1F41BF7C">
            <w:pPr>
              <w:rPr>
                <w:rFonts w:hint="eastAsia" w:ascii="Times New Roman" w:hAnsi="Times New Roman" w:eastAsia="仿宋_GB2312" w:cs="仿宋_GB2312"/>
                <w:b w:val="0"/>
                <w:bCs w:val="0"/>
                <w:sz w:val="28"/>
                <w:szCs w:val="28"/>
              </w:rPr>
            </w:pPr>
          </w:p>
        </w:tc>
        <w:tc>
          <w:tcPr>
            <w:tcW w:w="2094" w:type="dxa"/>
          </w:tcPr>
          <w:p w14:paraId="60CD523A">
            <w:pPr>
              <w:rPr>
                <w:rFonts w:hint="eastAsia" w:ascii="Times New Roman" w:hAnsi="Times New Roman" w:eastAsia="仿宋_GB2312" w:cs="仿宋_GB2312"/>
                <w:b w:val="0"/>
                <w:bCs w:val="0"/>
                <w:sz w:val="28"/>
                <w:szCs w:val="28"/>
              </w:rPr>
            </w:pPr>
          </w:p>
        </w:tc>
      </w:tr>
      <w:tr w14:paraId="6DB7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545" w:type="dxa"/>
            <w:vMerge w:val="continue"/>
            <w:vAlign w:val="center"/>
          </w:tcPr>
          <w:p w14:paraId="38095211">
            <w:pPr>
              <w:jc w:val="center"/>
              <w:rPr>
                <w:rFonts w:hint="eastAsia" w:ascii="Times New Roman" w:hAnsi="Times New Roman" w:eastAsia="仿宋_GB2312" w:cs="仿宋_GB2312"/>
                <w:b w:val="0"/>
                <w:bCs w:val="0"/>
                <w:sz w:val="28"/>
                <w:szCs w:val="28"/>
              </w:rPr>
            </w:pPr>
          </w:p>
        </w:tc>
        <w:tc>
          <w:tcPr>
            <w:tcW w:w="4356" w:type="dxa"/>
            <w:gridSpan w:val="3"/>
          </w:tcPr>
          <w:p w14:paraId="183A64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任期内勤勉尽职，积极主动，及时汇报</w:t>
            </w:r>
          </w:p>
          <w:p w14:paraId="08DB1E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委托事项办理进展情况，响应及时，不存在推诿问题（15分）</w:t>
            </w:r>
          </w:p>
        </w:tc>
        <w:tc>
          <w:tcPr>
            <w:tcW w:w="1359" w:type="dxa"/>
          </w:tcPr>
          <w:p w14:paraId="420E72F2">
            <w:pPr>
              <w:rPr>
                <w:rFonts w:hint="eastAsia" w:ascii="Times New Roman" w:hAnsi="Times New Roman" w:eastAsia="仿宋_GB2312" w:cs="仿宋_GB2312"/>
                <w:b w:val="0"/>
                <w:bCs w:val="0"/>
                <w:sz w:val="28"/>
                <w:szCs w:val="28"/>
              </w:rPr>
            </w:pPr>
          </w:p>
        </w:tc>
        <w:tc>
          <w:tcPr>
            <w:tcW w:w="2094" w:type="dxa"/>
          </w:tcPr>
          <w:p w14:paraId="65DC449E">
            <w:pPr>
              <w:rPr>
                <w:rFonts w:hint="eastAsia" w:ascii="Times New Roman" w:hAnsi="Times New Roman" w:eastAsia="仿宋_GB2312" w:cs="仿宋_GB2312"/>
                <w:b w:val="0"/>
                <w:bCs w:val="0"/>
                <w:sz w:val="28"/>
                <w:szCs w:val="28"/>
              </w:rPr>
            </w:pPr>
          </w:p>
        </w:tc>
      </w:tr>
      <w:tr w14:paraId="2A1B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1545" w:type="dxa"/>
            <w:vMerge w:val="continue"/>
            <w:vAlign w:val="center"/>
          </w:tcPr>
          <w:p w14:paraId="74045D96">
            <w:pPr>
              <w:jc w:val="center"/>
              <w:rPr>
                <w:rFonts w:hint="eastAsia" w:ascii="Times New Roman" w:hAnsi="Times New Roman" w:eastAsia="仿宋_GB2312" w:cs="仿宋_GB2312"/>
                <w:b w:val="0"/>
                <w:bCs w:val="0"/>
                <w:sz w:val="28"/>
                <w:szCs w:val="28"/>
              </w:rPr>
            </w:pPr>
          </w:p>
        </w:tc>
        <w:tc>
          <w:tcPr>
            <w:tcW w:w="4356" w:type="dxa"/>
            <w:gridSpan w:val="3"/>
          </w:tcPr>
          <w:p w14:paraId="25C96B9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接受委托后，按协议约定提供专项法律服务/诉讼代理服务，确保高质，包括及时调查取证、收集、申请保全证据材料；按时参与诉讼、申请执行，庭审表现准备充分、辩论专业、遵守法庭纪律；按时完成法律文书起草、交付专项法律服务报告及提交庭审报告和结案报告等工作，且交付法律文书表述精准、论据充分、格式规范（50分）</w:t>
            </w:r>
          </w:p>
        </w:tc>
        <w:tc>
          <w:tcPr>
            <w:tcW w:w="1359" w:type="dxa"/>
          </w:tcPr>
          <w:p w14:paraId="45C8D101">
            <w:pPr>
              <w:rPr>
                <w:rFonts w:hint="eastAsia" w:ascii="Times New Roman" w:hAnsi="Times New Roman" w:eastAsia="仿宋_GB2312" w:cs="仿宋_GB2312"/>
                <w:b w:val="0"/>
                <w:bCs w:val="0"/>
                <w:sz w:val="28"/>
                <w:szCs w:val="28"/>
              </w:rPr>
            </w:pPr>
          </w:p>
        </w:tc>
        <w:tc>
          <w:tcPr>
            <w:tcW w:w="2094" w:type="dxa"/>
          </w:tcPr>
          <w:p w14:paraId="281E784F">
            <w:pPr>
              <w:rPr>
                <w:rFonts w:hint="eastAsia" w:ascii="Times New Roman" w:hAnsi="Times New Roman" w:eastAsia="仿宋_GB2312" w:cs="仿宋_GB2312"/>
                <w:b w:val="0"/>
                <w:bCs w:val="0"/>
                <w:sz w:val="28"/>
                <w:szCs w:val="28"/>
              </w:rPr>
            </w:pPr>
          </w:p>
        </w:tc>
      </w:tr>
      <w:tr w14:paraId="01FD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45" w:type="dxa"/>
            <w:vMerge w:val="continue"/>
            <w:vAlign w:val="center"/>
          </w:tcPr>
          <w:p w14:paraId="24B121E2">
            <w:pPr>
              <w:jc w:val="center"/>
              <w:rPr>
                <w:rFonts w:hint="eastAsia" w:ascii="Times New Roman" w:hAnsi="Times New Roman" w:eastAsia="仿宋_GB2312" w:cs="仿宋_GB2312"/>
                <w:b w:val="0"/>
                <w:bCs w:val="0"/>
                <w:sz w:val="28"/>
                <w:szCs w:val="28"/>
              </w:rPr>
            </w:pPr>
          </w:p>
        </w:tc>
        <w:tc>
          <w:tcPr>
            <w:tcW w:w="4356" w:type="dxa"/>
            <w:gridSpan w:val="3"/>
          </w:tcPr>
          <w:p w14:paraId="531F0AB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服务成果有效解决委托事项核心问题（25分）</w:t>
            </w:r>
          </w:p>
        </w:tc>
        <w:tc>
          <w:tcPr>
            <w:tcW w:w="1359" w:type="dxa"/>
          </w:tcPr>
          <w:p w14:paraId="57784712">
            <w:pPr>
              <w:rPr>
                <w:rFonts w:hint="eastAsia" w:ascii="Times New Roman" w:hAnsi="Times New Roman" w:eastAsia="仿宋_GB2312" w:cs="仿宋_GB2312"/>
                <w:b w:val="0"/>
                <w:bCs w:val="0"/>
                <w:sz w:val="28"/>
                <w:szCs w:val="28"/>
              </w:rPr>
            </w:pPr>
          </w:p>
        </w:tc>
        <w:tc>
          <w:tcPr>
            <w:tcW w:w="2094" w:type="dxa"/>
          </w:tcPr>
          <w:p w14:paraId="7AD24C53">
            <w:pPr>
              <w:rPr>
                <w:rFonts w:hint="eastAsia" w:ascii="Times New Roman" w:hAnsi="Times New Roman" w:eastAsia="仿宋_GB2312" w:cs="仿宋_GB2312"/>
                <w:b w:val="0"/>
                <w:bCs w:val="0"/>
                <w:sz w:val="28"/>
                <w:szCs w:val="28"/>
              </w:rPr>
            </w:pPr>
          </w:p>
        </w:tc>
      </w:tr>
      <w:tr w14:paraId="1B3D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545" w:type="dxa"/>
            <w:vMerge w:val="continue"/>
            <w:vAlign w:val="center"/>
          </w:tcPr>
          <w:p w14:paraId="39CD5E2E">
            <w:pPr>
              <w:jc w:val="center"/>
              <w:rPr>
                <w:rFonts w:hint="eastAsia" w:ascii="Times New Roman" w:hAnsi="Times New Roman" w:eastAsia="仿宋_GB2312" w:cs="仿宋_GB2312"/>
                <w:b w:val="0"/>
                <w:bCs w:val="0"/>
                <w:sz w:val="28"/>
                <w:szCs w:val="28"/>
              </w:rPr>
            </w:pPr>
          </w:p>
        </w:tc>
        <w:tc>
          <w:tcPr>
            <w:tcW w:w="4356" w:type="dxa"/>
            <w:gridSpan w:val="3"/>
          </w:tcPr>
          <w:p w14:paraId="34CD77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b w:val="0"/>
                <w:bCs w:val="0"/>
                <w:sz w:val="28"/>
                <w:szCs w:val="28"/>
                <w:lang w:eastAsia="zh-CN"/>
              </w:rPr>
            </w:pPr>
            <w:r>
              <w:rPr>
                <w:rFonts w:hint="eastAsia" w:ascii="Times New Roman" w:hAnsi="Times New Roman" w:eastAsia="仿宋_GB2312" w:cs="仿宋_GB2312"/>
                <w:b w:val="0"/>
                <w:bCs w:val="0"/>
                <w:sz w:val="24"/>
                <w:szCs w:val="24"/>
              </w:rPr>
              <w:t>合</w:t>
            </w:r>
            <w:r>
              <w:rPr>
                <w:rFonts w:hint="eastAsia" w:ascii="Times New Roman" w:hAnsi="Times New Roman" w:eastAsia="仿宋_GB2312" w:cs="仿宋_GB2312"/>
                <w:b w:val="0"/>
                <w:bCs w:val="0"/>
                <w:sz w:val="24"/>
                <w:szCs w:val="24"/>
                <w:lang w:val="en-US" w:eastAsia="zh-CN"/>
              </w:rPr>
              <w:t>计（总分</w:t>
            </w:r>
            <w:r>
              <w:rPr>
                <w:rFonts w:hint="eastAsia" w:ascii="Times New Roman" w:hAnsi="Times New Roman" w:eastAsia="仿宋_GB2312" w:cs="仿宋_GB2312"/>
                <w:b w:val="0"/>
                <w:bCs w:val="0"/>
                <w:sz w:val="24"/>
                <w:szCs w:val="24"/>
              </w:rPr>
              <w:t>100分</w:t>
            </w:r>
            <w:r>
              <w:rPr>
                <w:rFonts w:hint="eastAsia" w:ascii="Times New Roman" w:hAnsi="Times New Roman" w:eastAsia="仿宋_GB2312" w:cs="仿宋_GB2312"/>
                <w:b w:val="0"/>
                <w:bCs w:val="0"/>
                <w:sz w:val="24"/>
                <w:szCs w:val="24"/>
                <w:lang w:eastAsia="zh-CN"/>
              </w:rPr>
              <w:t>）</w:t>
            </w:r>
          </w:p>
        </w:tc>
        <w:tc>
          <w:tcPr>
            <w:tcW w:w="3453" w:type="dxa"/>
            <w:gridSpan w:val="2"/>
          </w:tcPr>
          <w:p w14:paraId="45006047">
            <w:pPr>
              <w:rPr>
                <w:rFonts w:hint="eastAsia" w:ascii="Times New Roman" w:hAnsi="Times New Roman" w:eastAsia="仿宋_GB2312" w:cs="仿宋_GB2312"/>
                <w:b w:val="0"/>
                <w:bCs w:val="0"/>
                <w:sz w:val="28"/>
                <w:szCs w:val="28"/>
              </w:rPr>
            </w:pPr>
          </w:p>
        </w:tc>
      </w:tr>
      <w:tr w14:paraId="1388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9" w:hRule="exact"/>
        </w:trPr>
        <w:tc>
          <w:tcPr>
            <w:tcW w:w="1545" w:type="dxa"/>
            <w:vAlign w:val="center"/>
          </w:tcPr>
          <w:p w14:paraId="13D59301">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对外聘律师</w:t>
            </w:r>
            <w:r>
              <w:rPr>
                <w:rFonts w:hint="eastAsia" w:ascii="Times New Roman" w:hAnsi="Times New Roman" w:eastAsia="仿宋_GB2312" w:cs="仿宋_GB2312"/>
                <w:b/>
                <w:bCs/>
                <w:sz w:val="28"/>
                <w:szCs w:val="28"/>
                <w:lang w:val="en-US" w:eastAsia="zh-CN"/>
              </w:rPr>
              <w:t>事务所</w:t>
            </w:r>
            <w:r>
              <w:rPr>
                <w:rFonts w:hint="eastAsia" w:ascii="Times New Roman" w:hAnsi="Times New Roman" w:eastAsia="仿宋_GB2312" w:cs="仿宋_GB2312"/>
                <w:b/>
                <w:bCs/>
                <w:sz w:val="28"/>
                <w:szCs w:val="28"/>
              </w:rPr>
              <w:t>服务评价小结</w:t>
            </w:r>
          </w:p>
          <w:p w14:paraId="5B110419">
            <w:pPr>
              <w:jc w:val="both"/>
              <w:rPr>
                <w:rFonts w:hint="eastAsia" w:ascii="Times New Roman" w:hAnsi="Times New Roman" w:eastAsia="仿宋_GB2312" w:cs="仿宋_GB2312"/>
                <w:b w:val="0"/>
                <w:bCs w:val="0"/>
                <w:sz w:val="28"/>
                <w:szCs w:val="28"/>
              </w:rPr>
            </w:pPr>
          </w:p>
        </w:tc>
        <w:tc>
          <w:tcPr>
            <w:tcW w:w="7809" w:type="dxa"/>
            <w:gridSpan w:val="5"/>
          </w:tcPr>
          <w:p w14:paraId="254AC72E">
            <w:pPr>
              <w:pStyle w:val="3"/>
              <w:rPr>
                <w:rFonts w:hint="eastAsia" w:ascii="Times New Roman" w:hAnsi="Times New Roman" w:eastAsia="仿宋_GB2312" w:cs="仿宋_GB2312"/>
                <w:b w:val="0"/>
                <w:bCs w:val="0"/>
                <w:sz w:val="28"/>
                <w:szCs w:val="28"/>
              </w:rPr>
            </w:pPr>
          </w:p>
          <w:p w14:paraId="5EE0119D">
            <w:pPr>
              <w:pStyle w:val="3"/>
              <w:rPr>
                <w:rFonts w:hint="eastAsia" w:ascii="Times New Roman" w:hAnsi="Times New Roman" w:eastAsia="仿宋_GB2312" w:cs="仿宋_GB2312"/>
                <w:b w:val="0"/>
                <w:bCs w:val="0"/>
                <w:sz w:val="28"/>
                <w:szCs w:val="28"/>
              </w:rPr>
            </w:pPr>
          </w:p>
          <w:p w14:paraId="57803252">
            <w:pPr>
              <w:pStyle w:val="3"/>
              <w:rPr>
                <w:rFonts w:hint="eastAsia" w:ascii="Times New Roman" w:hAnsi="Times New Roman" w:eastAsia="仿宋_GB2312" w:cs="仿宋_GB2312"/>
                <w:b w:val="0"/>
                <w:bCs w:val="0"/>
                <w:sz w:val="28"/>
                <w:szCs w:val="28"/>
              </w:rPr>
            </w:pPr>
          </w:p>
          <w:p w14:paraId="19DEEB06">
            <w:pPr>
              <w:pStyle w:val="3"/>
              <w:rPr>
                <w:rFonts w:hint="eastAsia" w:ascii="Times New Roman" w:hAnsi="Times New Roman" w:eastAsia="仿宋_GB2312" w:cs="仿宋_GB2312"/>
                <w:b w:val="0"/>
                <w:bCs w:val="0"/>
                <w:sz w:val="28"/>
                <w:szCs w:val="28"/>
              </w:rPr>
            </w:pPr>
          </w:p>
          <w:p w14:paraId="0D195D6E">
            <w:pPr>
              <w:pStyle w:val="3"/>
              <w:rPr>
                <w:rFonts w:hint="eastAsia" w:ascii="Times New Roman" w:hAnsi="Times New Roman" w:eastAsia="仿宋_GB2312" w:cs="仿宋_GB2312"/>
                <w:b w:val="0"/>
                <w:bCs w:val="0"/>
                <w:sz w:val="28"/>
                <w:szCs w:val="28"/>
              </w:rPr>
            </w:pPr>
          </w:p>
          <w:p w14:paraId="583B55BE">
            <w:pPr>
              <w:pStyle w:val="3"/>
              <w:rPr>
                <w:rFonts w:hint="eastAsia" w:ascii="Times New Roman" w:hAnsi="Times New Roman" w:eastAsia="仿宋_GB2312" w:cs="仿宋_GB2312"/>
                <w:b w:val="0"/>
                <w:bCs w:val="0"/>
                <w:sz w:val="28"/>
                <w:szCs w:val="28"/>
              </w:rPr>
            </w:pPr>
          </w:p>
          <w:p w14:paraId="0474F266">
            <w:pPr>
              <w:pStyle w:val="3"/>
              <w:rPr>
                <w:rFonts w:hint="eastAsia" w:ascii="Times New Roman" w:hAnsi="Times New Roman" w:eastAsia="仿宋_GB2312" w:cs="仿宋_GB2312"/>
                <w:b w:val="0"/>
                <w:bCs w:val="0"/>
                <w:sz w:val="28"/>
                <w:szCs w:val="28"/>
              </w:rPr>
            </w:pPr>
          </w:p>
          <w:p w14:paraId="36D4CB80">
            <w:pPr>
              <w:pStyle w:val="3"/>
              <w:rPr>
                <w:rFonts w:hint="eastAsia" w:ascii="Times New Roman" w:hAnsi="Times New Roman" w:eastAsia="仿宋_GB2312" w:cs="仿宋_GB2312"/>
                <w:b w:val="0"/>
                <w:bCs w:val="0"/>
                <w:sz w:val="28"/>
                <w:szCs w:val="28"/>
              </w:rPr>
            </w:pPr>
          </w:p>
          <w:p w14:paraId="3815829B">
            <w:pPr>
              <w:pStyle w:val="3"/>
              <w:rPr>
                <w:rFonts w:hint="eastAsia" w:ascii="Times New Roman" w:hAnsi="Times New Roman" w:eastAsia="仿宋_GB2312" w:cs="仿宋_GB2312"/>
                <w:b w:val="0"/>
                <w:bCs w:val="0"/>
                <w:sz w:val="28"/>
                <w:szCs w:val="28"/>
              </w:rPr>
            </w:pPr>
          </w:p>
          <w:p w14:paraId="15C06E19">
            <w:pPr>
              <w:pStyle w:val="3"/>
              <w:rPr>
                <w:rFonts w:hint="eastAsia" w:ascii="Times New Roman" w:hAnsi="Times New Roman" w:eastAsia="仿宋_GB2312" w:cs="仿宋_GB2312"/>
                <w:b w:val="0"/>
                <w:bCs w:val="0"/>
                <w:sz w:val="28"/>
                <w:szCs w:val="28"/>
              </w:rPr>
            </w:pPr>
          </w:p>
          <w:p w14:paraId="6EE53662">
            <w:pPr>
              <w:pStyle w:val="3"/>
              <w:rPr>
                <w:rFonts w:hint="eastAsia" w:ascii="Times New Roman" w:hAnsi="Times New Roman" w:eastAsia="仿宋_GB2312" w:cs="仿宋_GB2312"/>
                <w:b w:val="0"/>
                <w:bCs w:val="0"/>
                <w:sz w:val="28"/>
                <w:szCs w:val="28"/>
              </w:rPr>
            </w:pPr>
          </w:p>
          <w:p w14:paraId="06308B73">
            <w:pPr>
              <w:pStyle w:val="3"/>
              <w:rPr>
                <w:rFonts w:hint="eastAsia" w:ascii="Times New Roman" w:hAnsi="Times New Roman" w:eastAsia="仿宋_GB2312" w:cs="仿宋_GB2312"/>
                <w:b w:val="0"/>
                <w:bCs w:val="0"/>
                <w:sz w:val="28"/>
                <w:szCs w:val="28"/>
              </w:rPr>
            </w:pPr>
          </w:p>
          <w:p w14:paraId="5997F4EF">
            <w:pPr>
              <w:pStyle w:val="3"/>
              <w:rPr>
                <w:rFonts w:hint="eastAsia" w:ascii="Times New Roman" w:hAnsi="Times New Roman" w:eastAsia="仿宋_GB2312" w:cs="仿宋_GB2312"/>
                <w:b w:val="0"/>
                <w:bCs w:val="0"/>
                <w:sz w:val="28"/>
                <w:szCs w:val="28"/>
              </w:rPr>
            </w:pPr>
          </w:p>
          <w:p w14:paraId="28A2F2EE">
            <w:pPr>
              <w:pStyle w:val="3"/>
              <w:rPr>
                <w:rFonts w:hint="eastAsia" w:ascii="Times New Roman" w:hAnsi="Times New Roman" w:eastAsia="仿宋_GB2312" w:cs="仿宋_GB2312"/>
                <w:b w:val="0"/>
                <w:bCs w:val="0"/>
                <w:sz w:val="28"/>
                <w:szCs w:val="28"/>
              </w:rPr>
            </w:pPr>
          </w:p>
          <w:p w14:paraId="5E2AA465">
            <w:pPr>
              <w:pStyle w:val="3"/>
              <w:rPr>
                <w:rFonts w:hint="eastAsia" w:ascii="Times New Roman" w:hAnsi="Times New Roman" w:eastAsia="仿宋_GB2312" w:cs="仿宋_GB2312"/>
                <w:b w:val="0"/>
                <w:bCs w:val="0"/>
                <w:sz w:val="28"/>
                <w:szCs w:val="28"/>
              </w:rPr>
            </w:pPr>
          </w:p>
        </w:tc>
      </w:tr>
      <w:tr w14:paraId="1DBF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354" w:type="dxa"/>
            <w:gridSpan w:val="6"/>
            <w:vAlign w:val="center"/>
          </w:tcPr>
          <w:p w14:paraId="64CDB43D">
            <w:pPr>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考核</w:t>
            </w:r>
            <w:r>
              <w:rPr>
                <w:rFonts w:hint="eastAsia" w:ascii="Times New Roman" w:hAnsi="Times New Roman" w:eastAsia="仿宋_GB2312" w:cs="仿宋_GB2312"/>
                <w:b w:val="0"/>
                <w:bCs w:val="0"/>
                <w:sz w:val="28"/>
                <w:szCs w:val="28"/>
              </w:rPr>
              <w:t xml:space="preserve">部门：           </w:t>
            </w:r>
            <w:r>
              <w:rPr>
                <w:rFonts w:hint="eastAsia" w:ascii="Times New Roman" w:hAnsi="Times New Roman" w:eastAsia="仿宋_GB2312" w:cs="仿宋_GB2312"/>
                <w:b w:val="0"/>
                <w:bCs w:val="0"/>
                <w:sz w:val="28"/>
                <w:szCs w:val="28"/>
                <w:lang w:val="en-US" w:eastAsia="zh-CN"/>
              </w:rPr>
              <w:t xml:space="preserve">  考核</w:t>
            </w:r>
            <w:r>
              <w:rPr>
                <w:rFonts w:hint="eastAsia" w:ascii="Times New Roman" w:hAnsi="Times New Roman" w:eastAsia="仿宋_GB2312" w:cs="仿宋_GB2312"/>
                <w:b w:val="0"/>
                <w:bCs w:val="0"/>
                <w:sz w:val="28"/>
                <w:szCs w:val="28"/>
              </w:rPr>
              <w:t>人：</w:t>
            </w:r>
            <w:r>
              <w:rPr>
                <w:rFonts w:hint="eastAsia" w:ascii="Times New Roman" w:hAnsi="Times New Roman" w:eastAsia="仿宋_GB2312" w:cs="仿宋_GB2312"/>
                <w:b w:val="0"/>
                <w:bCs w:val="0"/>
                <w:sz w:val="28"/>
                <w:szCs w:val="28"/>
                <w:lang w:val="en-US" w:eastAsia="zh-CN"/>
              </w:rPr>
              <w:t xml:space="preserve">           </w:t>
            </w:r>
            <w:r>
              <w:rPr>
                <w:rFonts w:hint="eastAsia" w:ascii="仿宋_GB2312" w:hAnsi="仿宋_GB2312" w:eastAsia="仿宋_GB2312" w:cs="仿宋_GB2312"/>
                <w:sz w:val="28"/>
                <w:szCs w:val="28"/>
              </w:rPr>
              <w:t>考核时间：</w:t>
            </w:r>
            <w:r>
              <w:rPr>
                <w:rFonts w:hint="eastAsia" w:ascii="仿宋_GB2312" w:hAnsi="仿宋_GB2312" w:eastAsia="仿宋_GB2312" w:cs="仿宋_GB2312"/>
                <w:sz w:val="28"/>
                <w:szCs w:val="28"/>
                <w:lang w:val="en-US" w:eastAsia="zh-CN"/>
              </w:rPr>
              <w:t xml:space="preserve">     年   月  日</w:t>
            </w:r>
          </w:p>
        </w:tc>
      </w:tr>
    </w:tbl>
    <w:p w14:paraId="1985BB16">
      <w:pPr>
        <w:autoSpaceDE/>
        <w:autoSpaceDN/>
        <w:adjustRightInd/>
        <w:spacing w:line="580" w:lineRule="exact"/>
        <w:jc w:val="both"/>
        <w:rPr>
          <w:rFonts w:hint="eastAsia" w:ascii="宋体" w:hAnsi="宋体" w:eastAsia="宋体" w:cs="宋体"/>
          <w:bCs/>
          <w:color w:val="000000"/>
          <w:kern w:val="2"/>
          <w:sz w:val="28"/>
          <w:szCs w:val="28"/>
          <w:lang w:val="en-US" w:eastAsia="zh-CN"/>
        </w:rPr>
      </w:pPr>
      <w:r>
        <w:rPr>
          <w:rFonts w:hint="eastAsia" w:ascii="宋体" w:hAnsi="宋体" w:eastAsia="宋体" w:cs="宋体"/>
          <w:b/>
          <w:bCs w:val="0"/>
          <w:color w:val="000000"/>
          <w:kern w:val="2"/>
          <w:sz w:val="28"/>
          <w:szCs w:val="28"/>
          <w:lang w:val="en-US" w:eastAsia="zh-CN"/>
        </w:rPr>
        <w:t>附件</w:t>
      </w:r>
      <w:r>
        <w:rPr>
          <w:rFonts w:hint="eastAsia" w:hAnsi="宋体" w:cs="宋体"/>
          <w:b/>
          <w:bCs w:val="0"/>
          <w:color w:val="000000"/>
          <w:kern w:val="2"/>
          <w:sz w:val="28"/>
          <w:szCs w:val="28"/>
          <w:lang w:val="en-US" w:eastAsia="zh-CN"/>
        </w:rPr>
        <w:t>5</w:t>
      </w:r>
      <w:r>
        <w:rPr>
          <w:rFonts w:hint="eastAsia" w:ascii="宋体" w:hAnsi="宋体" w:eastAsia="宋体" w:cs="宋体"/>
          <w:b/>
          <w:bCs w:val="0"/>
          <w:color w:val="000000"/>
          <w:kern w:val="2"/>
          <w:sz w:val="28"/>
          <w:szCs w:val="28"/>
          <w:lang w:val="en-US" w:eastAsia="zh-CN"/>
        </w:rPr>
        <w:t>：承诺书</w:t>
      </w:r>
    </w:p>
    <w:p w14:paraId="20942A47">
      <w:pPr>
        <w:spacing w:line="360" w:lineRule="auto"/>
        <w:jc w:val="center"/>
        <w:rPr>
          <w:rFonts w:hAnsi="宋体"/>
          <w:sz w:val="44"/>
          <w:szCs w:val="44"/>
        </w:rPr>
      </w:pPr>
      <w:r>
        <w:rPr>
          <w:rFonts w:hint="eastAsia" w:hAnsi="宋体"/>
          <w:sz w:val="44"/>
          <w:szCs w:val="44"/>
        </w:rPr>
        <w:t>承诺书</w:t>
      </w:r>
    </w:p>
    <w:p w14:paraId="2EFCF8FB">
      <w:pPr>
        <w:spacing w:line="360" w:lineRule="auto"/>
        <w:rPr>
          <w:sz w:val="21"/>
          <w:szCs w:val="21"/>
          <w:u w:val="single"/>
        </w:rPr>
      </w:pPr>
    </w:p>
    <w:p w14:paraId="1391C6B8">
      <w:pPr>
        <w:widowControl w:val="0"/>
        <w:spacing w:line="360" w:lineRule="auto"/>
        <w:ind w:firstLine="0" w:firstLineChars="0"/>
        <w:rPr>
          <w:rFonts w:asciiTheme="minorEastAsia" w:hAnsiTheme="minorEastAsia"/>
          <w:sz w:val="21"/>
          <w:szCs w:val="21"/>
        </w:rPr>
      </w:pPr>
      <w:r>
        <w:rPr>
          <w:rFonts w:hint="eastAsia" w:asciiTheme="minorEastAsia" w:hAnsiTheme="minorEastAsia"/>
          <w:sz w:val="21"/>
          <w:szCs w:val="21"/>
        </w:rPr>
        <w:t>东莞市</w:t>
      </w:r>
      <w:r>
        <w:rPr>
          <w:rFonts w:hint="eastAsia" w:asciiTheme="minorEastAsia" w:hAnsiTheme="minorEastAsia"/>
          <w:sz w:val="21"/>
          <w:szCs w:val="21"/>
          <w:lang w:val="en-US" w:eastAsia="zh-CN"/>
        </w:rPr>
        <w:t>莞清</w:t>
      </w:r>
      <w:r>
        <w:rPr>
          <w:rFonts w:hint="eastAsia" w:asciiTheme="minorEastAsia" w:hAnsiTheme="minorEastAsia"/>
          <w:sz w:val="21"/>
          <w:szCs w:val="21"/>
        </w:rPr>
        <w:t>水环境投资有限公司：</w:t>
      </w:r>
    </w:p>
    <w:p w14:paraId="1F005B7A">
      <w:pPr>
        <w:numPr>
          <w:ilvl w:val="0"/>
          <w:numId w:val="0"/>
        </w:numPr>
        <w:autoSpaceDE/>
        <w:autoSpaceDN/>
        <w:adjustRightInd/>
        <w:spacing w:line="500" w:lineRule="exact"/>
        <w:ind w:firstLine="420" w:firstLineChars="200"/>
        <w:jc w:val="both"/>
        <w:rPr>
          <w:sz w:val="21"/>
          <w:szCs w:val="21"/>
        </w:rPr>
      </w:pPr>
      <w:r>
        <w:rPr>
          <w:rFonts w:hint="eastAsia"/>
          <w:sz w:val="21"/>
          <w:szCs w:val="21"/>
          <w:lang w:eastAsia="zh-CN"/>
        </w:rPr>
        <w:t>我方</w:t>
      </w:r>
      <w:r>
        <w:rPr>
          <w:rFonts w:hint="eastAsia"/>
          <w:sz w:val="21"/>
          <w:szCs w:val="21"/>
        </w:rPr>
        <w:t>根据《</w:t>
      </w:r>
      <w:r>
        <w:rPr>
          <w:rFonts w:hint="eastAsia"/>
          <w:sz w:val="21"/>
          <w:szCs w:val="21"/>
          <w:u w:val="single"/>
        </w:rPr>
        <w:t>东莞市东引运河流域樟村断面综合治理工程（污水管网完善工程第二标段）施工合同纠纷专项法律服务项目</w:t>
      </w:r>
      <w:r>
        <w:rPr>
          <w:rFonts w:hint="eastAsia" w:ascii="宋体" w:hAnsi="Times New Roman" w:eastAsia="宋体" w:cs="Times New Roman"/>
          <w:b w:val="0"/>
          <w:bCs w:val="0"/>
          <w:kern w:val="0"/>
          <w:sz w:val="21"/>
          <w:szCs w:val="21"/>
          <w:u w:val="single"/>
          <w:lang w:val="en-US" w:eastAsia="zh-CN"/>
        </w:rPr>
        <w:t>合同</w:t>
      </w:r>
      <w:r>
        <w:rPr>
          <w:rFonts w:hint="eastAsia"/>
          <w:sz w:val="21"/>
          <w:szCs w:val="21"/>
        </w:rPr>
        <w:t>》相关条款全力配合贵</w:t>
      </w:r>
      <w:r>
        <w:rPr>
          <w:sz w:val="21"/>
          <w:szCs w:val="21"/>
        </w:rPr>
        <w:t>公司</w:t>
      </w:r>
      <w:r>
        <w:rPr>
          <w:rFonts w:hint="eastAsia"/>
          <w:sz w:val="21"/>
          <w:szCs w:val="21"/>
        </w:rPr>
        <w:t>工作，并自愿做</w:t>
      </w:r>
      <w:r>
        <w:rPr>
          <w:sz w:val="21"/>
          <w:szCs w:val="21"/>
        </w:rPr>
        <w:t>出如下承诺</w:t>
      </w:r>
      <w:r>
        <w:rPr>
          <w:rFonts w:hint="eastAsia"/>
          <w:sz w:val="21"/>
          <w:szCs w:val="21"/>
        </w:rPr>
        <w:t>：</w:t>
      </w:r>
    </w:p>
    <w:p w14:paraId="7E732CAB">
      <w:pPr>
        <w:spacing w:line="360" w:lineRule="auto"/>
        <w:ind w:firstLine="420" w:firstLineChars="200"/>
        <w:rPr>
          <w:sz w:val="21"/>
          <w:szCs w:val="21"/>
        </w:rPr>
      </w:pPr>
      <w:r>
        <w:rPr>
          <w:rFonts w:hint="eastAsia"/>
          <w:sz w:val="21"/>
          <w:szCs w:val="21"/>
        </w:rPr>
        <w:t>（一）如</w:t>
      </w:r>
      <w:r>
        <w:rPr>
          <w:rFonts w:hint="eastAsia"/>
          <w:sz w:val="21"/>
          <w:szCs w:val="21"/>
          <w:lang w:eastAsia="zh-CN"/>
        </w:rPr>
        <w:t>我方</w:t>
      </w:r>
      <w:r>
        <w:rPr>
          <w:sz w:val="21"/>
          <w:szCs w:val="21"/>
        </w:rPr>
        <w:t>有</w:t>
      </w:r>
      <w:r>
        <w:rPr>
          <w:rFonts w:hint="eastAsia"/>
          <w:sz w:val="21"/>
          <w:szCs w:val="21"/>
        </w:rPr>
        <w:t>拖欠所雇用员工工资</w:t>
      </w:r>
      <w:r>
        <w:rPr>
          <w:sz w:val="21"/>
          <w:szCs w:val="21"/>
        </w:rPr>
        <w:t>等，</w:t>
      </w:r>
      <w:r>
        <w:rPr>
          <w:rFonts w:hint="eastAsia"/>
          <w:sz w:val="21"/>
          <w:szCs w:val="21"/>
        </w:rPr>
        <w:t>发生劳资纠纷、上访、闹事或其他影响贵公司生产经营等情况而未及时妥善处理的，</w:t>
      </w:r>
      <w:r>
        <w:rPr>
          <w:rFonts w:hint="eastAsia"/>
          <w:sz w:val="21"/>
          <w:szCs w:val="21"/>
          <w:lang w:eastAsia="zh-CN"/>
        </w:rPr>
        <w:t>我方</w:t>
      </w:r>
      <w:r>
        <w:rPr>
          <w:rFonts w:hint="eastAsia"/>
          <w:sz w:val="21"/>
          <w:szCs w:val="21"/>
        </w:rPr>
        <w:t>同意贵公司可直接启用履约担保或从</w:t>
      </w:r>
      <w:r>
        <w:rPr>
          <w:sz w:val="21"/>
          <w:szCs w:val="21"/>
        </w:rPr>
        <w:t>未</w:t>
      </w:r>
      <w:r>
        <w:rPr>
          <w:rFonts w:hint="eastAsia"/>
          <w:sz w:val="21"/>
          <w:szCs w:val="21"/>
        </w:rPr>
        <w:t>付</w:t>
      </w:r>
      <w:r>
        <w:rPr>
          <w:sz w:val="21"/>
          <w:szCs w:val="21"/>
        </w:rPr>
        <w:t>款</w:t>
      </w:r>
      <w:r>
        <w:rPr>
          <w:rFonts w:hint="eastAsia"/>
          <w:sz w:val="21"/>
          <w:szCs w:val="21"/>
        </w:rPr>
        <w:t>中直接扣除相应款项</w:t>
      </w:r>
      <w:r>
        <w:rPr>
          <w:sz w:val="21"/>
          <w:szCs w:val="21"/>
        </w:rPr>
        <w:t>予以支付或</w:t>
      </w:r>
      <w:r>
        <w:rPr>
          <w:rFonts w:hint="eastAsia"/>
          <w:sz w:val="21"/>
          <w:szCs w:val="21"/>
        </w:rPr>
        <w:t>作出相应处理，由此产生的一切法律后果由</w:t>
      </w:r>
      <w:r>
        <w:rPr>
          <w:rFonts w:hint="eastAsia"/>
          <w:sz w:val="21"/>
          <w:szCs w:val="21"/>
          <w:lang w:eastAsia="zh-CN"/>
        </w:rPr>
        <w:t>我方</w:t>
      </w:r>
      <w:r>
        <w:rPr>
          <w:rFonts w:hint="eastAsia"/>
          <w:sz w:val="21"/>
          <w:szCs w:val="21"/>
        </w:rPr>
        <w:t>承担；</w:t>
      </w:r>
    </w:p>
    <w:p w14:paraId="23982808">
      <w:pPr>
        <w:spacing w:line="360" w:lineRule="auto"/>
        <w:ind w:firstLine="420" w:firstLineChars="200"/>
        <w:rPr>
          <w:sz w:val="21"/>
          <w:szCs w:val="21"/>
        </w:rPr>
      </w:pPr>
      <w:r>
        <w:rPr>
          <w:rFonts w:hint="eastAsia"/>
          <w:sz w:val="21"/>
          <w:szCs w:val="21"/>
        </w:rPr>
        <w:t>（二）如</w:t>
      </w:r>
      <w:r>
        <w:rPr>
          <w:rFonts w:hint="eastAsia"/>
          <w:sz w:val="21"/>
          <w:szCs w:val="21"/>
          <w:lang w:eastAsia="zh-CN"/>
        </w:rPr>
        <w:t>我方</w:t>
      </w:r>
      <w:r>
        <w:rPr>
          <w:rFonts w:hint="eastAsia"/>
          <w:sz w:val="21"/>
          <w:szCs w:val="21"/>
        </w:rPr>
        <w:t>不履行、怠于履行或没有在约定时间内完成合同项下的全部义务，合同条款中有相应违约条款的，</w:t>
      </w:r>
      <w:r>
        <w:rPr>
          <w:rFonts w:hint="eastAsia"/>
          <w:sz w:val="21"/>
          <w:szCs w:val="21"/>
          <w:lang w:eastAsia="zh-CN"/>
        </w:rPr>
        <w:t>我方</w:t>
      </w:r>
      <w:r>
        <w:rPr>
          <w:rFonts w:hint="eastAsia"/>
          <w:sz w:val="21"/>
          <w:szCs w:val="21"/>
        </w:rPr>
        <w:t>承诺将按照合同约定承担违约责任；其他无约定情形的，</w:t>
      </w:r>
      <w:r>
        <w:rPr>
          <w:rFonts w:hint="eastAsia"/>
          <w:sz w:val="21"/>
          <w:szCs w:val="21"/>
          <w:lang w:eastAsia="zh-CN"/>
        </w:rPr>
        <w:t>我方</w:t>
      </w:r>
      <w:r>
        <w:rPr>
          <w:rFonts w:hint="eastAsia"/>
          <w:sz w:val="21"/>
          <w:szCs w:val="21"/>
        </w:rPr>
        <w:t>同意按照合同</w:t>
      </w:r>
      <w:r>
        <w:rPr>
          <w:rFonts w:hint="eastAsia"/>
          <w:sz w:val="21"/>
          <w:szCs w:val="21"/>
          <w:lang w:val="en-US" w:eastAsia="zh-CN"/>
        </w:rPr>
        <w:t>总</w:t>
      </w:r>
      <w:r>
        <w:rPr>
          <w:rFonts w:hint="eastAsia"/>
          <w:sz w:val="21"/>
          <w:szCs w:val="21"/>
        </w:rPr>
        <w:t>价（含税）的5%向贵公司承担违约金。同时，贵公司有权另行委派其他单位实施本项目，由此产生的差价及</w:t>
      </w:r>
      <w:r>
        <w:rPr>
          <w:sz w:val="21"/>
          <w:szCs w:val="21"/>
        </w:rPr>
        <w:t>相关</w:t>
      </w:r>
      <w:r>
        <w:rPr>
          <w:rFonts w:hint="eastAsia"/>
          <w:sz w:val="21"/>
          <w:szCs w:val="21"/>
        </w:rPr>
        <w:t>费用等由</w:t>
      </w:r>
      <w:r>
        <w:rPr>
          <w:rFonts w:hint="eastAsia"/>
          <w:sz w:val="21"/>
          <w:szCs w:val="21"/>
          <w:lang w:eastAsia="zh-CN"/>
        </w:rPr>
        <w:t>我方</w:t>
      </w:r>
      <w:r>
        <w:rPr>
          <w:rFonts w:hint="eastAsia"/>
          <w:sz w:val="21"/>
          <w:szCs w:val="21"/>
        </w:rPr>
        <w:t>承担；</w:t>
      </w:r>
    </w:p>
    <w:p w14:paraId="202E3164">
      <w:pPr>
        <w:spacing w:line="360" w:lineRule="auto"/>
        <w:ind w:firstLine="420" w:firstLineChars="200"/>
        <w:rPr>
          <w:sz w:val="21"/>
          <w:szCs w:val="21"/>
        </w:rPr>
      </w:pPr>
      <w:r>
        <w:rPr>
          <w:rFonts w:hint="eastAsia"/>
          <w:sz w:val="21"/>
          <w:szCs w:val="21"/>
        </w:rPr>
        <w:t>（三）如</w:t>
      </w:r>
      <w:r>
        <w:rPr>
          <w:rFonts w:hint="eastAsia"/>
          <w:sz w:val="21"/>
          <w:szCs w:val="21"/>
          <w:lang w:eastAsia="zh-CN"/>
        </w:rPr>
        <w:t>我方</w:t>
      </w:r>
      <w:r>
        <w:rPr>
          <w:rFonts w:hint="eastAsia"/>
          <w:sz w:val="21"/>
          <w:szCs w:val="21"/>
        </w:rPr>
        <w:t>有违反本项目管理及合同约定等行为，</w:t>
      </w:r>
      <w:r>
        <w:rPr>
          <w:rFonts w:hint="eastAsia"/>
          <w:sz w:val="21"/>
          <w:szCs w:val="21"/>
          <w:lang w:eastAsia="zh-CN"/>
        </w:rPr>
        <w:t>我方</w:t>
      </w:r>
      <w:r>
        <w:rPr>
          <w:rFonts w:hint="eastAsia"/>
          <w:sz w:val="21"/>
          <w:szCs w:val="21"/>
        </w:rPr>
        <w:t>将同意并接受贵公司根据相关约定对</w:t>
      </w:r>
      <w:r>
        <w:rPr>
          <w:rFonts w:hint="eastAsia"/>
          <w:sz w:val="21"/>
          <w:szCs w:val="21"/>
          <w:lang w:eastAsia="zh-CN"/>
        </w:rPr>
        <w:t>我方</w:t>
      </w:r>
      <w:r>
        <w:rPr>
          <w:rFonts w:hint="eastAsia"/>
          <w:sz w:val="21"/>
          <w:szCs w:val="21"/>
        </w:rPr>
        <w:t>进行处罚；</w:t>
      </w:r>
    </w:p>
    <w:p w14:paraId="169006B1">
      <w:pPr>
        <w:spacing w:line="360" w:lineRule="auto"/>
        <w:ind w:firstLine="420" w:firstLineChars="200"/>
        <w:rPr>
          <w:rFonts w:hint="eastAsia"/>
          <w:w w:val="105"/>
          <w:sz w:val="21"/>
          <w:szCs w:val="21"/>
        </w:rPr>
      </w:pPr>
      <w:r>
        <w:rPr>
          <w:rFonts w:hint="eastAsia"/>
          <w:sz w:val="21"/>
          <w:szCs w:val="21"/>
        </w:rPr>
        <w:t>（四）如</w:t>
      </w:r>
      <w:r>
        <w:rPr>
          <w:rFonts w:hint="eastAsia"/>
          <w:sz w:val="21"/>
          <w:szCs w:val="21"/>
          <w:lang w:eastAsia="zh-CN"/>
        </w:rPr>
        <w:t>我方</w:t>
      </w:r>
      <w:r>
        <w:rPr>
          <w:rFonts w:hint="eastAsia"/>
          <w:sz w:val="21"/>
          <w:szCs w:val="21"/>
        </w:rPr>
        <w:t>有违反本项目管理及合同约定等行为，贵公司有权将</w:t>
      </w:r>
      <w:r>
        <w:rPr>
          <w:rFonts w:hint="eastAsia"/>
          <w:sz w:val="21"/>
          <w:szCs w:val="21"/>
          <w:lang w:eastAsia="zh-CN"/>
        </w:rPr>
        <w:t>我方</w:t>
      </w:r>
      <w:r>
        <w:rPr>
          <w:rFonts w:hint="eastAsia"/>
          <w:sz w:val="21"/>
          <w:szCs w:val="21"/>
        </w:rPr>
        <w:t>列入贵公司母公司东莞市水务集团有限公司“黑名单”，我公司清楚并接受后续因此无法承接贵公司及贵公司母公司相关项目的后果；且</w:t>
      </w:r>
      <w:r>
        <w:rPr>
          <w:rFonts w:hint="eastAsia"/>
          <w:sz w:val="21"/>
          <w:szCs w:val="21"/>
          <w:lang w:eastAsia="zh-CN"/>
        </w:rPr>
        <w:t>我方</w:t>
      </w:r>
      <w:r>
        <w:rPr>
          <w:rFonts w:hint="eastAsia"/>
          <w:sz w:val="21"/>
          <w:szCs w:val="21"/>
        </w:rPr>
        <w:t>将同意并接受贵公司向东莞阳光网、东莞日报等媒体公开</w:t>
      </w:r>
      <w:r>
        <w:rPr>
          <w:rFonts w:hint="eastAsia"/>
          <w:sz w:val="21"/>
          <w:szCs w:val="21"/>
          <w:lang w:eastAsia="zh-CN"/>
        </w:rPr>
        <w:t>我方</w:t>
      </w:r>
      <w:r>
        <w:rPr>
          <w:rFonts w:hint="eastAsia"/>
          <w:sz w:val="21"/>
          <w:szCs w:val="21"/>
        </w:rPr>
        <w:t>失信行为，并上报</w:t>
      </w:r>
      <w:r>
        <w:rPr>
          <w:rFonts w:hint="eastAsia"/>
          <w:sz w:val="21"/>
          <w:szCs w:val="21"/>
          <w:lang w:val="en-US" w:eastAsia="zh-CN"/>
        </w:rPr>
        <w:t>东莞市</w:t>
      </w:r>
      <w:r>
        <w:rPr>
          <w:rFonts w:hint="eastAsia"/>
          <w:sz w:val="21"/>
          <w:szCs w:val="21"/>
          <w:lang w:val="zh-CN"/>
        </w:rPr>
        <w:t>国资委、</w:t>
      </w:r>
      <w:r>
        <w:rPr>
          <w:rFonts w:hint="eastAsia"/>
          <w:sz w:val="21"/>
          <w:szCs w:val="21"/>
          <w:lang w:val="zh-CN" w:eastAsia="zh-CN"/>
        </w:rPr>
        <w:t>东莞市水务局、</w:t>
      </w:r>
      <w:r>
        <w:rPr>
          <w:rFonts w:hint="eastAsia"/>
          <w:sz w:val="21"/>
          <w:szCs w:val="21"/>
          <w:lang w:val="en-US" w:eastAsia="zh-CN"/>
        </w:rPr>
        <w:t>东莞市司法局、东莞市律师协会</w:t>
      </w:r>
      <w:r>
        <w:rPr>
          <w:rFonts w:hint="eastAsia"/>
          <w:sz w:val="21"/>
          <w:szCs w:val="21"/>
          <w:lang w:val="zh-CN"/>
        </w:rPr>
        <w:t>等</w:t>
      </w:r>
      <w:r>
        <w:rPr>
          <w:rFonts w:hint="eastAsia"/>
          <w:sz w:val="21"/>
          <w:szCs w:val="21"/>
          <w:lang w:val="zh-CN" w:eastAsia="zh-CN"/>
        </w:rPr>
        <w:t>相关</w:t>
      </w:r>
      <w:r>
        <w:rPr>
          <w:rFonts w:hint="eastAsia"/>
          <w:sz w:val="21"/>
          <w:szCs w:val="21"/>
          <w:lang w:val="zh-CN"/>
        </w:rPr>
        <w:t>部门</w:t>
      </w:r>
      <w:r>
        <w:rPr>
          <w:rFonts w:hint="eastAsia"/>
          <w:sz w:val="21"/>
          <w:szCs w:val="21"/>
          <w:lang w:val="en-US" w:eastAsia="zh-CN"/>
        </w:rPr>
        <w:t>和行业协会</w:t>
      </w:r>
      <w:r>
        <w:rPr>
          <w:rFonts w:hint="eastAsia"/>
          <w:sz w:val="21"/>
          <w:szCs w:val="21"/>
          <w:lang w:val="zh-CN"/>
        </w:rPr>
        <w:t>，按相关规定</w:t>
      </w:r>
      <w:r>
        <w:rPr>
          <w:rFonts w:hint="eastAsia"/>
          <w:sz w:val="21"/>
          <w:szCs w:val="21"/>
          <w:lang w:val="zh-CN" w:eastAsia="zh-CN"/>
        </w:rPr>
        <w:t>进行</w:t>
      </w:r>
      <w:r>
        <w:rPr>
          <w:rFonts w:hint="eastAsia"/>
          <w:sz w:val="21"/>
          <w:szCs w:val="21"/>
          <w:lang w:val="zh-CN"/>
        </w:rPr>
        <w:t>处理，</w:t>
      </w:r>
      <w:r>
        <w:rPr>
          <w:rFonts w:hint="eastAsia"/>
          <w:sz w:val="21"/>
          <w:szCs w:val="21"/>
        </w:rPr>
        <w:t>由此产生的</w:t>
      </w:r>
      <w:r>
        <w:rPr>
          <w:rFonts w:hint="eastAsia"/>
          <w:sz w:val="21"/>
          <w:szCs w:val="21"/>
          <w:lang w:val="en-US" w:eastAsia="zh-CN"/>
        </w:rPr>
        <w:t>不利</w:t>
      </w:r>
      <w:r>
        <w:rPr>
          <w:rFonts w:hint="eastAsia"/>
          <w:sz w:val="21"/>
          <w:szCs w:val="21"/>
        </w:rPr>
        <w:t>影响</w:t>
      </w:r>
      <w:r>
        <w:rPr>
          <w:rFonts w:hint="eastAsia"/>
          <w:sz w:val="21"/>
          <w:szCs w:val="21"/>
          <w:lang w:val="en-US" w:eastAsia="zh-CN"/>
        </w:rPr>
        <w:t>和全部经济损失</w:t>
      </w:r>
      <w:r>
        <w:rPr>
          <w:rFonts w:hint="eastAsia"/>
          <w:sz w:val="21"/>
          <w:szCs w:val="21"/>
        </w:rPr>
        <w:t>将由</w:t>
      </w:r>
      <w:r>
        <w:rPr>
          <w:rFonts w:hint="eastAsia"/>
          <w:sz w:val="21"/>
          <w:szCs w:val="21"/>
          <w:lang w:eastAsia="zh-CN"/>
        </w:rPr>
        <w:t>我方</w:t>
      </w:r>
      <w:r>
        <w:rPr>
          <w:rFonts w:hint="eastAsia"/>
          <w:sz w:val="21"/>
          <w:szCs w:val="21"/>
        </w:rPr>
        <w:t>承担。</w:t>
      </w:r>
    </w:p>
    <w:p w14:paraId="33BA27EF">
      <w:pPr>
        <w:spacing w:line="360" w:lineRule="auto"/>
        <w:ind w:right="1004"/>
        <w:rPr>
          <w:rFonts w:hint="eastAsia"/>
          <w:w w:val="105"/>
          <w:sz w:val="21"/>
          <w:szCs w:val="21"/>
        </w:rPr>
      </w:pPr>
    </w:p>
    <w:p w14:paraId="3AE98C12">
      <w:pPr>
        <w:spacing w:line="360" w:lineRule="auto"/>
        <w:ind w:left="2297" w:leftChars="957" w:right="960" w:firstLine="0" w:firstLineChars="0"/>
        <w:rPr>
          <w:rFonts w:hint="eastAsia"/>
          <w:sz w:val="21"/>
          <w:szCs w:val="21"/>
        </w:rPr>
      </w:pPr>
      <w:r>
        <w:rPr>
          <w:rFonts w:hint="eastAsia"/>
          <w:sz w:val="21"/>
          <w:szCs w:val="21"/>
        </w:rPr>
        <w:t xml:space="preserve">承诺单位（盖章）：  </w:t>
      </w:r>
    </w:p>
    <w:p w14:paraId="5A582113">
      <w:pPr>
        <w:spacing w:line="360" w:lineRule="auto"/>
        <w:ind w:left="2297" w:leftChars="957" w:right="960"/>
        <w:rPr>
          <w:rFonts w:hint="eastAsia"/>
          <w:sz w:val="21"/>
          <w:szCs w:val="21"/>
        </w:rPr>
      </w:pPr>
      <w:r>
        <w:rPr>
          <w:rFonts w:hint="eastAsia"/>
          <w:sz w:val="21"/>
          <w:szCs w:val="21"/>
        </w:rPr>
        <w:t>负责人或授权代表（</w:t>
      </w:r>
      <w:r>
        <w:rPr>
          <w:rFonts w:hint="eastAsia"/>
          <w:sz w:val="21"/>
          <w:szCs w:val="21"/>
          <w:lang w:val="en-US" w:eastAsia="zh-CN"/>
        </w:rPr>
        <w:t>签名</w:t>
      </w:r>
      <w:r>
        <w:rPr>
          <w:rFonts w:hint="eastAsia"/>
          <w:sz w:val="21"/>
          <w:szCs w:val="21"/>
        </w:rPr>
        <w:t>或盖私章）：</w:t>
      </w:r>
    </w:p>
    <w:p w14:paraId="79B2936F">
      <w:pPr>
        <w:spacing w:line="360" w:lineRule="auto"/>
        <w:ind w:right="960"/>
        <w:rPr>
          <w:sz w:val="21"/>
          <w:szCs w:val="21"/>
        </w:rPr>
      </w:pPr>
      <w:r>
        <w:rPr>
          <w:rFonts w:hint="eastAsia"/>
          <w:sz w:val="21"/>
          <w:szCs w:val="21"/>
        </w:rPr>
        <w:t xml:space="preserve">                                               </w:t>
      </w:r>
      <w:r>
        <w:rPr>
          <w:sz w:val="21"/>
          <w:szCs w:val="21"/>
        </w:rPr>
        <w:t xml:space="preserve">   </w:t>
      </w: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14:paraId="50CBC96F">
      <w:pPr>
        <w:rPr>
          <w:rFonts w:hint="eastAsia"/>
          <w:b/>
          <w:bCs/>
          <w:sz w:val="28"/>
          <w:szCs w:val="28"/>
          <w:lang w:val="en-US" w:eastAsia="zh-CN"/>
        </w:rPr>
      </w:pPr>
      <w:r>
        <w:rPr>
          <w:rFonts w:hint="eastAsia"/>
          <w:b/>
          <w:bCs/>
          <w:sz w:val="28"/>
          <w:szCs w:val="28"/>
          <w:lang w:val="en-US" w:eastAsia="zh-CN"/>
        </w:rPr>
        <w:br w:type="page"/>
      </w:r>
    </w:p>
    <w:p w14:paraId="37F1AB69">
      <w:pPr>
        <w:rPr>
          <w:rFonts w:hint="default" w:eastAsia="宋体"/>
          <w:b/>
          <w:bCs/>
          <w:sz w:val="28"/>
          <w:szCs w:val="28"/>
          <w:lang w:val="en-US" w:eastAsia="zh-CN"/>
        </w:rPr>
      </w:pPr>
      <w:r>
        <w:rPr>
          <w:rFonts w:hint="eastAsia"/>
          <w:b/>
          <w:bCs/>
          <w:sz w:val="28"/>
          <w:szCs w:val="28"/>
          <w:lang w:val="en-US" w:eastAsia="zh-CN"/>
        </w:rPr>
        <w:t>附件6：阳光合作告知函</w:t>
      </w:r>
    </w:p>
    <w:p w14:paraId="7C91118E">
      <w:pPr>
        <w:autoSpaceDE/>
        <w:autoSpaceDN/>
        <w:adjustRightInd/>
        <w:spacing w:line="580" w:lineRule="exact"/>
        <w:jc w:val="center"/>
        <w:rPr>
          <w:rFonts w:ascii="Times New Roman" w:hAnsi="Times New Roman" w:eastAsia="方正小标宋简体" w:cs="Times New Roman"/>
          <w:bCs/>
          <w:color w:val="000000"/>
          <w:kern w:val="2"/>
          <w:sz w:val="44"/>
          <w:szCs w:val="44"/>
        </w:rPr>
      </w:pPr>
    </w:p>
    <w:p w14:paraId="20FD8E28">
      <w:pPr>
        <w:autoSpaceDE/>
        <w:autoSpaceDN/>
        <w:adjustRightInd/>
        <w:spacing w:line="580" w:lineRule="exact"/>
        <w:jc w:val="center"/>
        <w:rPr>
          <w:rFonts w:ascii="Times New Roman" w:hAnsi="Times New Roman" w:eastAsia="方正小标宋简体" w:cs="Times New Roman"/>
          <w:bCs/>
          <w:color w:val="000000"/>
          <w:kern w:val="2"/>
          <w:sz w:val="44"/>
          <w:szCs w:val="44"/>
        </w:rPr>
      </w:pPr>
      <w:r>
        <w:rPr>
          <w:rFonts w:ascii="Times New Roman" w:hAnsi="Times New Roman" w:eastAsia="方正小标宋简体" w:cs="Times New Roman"/>
          <w:bCs/>
          <w:color w:val="000000"/>
          <w:kern w:val="2"/>
          <w:sz w:val="44"/>
          <w:szCs w:val="44"/>
        </w:rPr>
        <w:t>阳光合作告知函</w:t>
      </w:r>
    </w:p>
    <w:p w14:paraId="6BE575FB">
      <w:pPr>
        <w:autoSpaceDE/>
        <w:autoSpaceDN/>
        <w:adjustRightInd/>
        <w:spacing w:line="560" w:lineRule="exact"/>
        <w:jc w:val="both"/>
        <w:rPr>
          <w:rFonts w:hint="default" w:ascii="Times New Roman" w:hAnsi="Times New Roman" w:eastAsia="仿宋_GB2312" w:cs="Times New Roman"/>
          <w:b/>
          <w:bCs/>
          <w:kern w:val="2"/>
          <w:sz w:val="32"/>
          <w:szCs w:val="32"/>
        </w:rPr>
      </w:pPr>
    </w:p>
    <w:p w14:paraId="4270FD65">
      <w:pPr>
        <w:numPr>
          <w:ilvl w:val="0"/>
          <w:numId w:val="0"/>
        </w:numPr>
        <w:autoSpaceDE/>
        <w:autoSpaceDN/>
        <w:adjustRightInd/>
        <w:spacing w:line="500" w:lineRule="exact"/>
        <w:jc w:val="both"/>
        <w:rPr>
          <w:rFonts w:hint="eastAsia" w:hAnsi="宋体" w:cs="宋体"/>
          <w:b/>
          <w:bCs/>
          <w:kern w:val="2"/>
          <w:sz w:val="24"/>
          <w:szCs w:val="24"/>
          <w:lang w:eastAsia="zh-CN"/>
        </w:rPr>
      </w:pPr>
      <w:r>
        <w:rPr>
          <w:rFonts w:hint="eastAsia" w:ascii="宋体" w:hAnsi="宋体" w:eastAsia="宋体" w:cs="宋体"/>
          <w:b/>
          <w:bCs/>
          <w:kern w:val="2"/>
          <w:sz w:val="24"/>
          <w:szCs w:val="24"/>
        </w:rPr>
        <w:t>项目名称</w:t>
      </w:r>
      <w:r>
        <w:rPr>
          <w:rFonts w:hint="eastAsia" w:hAnsi="宋体" w:cs="宋体"/>
          <w:b/>
          <w:bCs/>
          <w:kern w:val="2"/>
          <w:sz w:val="24"/>
          <w:szCs w:val="24"/>
          <w:lang w:eastAsia="zh-CN"/>
        </w:rPr>
        <w:t>：东莞市东引运河流域樟村断面综合治理工程（污水管网完善工程第二标段）施工合同纠纷专项法律服务</w:t>
      </w:r>
    </w:p>
    <w:p w14:paraId="6BAD968A">
      <w:pPr>
        <w:numPr>
          <w:ilvl w:val="0"/>
          <w:numId w:val="0"/>
        </w:numPr>
        <w:autoSpaceDE/>
        <w:autoSpaceDN/>
        <w:adjustRightInd/>
        <w:spacing w:line="500" w:lineRule="exact"/>
        <w:jc w:val="both"/>
        <w:rPr>
          <w:rFonts w:hint="eastAsia" w:ascii="宋体" w:hAnsi="宋体" w:eastAsia="宋体" w:cs="宋体"/>
          <w:kern w:val="2"/>
          <w:sz w:val="24"/>
          <w:szCs w:val="24"/>
        </w:rPr>
      </w:pPr>
      <w:r>
        <w:rPr>
          <w:rFonts w:hint="eastAsia" w:hAnsi="宋体" w:cs="宋体"/>
          <w:b/>
          <w:bCs/>
          <w:kern w:val="2"/>
          <w:sz w:val="24"/>
          <w:szCs w:val="24"/>
          <w:lang w:eastAsia="zh-CN"/>
        </w:rPr>
        <w:t>项目</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采购</w:t>
      </w:r>
      <w:r>
        <w:rPr>
          <w:rFonts w:hint="eastAsia" w:ascii="宋体" w:hAnsi="宋体" w:eastAsia="宋体" w:cs="宋体"/>
          <w:kern w:val="2"/>
          <w:sz w:val="24"/>
          <w:szCs w:val="24"/>
        </w:rPr>
        <w:t>编号：</w:t>
      </w:r>
      <w:r>
        <w:rPr>
          <w:rFonts w:hint="eastAsia" w:hAnsi="宋体" w:cs="宋体"/>
          <w:kern w:val="2"/>
          <w:sz w:val="24"/>
          <w:szCs w:val="24"/>
          <w:u w:val="single"/>
          <w:lang w:val="en-US" w:eastAsia="zh-CN"/>
        </w:rPr>
        <w:t xml:space="preserve">       </w:t>
      </w:r>
      <w:r>
        <w:rPr>
          <w:rFonts w:hint="eastAsia" w:ascii="宋体" w:hAnsi="宋体" w:eastAsia="宋体" w:cs="宋体"/>
          <w:kern w:val="2"/>
          <w:sz w:val="24"/>
          <w:szCs w:val="24"/>
        </w:rPr>
        <w:t>）</w:t>
      </w:r>
    </w:p>
    <w:p w14:paraId="29C713A2">
      <w:pPr>
        <w:widowControl w:val="0"/>
        <w:adjustRightInd w:val="0"/>
        <w:snapToGrid w:val="0"/>
        <w:spacing w:line="580" w:lineRule="exact"/>
        <w:ind w:firstLine="0"/>
        <w:jc w:val="both"/>
        <w:textAlignment w:val="baseline"/>
        <w:rPr>
          <w:rFonts w:hint="eastAsia" w:ascii="宋体" w:hAnsi="宋体" w:eastAsia="宋体" w:cs="宋体"/>
          <w:color w:val="000000"/>
          <w:kern w:val="2"/>
          <w:sz w:val="24"/>
          <w:szCs w:val="24"/>
          <w:u w:val="single"/>
          <w:lang w:val="en-US" w:eastAsia="zh-CN" w:bidi="ar-SA"/>
        </w:rPr>
      </w:pPr>
    </w:p>
    <w:p w14:paraId="2ECA6077">
      <w:pPr>
        <w:pStyle w:val="15"/>
        <w:widowControl/>
        <w:pBdr>
          <w:top w:val="none" w:color="auto" w:sz="0" w:space="0"/>
          <w:left w:val="none" w:color="auto" w:sz="0" w:space="0"/>
          <w:bottom w:val="none" w:color="auto" w:sz="0" w:space="0"/>
          <w:right w:val="none" w:color="auto" w:sz="0" w:space="0"/>
        </w:pBdr>
        <w:shd w:val="clear" w:fill="FFFFFF"/>
        <w:jc w:val="left"/>
        <w:rPr>
          <w:rFonts w:hint="eastAsia" w:ascii="宋体" w:hAnsi="宋体" w:eastAsia="宋体" w:cs="宋体"/>
          <w:color w:val="000000"/>
          <w:kern w:val="2"/>
          <w:sz w:val="24"/>
          <w:szCs w:val="24"/>
          <w:u w:val="single"/>
          <w:lang w:val="en-US" w:eastAsia="zh-CN" w:bidi="ar-SA"/>
        </w:rPr>
      </w:pPr>
      <w:r>
        <w:rPr>
          <w:rFonts w:hint="eastAsia"/>
          <w:i w:val="0"/>
          <w:iCs w:val="0"/>
          <w:caps w:val="0"/>
          <w:color w:val="333333"/>
          <w:spacing w:val="0"/>
          <w:sz w:val="24"/>
          <w:szCs w:val="24"/>
          <w:shd w:val="clear" w:fill="FFFFFF"/>
          <w:lang w:val="en-US" w:eastAsia="zh-CN"/>
        </w:rPr>
        <w:t xml:space="preserve"> </w:t>
      </w:r>
      <w:r>
        <w:rPr>
          <w:rFonts w:hint="eastAsia"/>
          <w:i w:val="0"/>
          <w:iCs w:val="0"/>
          <w:caps w:val="0"/>
          <w:color w:val="333333"/>
          <w:spacing w:val="0"/>
          <w:sz w:val="24"/>
          <w:szCs w:val="24"/>
          <w:u w:val="single"/>
          <w:shd w:val="clear" w:fill="FFFFFF"/>
          <w:lang w:val="en-US" w:eastAsia="zh-CN"/>
        </w:rPr>
        <w:t xml:space="preserve">               </w:t>
      </w:r>
      <w:r>
        <w:rPr>
          <w:rFonts w:hint="eastAsia" w:ascii="宋体" w:hAnsi="宋体" w:eastAsia="宋体" w:cs="宋体"/>
          <w:color w:val="000000"/>
          <w:kern w:val="2"/>
          <w:sz w:val="24"/>
          <w:szCs w:val="24"/>
          <w:lang w:val="en-US" w:eastAsia="zh-CN" w:bidi="ar-SA"/>
        </w:rPr>
        <w:t xml:space="preserve">：                          </w:t>
      </w:r>
    </w:p>
    <w:p w14:paraId="666B997D">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为保证我方人员廉洁从业，规范和鼓励诚信交易行为，防止腐败和商业贿赂发生，推动双方建立阳光合作关系，现将我方推行阳光合作的相关管理规定函告如下：</w:t>
      </w:r>
    </w:p>
    <w:p w14:paraId="405342CC">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一、我方负责对本单位有关人员进行阳光合作教育和管理。</w:t>
      </w:r>
    </w:p>
    <w:p w14:paraId="3BE419D4">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二、我方人员有责任向贵方介绍本单位有关阳光合作的相关规定。</w:t>
      </w:r>
    </w:p>
    <w:p w14:paraId="73978DDE">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三、我方人员应本着诚实守信、公平公开、平等互利原则开展交易合作，遵守国家相关法律法规。</w:t>
      </w:r>
    </w:p>
    <w:p w14:paraId="1584C171">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四、我方人员应廉洁从业，自觉抵制商业贿赂及不正当交易行为，在交易业务中涉及本人、亲属或其他相关人员时，应主动提请回避。</w:t>
      </w:r>
    </w:p>
    <w:p w14:paraId="2672B835">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五、在业务合作过程中，我方人员不得有以下违法违规行为：</w:t>
      </w:r>
    </w:p>
    <w:p w14:paraId="7DC63693">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（一）合作过程中通过各种方式向贵方索贿、行贿，或为亲属、其他相关人员索取其他协助或服务； </w:t>
      </w:r>
    </w:p>
    <w:p w14:paraId="3E6196EB">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14:paraId="208AB7E3">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（三）擅自截留、挪用或侵占贵方财物； </w:t>
      </w:r>
    </w:p>
    <w:p w14:paraId="052E0E86">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（四）以各种形式参与民间借贷，帮助贵方过桥借贷； </w:t>
      </w:r>
    </w:p>
    <w:p w14:paraId="29537FAF">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（五）参与黄、赌、毒等违法犯罪活动；</w:t>
      </w:r>
    </w:p>
    <w:p w14:paraId="17ED2E88">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（六）其他违反国家法律法规和违反廉洁从业的行为。 </w:t>
      </w:r>
    </w:p>
    <w:p w14:paraId="3EBDB6E3">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14:paraId="4149D76E">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七、烦请贵方及贵方人员在投诉举报时，积极配合我方的相关调查工作，并提供联系方式等，便于我方纪检监察机构联系与调查核实。我方承诺对贵方的投诉举报人进行保密。</w:t>
      </w:r>
    </w:p>
    <w:p w14:paraId="647E97AD">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八、贵方投诉举报的情况，经查证属实，我方将视情节轻重和影响恶劣程度对相关人员进行内部处理；构成犯罪的，依法移送司法机关处置，并将调查结果及时向贵方反馈。</w:t>
      </w:r>
    </w:p>
    <w:p w14:paraId="5A0F663B">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九、如贵方经办人员或其他相关人员主动诱使我方人员作出本告知函第五点列明的违法违规行为的，我方有权终止双方的合作，由此造成的损失由贵方承担。</w:t>
      </w:r>
    </w:p>
    <w:p w14:paraId="58D561E5">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十、我方对如实举报和严格遵守阳光合作精神的合作方，在同等条件下给予后续合作的优先权。</w:t>
      </w:r>
    </w:p>
    <w:p w14:paraId="6B522D9B">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十一、其他</w:t>
      </w:r>
    </w:p>
    <w:p w14:paraId="16D2C8B1">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（一）本告知函所言“其他相关人员”是指经办人以外的与合作项目有直接或间接利益关系的人员，包括但不仅限于项目经办人的亲友。</w:t>
      </w:r>
    </w:p>
    <w:p w14:paraId="0F5E0890">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（二）我方常设投诉举报受理部门及联系方式： </w:t>
      </w:r>
    </w:p>
    <w:p w14:paraId="0273D0F6">
      <w:pPr>
        <w:widowControl w:val="0"/>
        <w:adjustRightInd w:val="0"/>
        <w:snapToGrid w:val="0"/>
        <w:spacing w:line="580" w:lineRule="exact"/>
        <w:ind w:firstLine="482"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1.投诉举报受理部门：</w:t>
      </w:r>
      <w:r>
        <w:rPr>
          <w:rFonts w:hint="eastAsia" w:ascii="宋体" w:hAnsi="宋体" w:eastAsia="宋体" w:cs="宋体"/>
          <w:kern w:val="2"/>
          <w:sz w:val="24"/>
          <w:szCs w:val="24"/>
          <w:lang w:val="en-US" w:eastAsia="zh-CN" w:bidi="ar-SA"/>
        </w:rPr>
        <w:t>东莞市水务集团有限公司纪检监察部；</w:t>
      </w:r>
    </w:p>
    <w:p w14:paraId="2B101EC2">
      <w:pPr>
        <w:widowControl w:val="0"/>
        <w:adjustRightInd w:val="0"/>
        <w:snapToGrid w:val="0"/>
        <w:spacing w:line="580" w:lineRule="exact"/>
        <w:ind w:firstLine="482"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2.投诉举报电话：</w:t>
      </w:r>
      <w:r>
        <w:rPr>
          <w:rFonts w:hint="eastAsia" w:ascii="宋体" w:hAnsi="宋体" w:eastAsia="宋体" w:cs="宋体"/>
          <w:kern w:val="2"/>
          <w:sz w:val="24"/>
          <w:szCs w:val="24"/>
          <w:lang w:val="en-US" w:eastAsia="zh-CN" w:bidi="ar-SA"/>
        </w:rPr>
        <w:t>0769–28823293（星期一至星期五：8:30-17:30）；</w:t>
      </w:r>
    </w:p>
    <w:p w14:paraId="0F4BC7D7">
      <w:pPr>
        <w:widowControl w:val="0"/>
        <w:adjustRightInd w:val="0"/>
        <w:snapToGrid w:val="0"/>
        <w:spacing w:line="580" w:lineRule="exact"/>
        <w:ind w:firstLine="482"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3.联系地址：</w:t>
      </w:r>
      <w:r>
        <w:rPr>
          <w:rFonts w:hint="eastAsia" w:ascii="宋体" w:hAnsi="宋体" w:eastAsia="宋体" w:cs="宋体"/>
          <w:kern w:val="2"/>
          <w:sz w:val="24"/>
          <w:szCs w:val="24"/>
          <w:lang w:val="en-US" w:eastAsia="zh-CN" w:bidi="ar-SA"/>
        </w:rPr>
        <w:t>东莞市东城街道育华路1号；</w:t>
      </w:r>
    </w:p>
    <w:p w14:paraId="029CA3A0">
      <w:pPr>
        <w:widowControl w:val="0"/>
        <w:adjustRightInd w:val="0"/>
        <w:snapToGrid w:val="0"/>
        <w:spacing w:line="580" w:lineRule="exact"/>
        <w:ind w:firstLine="482"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4.邮编：</w:t>
      </w:r>
      <w:r>
        <w:rPr>
          <w:rFonts w:hint="eastAsia" w:ascii="宋体" w:hAnsi="宋体" w:eastAsia="宋体" w:cs="宋体"/>
          <w:kern w:val="2"/>
          <w:sz w:val="24"/>
          <w:szCs w:val="24"/>
          <w:lang w:val="en-US" w:eastAsia="zh-CN" w:bidi="ar-SA"/>
        </w:rPr>
        <w:t>523000。</w:t>
      </w:r>
    </w:p>
    <w:p w14:paraId="3C5D133F">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让我们共同为建立健康、公平的商业秩序和实现双赢而努力。</w:t>
      </w:r>
    </w:p>
    <w:p w14:paraId="792711C7">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特此致函。</w:t>
      </w:r>
    </w:p>
    <w:p w14:paraId="1AB1214A">
      <w:pPr>
        <w:widowControl w:val="0"/>
        <w:wordWrap w:val="0"/>
        <w:adjustRightInd w:val="0"/>
        <w:snapToGrid w:val="0"/>
        <w:spacing w:line="580" w:lineRule="exact"/>
        <w:jc w:val="both"/>
        <w:textAlignment w:val="baseline"/>
        <w:rPr>
          <w:rFonts w:hint="eastAsia" w:ascii="宋体" w:hAnsi="宋体" w:eastAsia="宋体" w:cs="宋体"/>
          <w:kern w:val="2"/>
          <w:sz w:val="24"/>
          <w:szCs w:val="24"/>
          <w:lang w:val="en-US" w:eastAsia="zh-CN" w:bidi="ar-SA"/>
        </w:rPr>
      </w:pPr>
    </w:p>
    <w:p w14:paraId="6C13975A">
      <w:pPr>
        <w:widowControl w:val="0"/>
        <w:wordWrap w:val="0"/>
        <w:adjustRightInd w:val="0"/>
        <w:snapToGrid w:val="0"/>
        <w:spacing w:line="580" w:lineRule="exact"/>
        <w:jc w:val="both"/>
        <w:textAlignment w:val="baseline"/>
        <w:rPr>
          <w:rFonts w:hint="eastAsia" w:ascii="宋体" w:hAnsi="宋体" w:eastAsia="宋体" w:cs="宋体"/>
          <w:kern w:val="2"/>
          <w:sz w:val="24"/>
          <w:szCs w:val="24"/>
          <w:lang w:val="en-US" w:eastAsia="zh-CN" w:bidi="ar-SA"/>
        </w:rPr>
      </w:pPr>
    </w:p>
    <w:p w14:paraId="5E086022">
      <w:pPr>
        <w:widowControl w:val="0"/>
        <w:adjustRightInd w:val="0"/>
        <w:snapToGrid w:val="0"/>
        <w:spacing w:line="580" w:lineRule="exact"/>
        <w:jc w:val="center"/>
        <w:textAlignment w:val="baseline"/>
        <w:rPr>
          <w:rFonts w:hint="eastAsia" w:ascii="宋体" w:hAnsi="宋体" w:eastAsia="宋体" w:cs="Times New Roman"/>
          <w:b w:val="0"/>
          <w:bCs/>
          <w:color w:val="auto"/>
          <w:kern w:val="0"/>
          <w:sz w:val="24"/>
          <w:szCs w:val="24"/>
          <w:lang w:val="en-US" w:eastAsia="zh-CN"/>
        </w:rPr>
      </w:pPr>
      <w:r>
        <w:rPr>
          <w:rFonts w:hint="eastAsia" w:hAnsi="宋体" w:cs="Times New Roman"/>
          <w:b w:val="0"/>
          <w:bCs/>
          <w:color w:val="auto"/>
          <w:kern w:val="0"/>
          <w:sz w:val="24"/>
          <w:szCs w:val="24"/>
          <w:lang w:val="en-US" w:eastAsia="zh-CN"/>
        </w:rPr>
        <w:t xml:space="preserve">  </w:t>
      </w:r>
    </w:p>
    <w:p w14:paraId="77715C28">
      <w:pPr>
        <w:widowControl w:val="0"/>
        <w:adjustRightInd w:val="0"/>
        <w:snapToGrid w:val="0"/>
        <w:spacing w:line="580" w:lineRule="exact"/>
        <w:jc w:val="right"/>
        <w:textAlignment w:val="baseline"/>
        <w:rPr>
          <w:rFonts w:hint="eastAsia" w:ascii="宋体" w:hAnsi="宋体" w:eastAsia="宋体" w:cs="Times New Roman"/>
          <w:b w:val="0"/>
          <w:bCs/>
          <w:color w:val="auto"/>
          <w:kern w:val="0"/>
          <w:sz w:val="24"/>
          <w:szCs w:val="24"/>
          <w:lang w:val="en-US" w:eastAsia="zh-CN"/>
        </w:rPr>
      </w:pPr>
    </w:p>
    <w:p w14:paraId="701EFE3C">
      <w:pPr>
        <w:widowControl w:val="0"/>
        <w:adjustRightInd w:val="0"/>
        <w:snapToGrid w:val="0"/>
        <w:spacing w:line="580" w:lineRule="exact"/>
        <w:jc w:val="right"/>
        <w:textAlignment w:val="baseline"/>
        <w:rPr>
          <w:rFonts w:hint="eastAsia" w:ascii="宋体" w:hAnsi="宋体" w:eastAsia="宋体" w:cs="Times New Roman"/>
          <w:b w:val="0"/>
          <w:bCs/>
          <w:color w:val="auto"/>
          <w:kern w:val="0"/>
          <w:sz w:val="24"/>
          <w:szCs w:val="24"/>
          <w:lang w:val="en-US" w:eastAsia="zh-CN"/>
        </w:rPr>
      </w:pPr>
    </w:p>
    <w:p w14:paraId="6EABF1A0">
      <w:pPr>
        <w:widowControl w:val="0"/>
        <w:adjustRightInd w:val="0"/>
        <w:snapToGrid w:val="0"/>
        <w:spacing w:line="580" w:lineRule="exact"/>
        <w:jc w:val="center"/>
        <w:textAlignment w:val="baseline"/>
        <w:rPr>
          <w:rFonts w:hint="eastAsia" w:ascii="宋体" w:hAnsi="宋体" w:eastAsia="宋体" w:cs="宋体"/>
          <w:kern w:val="2"/>
          <w:sz w:val="24"/>
          <w:szCs w:val="24"/>
          <w:lang w:val="en-US" w:eastAsia="zh-CN" w:bidi="ar-SA"/>
        </w:rPr>
      </w:pPr>
      <w:r>
        <w:rPr>
          <w:rFonts w:hint="eastAsia" w:hAnsi="宋体" w:cs="Times New Roman"/>
          <w:b w:val="0"/>
          <w:bCs/>
          <w:color w:val="auto"/>
          <w:kern w:val="0"/>
          <w:sz w:val="24"/>
          <w:szCs w:val="24"/>
          <w:lang w:val="en-US" w:eastAsia="zh-CN"/>
        </w:rPr>
        <w:t xml:space="preserve">                                </w:t>
      </w:r>
      <w:r>
        <w:rPr>
          <w:rFonts w:hint="eastAsia" w:ascii="宋体" w:hAnsi="宋体" w:eastAsia="宋体" w:cs="Times New Roman"/>
          <w:b w:val="0"/>
          <w:bCs/>
          <w:color w:val="auto"/>
          <w:kern w:val="0"/>
          <w:sz w:val="24"/>
          <w:szCs w:val="24"/>
          <w:lang w:val="en-US" w:eastAsia="zh-CN"/>
        </w:rPr>
        <w:t>东莞市</w:t>
      </w:r>
      <w:r>
        <w:rPr>
          <w:rFonts w:hint="eastAsia" w:hAnsi="宋体" w:cs="Times New Roman"/>
          <w:b w:val="0"/>
          <w:bCs/>
          <w:color w:val="auto"/>
          <w:kern w:val="0"/>
          <w:sz w:val="24"/>
          <w:szCs w:val="24"/>
          <w:lang w:val="en-US" w:eastAsia="zh-CN"/>
        </w:rPr>
        <w:t>莞清</w:t>
      </w:r>
      <w:r>
        <w:rPr>
          <w:rFonts w:hint="eastAsia" w:ascii="宋体" w:hAnsi="宋体" w:eastAsia="宋体" w:cs="Times New Roman"/>
          <w:b w:val="0"/>
          <w:bCs/>
          <w:color w:val="auto"/>
          <w:kern w:val="0"/>
          <w:sz w:val="24"/>
          <w:szCs w:val="24"/>
          <w:lang w:val="en-US" w:eastAsia="zh-CN"/>
        </w:rPr>
        <w:t>水环境投资有限公司</w:t>
      </w:r>
      <w:r>
        <w:rPr>
          <w:rFonts w:hint="eastAsia" w:ascii="宋体" w:hAnsi="宋体" w:eastAsia="宋体" w:cs="宋体"/>
          <w:kern w:val="2"/>
          <w:sz w:val="24"/>
          <w:szCs w:val="24"/>
          <w:lang w:val="en-US" w:eastAsia="zh-CN" w:bidi="ar-SA"/>
        </w:rPr>
        <w:t xml:space="preserve">  </w:t>
      </w:r>
    </w:p>
    <w:p w14:paraId="038E720A">
      <w:pPr>
        <w:widowControl w:val="0"/>
        <w:adjustRightInd w:val="0"/>
        <w:snapToGrid w:val="0"/>
        <w:spacing w:line="580" w:lineRule="exact"/>
        <w:jc w:val="right"/>
        <w:textAlignment w:val="baseline"/>
        <w:rPr>
          <w:rFonts w:hint="eastAsia" w:ascii="宋体" w:hAnsi="宋体" w:eastAsia="宋体" w:cs="宋体"/>
          <w:kern w:val="2"/>
          <w:sz w:val="24"/>
          <w:szCs w:val="24"/>
          <w:lang w:val="en-US" w:eastAsia="zh-CN" w:bidi="ar-SA"/>
        </w:rPr>
      </w:pPr>
    </w:p>
    <w:p w14:paraId="301057D0">
      <w:pPr>
        <w:widowControl w:val="0"/>
        <w:adjustRightInd w:val="0"/>
        <w:snapToGrid w:val="0"/>
        <w:spacing w:line="580" w:lineRule="exact"/>
        <w:jc w:val="right"/>
        <w:textAlignment w:val="baseline"/>
        <w:rPr>
          <w:rFonts w:hint="eastAsia"/>
        </w:rPr>
      </w:pPr>
      <w:r>
        <w:rPr>
          <w:rFonts w:hint="eastAsia" w:ascii="宋体" w:hAnsi="宋体" w:eastAsia="宋体" w:cs="宋体"/>
          <w:kern w:val="2"/>
          <w:sz w:val="24"/>
          <w:szCs w:val="24"/>
          <w:lang w:val="en-US" w:eastAsia="zh-CN" w:bidi="ar-SA"/>
        </w:rPr>
        <w:t>年   月   日</w:t>
      </w:r>
    </w:p>
    <w:p w14:paraId="33316921">
      <w:pPr>
        <w:rPr>
          <w:rFonts w:hint="eastAsia"/>
        </w:rPr>
      </w:pPr>
      <w:r>
        <w:rPr>
          <w:rFonts w:hint="eastAsia"/>
        </w:rPr>
        <w:br w:type="page"/>
      </w:r>
    </w:p>
    <w:p w14:paraId="1E1D91A7">
      <w:pPr>
        <w:widowControl w:val="0"/>
        <w:adjustRightInd w:val="0"/>
        <w:snapToGrid w:val="0"/>
        <w:spacing w:line="580" w:lineRule="exact"/>
        <w:ind w:firstLine="0"/>
        <w:jc w:val="center"/>
        <w:textAlignment w:val="baseline"/>
        <w:rPr>
          <w:rFonts w:ascii="仿宋_GB2312" w:hAnsi="Times New Roman" w:eastAsia="仿宋_GB2312" w:cs="Times New Roman"/>
          <w:kern w:val="2"/>
          <w:sz w:val="32"/>
          <w:szCs w:val="32"/>
          <w:lang w:val="en-US" w:eastAsia="zh-CN" w:bidi="ar-SA"/>
        </w:rPr>
      </w:pPr>
    </w:p>
    <w:p w14:paraId="5C13461C">
      <w:pPr>
        <w:widowControl w:val="0"/>
        <w:adjustRightInd w:val="0"/>
        <w:snapToGrid w:val="0"/>
        <w:spacing w:line="580" w:lineRule="exact"/>
        <w:ind w:firstLine="0"/>
        <w:jc w:val="center"/>
        <w:textAlignment w:val="baseline"/>
        <w:rPr>
          <w:rFonts w:ascii="Times New Roman" w:hAnsi="Times New Roman" w:eastAsia="黑体" w:cs="Times New Roman"/>
          <w:kern w:val="2"/>
          <w:sz w:val="48"/>
          <w:szCs w:val="48"/>
          <w:lang w:val="zh-CN" w:eastAsia="zh-CN" w:bidi="ar-SA"/>
        </w:rPr>
      </w:pPr>
      <w:r>
        <w:rPr>
          <w:rFonts w:hint="eastAsia" w:ascii="Times New Roman" w:hAnsi="Times New Roman" w:eastAsia="黑体" w:cs="Times New Roman"/>
          <w:kern w:val="2"/>
          <w:sz w:val="48"/>
          <w:szCs w:val="48"/>
          <w:lang w:val="zh-CN" w:eastAsia="zh-CN" w:bidi="ar-SA"/>
        </w:rPr>
        <w:t>阳光合作告知函回执</w:t>
      </w:r>
    </w:p>
    <w:p w14:paraId="25AE2BBC">
      <w:pPr>
        <w:widowControl w:val="0"/>
        <w:adjustRightInd w:val="0"/>
        <w:snapToGrid w:val="0"/>
        <w:spacing w:line="580" w:lineRule="exact"/>
        <w:ind w:firstLine="0"/>
        <w:jc w:val="center"/>
        <w:textAlignment w:val="baseline"/>
        <w:rPr>
          <w:rFonts w:ascii="Times New Roman" w:hAnsi="Times New Roman" w:eastAsia="仿宋_GB2312" w:cs="Times New Roman"/>
          <w:kern w:val="2"/>
          <w:sz w:val="30"/>
          <w:szCs w:val="30"/>
          <w:lang w:val="en-US" w:eastAsia="zh-CN" w:bidi="ar-SA"/>
        </w:rPr>
      </w:pPr>
      <w:r>
        <w:rPr>
          <w:rFonts w:ascii="Times New Roman" w:hAnsi="Times New Roman" w:eastAsia="仿宋_GB2312" w:cs="Times New Roman"/>
          <w:kern w:val="2"/>
          <w:sz w:val="30"/>
          <w:szCs w:val="30"/>
          <w:lang w:val="en-US" w:eastAsia="zh-CN" w:bidi="ar-SA"/>
        </w:rPr>
        <w:t xml:space="preserve">                            </w:t>
      </w:r>
    </w:p>
    <w:p w14:paraId="0B76D11E">
      <w:pPr>
        <w:widowControl w:val="0"/>
        <w:adjustRightInd w:val="0"/>
        <w:snapToGrid w:val="0"/>
        <w:spacing w:line="580" w:lineRule="exact"/>
        <w:ind w:firstLine="0"/>
        <w:jc w:val="center"/>
        <w:textAlignment w:val="baseline"/>
        <w:rPr>
          <w:rFonts w:hint="eastAsia" w:ascii="宋体" w:hAnsi="宋体" w:eastAsia="宋体" w:cs="宋体"/>
          <w:kern w:val="2"/>
          <w:sz w:val="24"/>
          <w:szCs w:val="24"/>
          <w:lang w:val="en-US" w:eastAsia="zh-CN" w:bidi="ar-SA"/>
        </w:rPr>
      </w:pPr>
      <w:r>
        <w:rPr>
          <w:rFonts w:ascii="Times New Roman" w:hAnsi="Times New Roman" w:eastAsia="仿宋_GB2312" w:cs="Times New Roman"/>
          <w:kern w:val="2"/>
          <w:sz w:val="30"/>
          <w:szCs w:val="30"/>
          <w:lang w:val="en-US" w:eastAsia="zh-CN" w:bidi="ar-SA"/>
        </w:rPr>
        <w:t xml:space="preserve">              </w:t>
      </w: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zh-CN" w:eastAsia="zh-CN" w:bidi="ar-SA"/>
        </w:rPr>
        <w:t>编号：</w:t>
      </w:r>
      <w:r>
        <w:rPr>
          <w:rFonts w:hint="eastAsia" w:ascii="宋体" w:hAnsi="宋体" w:eastAsia="宋体" w:cs="宋体"/>
          <w:kern w:val="2"/>
          <w:sz w:val="24"/>
          <w:szCs w:val="24"/>
          <w:lang w:val="en-US" w:eastAsia="zh-CN" w:bidi="ar-SA"/>
        </w:rPr>
        <w:t xml:space="preserve">   </w:t>
      </w:r>
    </w:p>
    <w:p w14:paraId="1DE71EE1">
      <w:pPr>
        <w:widowControl w:val="0"/>
        <w:adjustRightInd w:val="0"/>
        <w:snapToGrid w:val="0"/>
        <w:spacing w:line="580" w:lineRule="exact"/>
        <w:ind w:firstLine="0"/>
        <w:jc w:val="center"/>
        <w:textAlignment w:val="baseline"/>
        <w:rPr>
          <w:rFonts w:hint="eastAsia" w:ascii="宋体" w:hAnsi="宋体" w:eastAsia="宋体" w:cs="宋体"/>
          <w:kern w:val="2"/>
          <w:sz w:val="24"/>
          <w:szCs w:val="24"/>
          <w:lang w:val="zh-CN" w:eastAsia="zh-CN" w:bidi="ar-SA"/>
        </w:rPr>
      </w:pPr>
    </w:p>
    <w:p w14:paraId="05FC7DF3">
      <w:pPr>
        <w:autoSpaceDE w:val="0"/>
        <w:autoSpaceDN w:val="0"/>
        <w:adjustRightInd w:val="0"/>
        <w:spacing w:line="580" w:lineRule="exact"/>
        <w:ind w:firstLine="600" w:firstLineChars="250"/>
        <w:jc w:val="left"/>
        <w:rPr>
          <w:rFonts w:hint="eastAsia" w:ascii="宋体" w:hAnsi="宋体" w:eastAsia="宋体" w:cs="宋体"/>
          <w:kern w:val="0"/>
          <w:sz w:val="24"/>
          <w:szCs w:val="24"/>
          <w:lang w:val="zh-CN"/>
        </w:rPr>
      </w:pPr>
      <w:r>
        <w:rPr>
          <w:rFonts w:hint="eastAsia" w:ascii="宋体" w:hAnsi="宋体" w:eastAsia="宋体" w:cs="宋体"/>
          <w:kern w:val="2"/>
          <w:sz w:val="24"/>
          <w:szCs w:val="24"/>
          <w:lang w:val="zh-CN"/>
        </w:rPr>
        <w:t>我单位于</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年</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月</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日收到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东莞市</w:t>
      </w:r>
      <w:r>
        <w:rPr>
          <w:rFonts w:hint="eastAsia" w:hAnsi="宋体" w:cs="宋体"/>
          <w:kern w:val="2"/>
          <w:sz w:val="24"/>
          <w:szCs w:val="24"/>
          <w:u w:val="single"/>
          <w:lang w:val="en-US" w:eastAsia="zh-CN"/>
        </w:rPr>
        <w:t>莞清</w:t>
      </w:r>
      <w:r>
        <w:rPr>
          <w:rFonts w:hint="eastAsia" w:ascii="宋体" w:hAnsi="宋体" w:eastAsia="宋体" w:cs="宋体"/>
          <w:kern w:val="2"/>
          <w:sz w:val="24"/>
          <w:szCs w:val="24"/>
          <w:u w:val="single"/>
        </w:rPr>
        <w:t>水环境投资有限公司</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lang w:val="zh-CN"/>
        </w:rPr>
        <w:t>的《阳光合作告知</w:t>
      </w:r>
      <w:r>
        <w:rPr>
          <w:rFonts w:hint="eastAsia" w:ascii="宋体" w:hAnsi="宋体" w:eastAsia="宋体" w:cs="宋体"/>
          <w:kern w:val="0"/>
          <w:sz w:val="24"/>
          <w:szCs w:val="24"/>
          <w:lang w:val="zh-CN"/>
        </w:rPr>
        <w:t>函</w:t>
      </w:r>
      <w:r>
        <w:rPr>
          <w:rFonts w:hint="eastAsia" w:ascii="宋体" w:hAnsi="宋体" w:eastAsia="宋体" w:cs="宋体"/>
          <w:kern w:val="2"/>
          <w:sz w:val="24"/>
          <w:szCs w:val="24"/>
          <w:lang w:val="zh-CN"/>
        </w:rPr>
        <w:t>》</w:t>
      </w:r>
      <w:r>
        <w:rPr>
          <w:rFonts w:hint="eastAsia" w:ascii="宋体" w:hAnsi="宋体" w:eastAsia="宋体" w:cs="宋体"/>
          <w:kern w:val="0"/>
          <w:sz w:val="24"/>
          <w:szCs w:val="24"/>
          <w:lang w:val="zh-CN"/>
        </w:rPr>
        <w:t>，承诺理解函告内容并告知相关人员严格执行其中规定。</w:t>
      </w:r>
    </w:p>
    <w:p w14:paraId="7B6A1C9F">
      <w:pPr>
        <w:autoSpaceDE w:val="0"/>
        <w:autoSpaceDN w:val="0"/>
        <w:adjustRightInd w:val="0"/>
        <w:snapToGrid w:val="0"/>
        <w:spacing w:line="580" w:lineRule="exact"/>
        <w:jc w:val="left"/>
        <w:rPr>
          <w:rFonts w:hint="eastAsia" w:ascii="宋体" w:hAnsi="宋体" w:eastAsia="宋体" w:cs="宋体"/>
          <w:kern w:val="2"/>
          <w:sz w:val="24"/>
          <w:szCs w:val="24"/>
          <w:lang w:val="zh-CN"/>
        </w:rPr>
      </w:pPr>
    </w:p>
    <w:p w14:paraId="463486B4">
      <w:pPr>
        <w:autoSpaceDE w:val="0"/>
        <w:autoSpaceDN w:val="0"/>
        <w:adjustRightInd w:val="0"/>
        <w:snapToGrid w:val="0"/>
        <w:spacing w:line="580" w:lineRule="exact"/>
        <w:ind w:firstLine="3840" w:firstLineChars="1600"/>
        <w:jc w:val="both"/>
        <w:rPr>
          <w:rFonts w:hint="eastAsia" w:ascii="宋体" w:hAnsi="宋体" w:eastAsia="宋体" w:cs="宋体"/>
          <w:kern w:val="2"/>
          <w:sz w:val="24"/>
          <w:szCs w:val="24"/>
          <w:lang w:val="zh-CN"/>
        </w:rPr>
      </w:pPr>
      <w:r>
        <w:rPr>
          <w:rFonts w:hint="eastAsia" w:ascii="宋体" w:hAnsi="宋体" w:eastAsia="宋体" w:cs="宋体"/>
          <w:bCs/>
          <w:kern w:val="2"/>
          <w:sz w:val="24"/>
          <w:szCs w:val="24"/>
          <w:u w:val="single"/>
          <w:lang w:val="en-US" w:eastAsia="zh-CN"/>
        </w:rPr>
        <w:t xml:space="preserve"> </w:t>
      </w:r>
      <w:r>
        <w:rPr>
          <w:rFonts w:hint="eastAsia" w:hAnsi="宋体" w:cs="宋体"/>
          <w:bCs/>
          <w:kern w:val="2"/>
          <w:sz w:val="24"/>
          <w:szCs w:val="24"/>
          <w:u w:val="single"/>
          <w:lang w:val="en-US" w:eastAsia="zh-CN"/>
        </w:rPr>
        <w:t xml:space="preserve">                          </w:t>
      </w:r>
      <w:r>
        <w:rPr>
          <w:rFonts w:hint="eastAsia" w:ascii="宋体" w:hAnsi="宋体" w:eastAsia="宋体" w:cs="宋体"/>
          <w:bCs/>
          <w:kern w:val="2"/>
          <w:sz w:val="24"/>
          <w:szCs w:val="24"/>
          <w:u w:val="single"/>
          <w:lang w:val="en-US" w:eastAsia="zh-CN"/>
        </w:rPr>
        <w:t xml:space="preserve"> </w:t>
      </w:r>
      <w:r>
        <w:rPr>
          <w:rFonts w:hint="eastAsia" w:ascii="宋体" w:hAnsi="宋体" w:eastAsia="宋体" w:cs="宋体"/>
          <w:kern w:val="2"/>
          <w:sz w:val="24"/>
          <w:szCs w:val="24"/>
          <w:lang w:val="zh-CN"/>
        </w:rPr>
        <w:t>（盖章）</w:t>
      </w:r>
    </w:p>
    <w:p w14:paraId="3AF6CEEF">
      <w:pPr>
        <w:autoSpaceDE w:val="0"/>
        <w:autoSpaceDN w:val="0"/>
        <w:adjustRightInd w:val="0"/>
        <w:snapToGrid w:val="0"/>
        <w:spacing w:line="580" w:lineRule="exact"/>
        <w:ind w:right="1280" w:firstLine="3840" w:firstLineChars="160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负责人或授权代表：           </w:t>
      </w:r>
    </w:p>
    <w:p w14:paraId="07498DC7">
      <w:pP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    月    日</w:t>
      </w:r>
    </w:p>
    <w:p w14:paraId="60046EB7">
      <w:pPr>
        <w:rPr>
          <w:rFonts w:hint="eastAsia" w:ascii="宋体" w:hAnsi="宋体" w:eastAsia="宋体" w:cs="宋体"/>
          <w:kern w:val="2"/>
          <w:sz w:val="24"/>
          <w:szCs w:val="24"/>
        </w:rPr>
      </w:pPr>
    </w:p>
    <w:p w14:paraId="5AE6E18C">
      <w:pPr>
        <w:rPr>
          <w:rFonts w:hint="eastAsia" w:ascii="宋体" w:hAnsi="宋体" w:eastAsia="宋体" w:cs="宋体"/>
          <w:kern w:val="2"/>
          <w:sz w:val="24"/>
          <w:szCs w:val="24"/>
        </w:rPr>
      </w:pPr>
    </w:p>
    <w:p w14:paraId="4538B2FF">
      <w:pPr>
        <w:rPr>
          <w:rFonts w:hint="eastAsia" w:ascii="宋体" w:hAnsi="宋体" w:eastAsia="宋体" w:cs="宋体"/>
          <w:kern w:val="2"/>
          <w:sz w:val="24"/>
          <w:szCs w:val="24"/>
        </w:rPr>
      </w:pPr>
    </w:p>
    <w:p w14:paraId="37C446D5">
      <w:pPr>
        <w:rPr>
          <w:rFonts w:hint="eastAsia" w:ascii="宋体" w:hAnsi="宋体" w:eastAsia="宋体" w:cs="宋体"/>
          <w:kern w:val="2"/>
          <w:sz w:val="24"/>
          <w:szCs w:val="24"/>
        </w:rPr>
      </w:pPr>
    </w:p>
    <w:p w14:paraId="09F0EC94">
      <w:pPr>
        <w:rPr>
          <w:rFonts w:hint="eastAsia" w:ascii="宋体" w:hAnsi="宋体" w:eastAsia="宋体" w:cs="宋体"/>
          <w:kern w:val="2"/>
          <w:sz w:val="24"/>
          <w:szCs w:val="24"/>
        </w:rPr>
      </w:pPr>
    </w:p>
    <w:p w14:paraId="0B1B7E15">
      <w:pPr>
        <w:rPr>
          <w:rFonts w:hint="eastAsia" w:ascii="宋体" w:hAnsi="宋体" w:eastAsia="宋体" w:cs="宋体"/>
          <w:kern w:val="2"/>
          <w:sz w:val="24"/>
          <w:szCs w:val="24"/>
        </w:rPr>
      </w:pPr>
    </w:p>
    <w:p w14:paraId="3681739B">
      <w:pPr>
        <w:rPr>
          <w:rFonts w:hint="eastAsia" w:ascii="宋体" w:hAnsi="宋体" w:eastAsia="宋体" w:cs="宋体"/>
          <w:kern w:val="2"/>
          <w:sz w:val="24"/>
          <w:szCs w:val="24"/>
        </w:rPr>
      </w:pPr>
    </w:p>
    <w:p w14:paraId="7CC28BB5">
      <w:pPr>
        <w:rPr>
          <w:rFonts w:hint="eastAsia" w:ascii="宋体" w:hAnsi="宋体" w:eastAsia="宋体" w:cs="宋体"/>
          <w:kern w:val="2"/>
          <w:sz w:val="24"/>
          <w:szCs w:val="24"/>
        </w:rPr>
      </w:pPr>
    </w:p>
    <w:p w14:paraId="41F04064">
      <w:pPr>
        <w:rPr>
          <w:rFonts w:hint="eastAsia" w:ascii="宋体" w:hAnsi="宋体" w:eastAsia="宋体" w:cs="宋体"/>
          <w:kern w:val="2"/>
          <w:sz w:val="24"/>
          <w:szCs w:val="24"/>
        </w:rPr>
      </w:pPr>
    </w:p>
    <w:p w14:paraId="38E1D79C">
      <w:pPr>
        <w:rPr>
          <w:rFonts w:hint="eastAsia" w:ascii="宋体" w:hAnsi="宋体" w:eastAsia="宋体" w:cs="宋体"/>
          <w:kern w:val="2"/>
          <w:sz w:val="24"/>
          <w:szCs w:val="24"/>
        </w:rPr>
      </w:pPr>
    </w:p>
    <w:p w14:paraId="0925F17D">
      <w:pPr>
        <w:rPr>
          <w:rFonts w:hint="eastAsia" w:ascii="宋体" w:hAnsi="宋体" w:eastAsia="宋体" w:cs="宋体"/>
          <w:kern w:val="2"/>
          <w:sz w:val="24"/>
          <w:szCs w:val="24"/>
        </w:rPr>
      </w:pPr>
    </w:p>
    <w:p w14:paraId="65130B4F">
      <w:pPr>
        <w:rPr>
          <w:rFonts w:hint="eastAsia" w:ascii="宋体" w:hAnsi="宋体" w:eastAsia="宋体" w:cs="宋体"/>
          <w:kern w:val="2"/>
          <w:sz w:val="24"/>
          <w:szCs w:val="24"/>
        </w:rPr>
      </w:pPr>
    </w:p>
    <w:p w14:paraId="0DBA7635">
      <w:pPr>
        <w:rPr>
          <w:rFonts w:hint="eastAsia" w:ascii="宋体" w:hAnsi="宋体" w:eastAsia="宋体" w:cs="宋体"/>
          <w:kern w:val="2"/>
          <w:sz w:val="24"/>
          <w:szCs w:val="24"/>
        </w:rPr>
      </w:pPr>
    </w:p>
    <w:p w14:paraId="36E9C68E">
      <w:pPr>
        <w:rPr>
          <w:rFonts w:hint="eastAsia" w:ascii="宋体" w:hAnsi="宋体" w:eastAsia="宋体" w:cs="宋体"/>
          <w:kern w:val="2"/>
          <w:sz w:val="24"/>
          <w:szCs w:val="24"/>
        </w:rPr>
      </w:pPr>
    </w:p>
    <w:p w14:paraId="542C1009">
      <w:pPr>
        <w:rPr>
          <w:rFonts w:hint="eastAsia" w:ascii="宋体" w:hAnsi="宋体" w:eastAsia="宋体" w:cs="宋体"/>
          <w:kern w:val="2"/>
          <w:sz w:val="24"/>
          <w:szCs w:val="24"/>
        </w:rPr>
      </w:pPr>
    </w:p>
    <w:p w14:paraId="21AA8A69">
      <w:pPr>
        <w:rPr>
          <w:rFonts w:hint="eastAsia" w:ascii="宋体" w:hAnsi="宋体" w:eastAsia="宋体" w:cs="宋体"/>
          <w:kern w:val="2"/>
          <w:sz w:val="24"/>
          <w:szCs w:val="24"/>
        </w:rPr>
      </w:pPr>
    </w:p>
    <w:p w14:paraId="3F59DE89">
      <w:pPr>
        <w:rPr>
          <w:rFonts w:hint="eastAsia" w:ascii="宋体" w:hAnsi="宋体" w:eastAsia="宋体" w:cs="宋体"/>
          <w:kern w:val="2"/>
          <w:sz w:val="24"/>
          <w:szCs w:val="24"/>
        </w:rPr>
      </w:pPr>
    </w:p>
    <w:p w14:paraId="21949ABF">
      <w:pPr>
        <w:rPr>
          <w:rFonts w:hint="eastAsia" w:ascii="宋体" w:hAnsi="宋体" w:eastAsia="宋体" w:cs="宋体"/>
          <w:kern w:val="2"/>
          <w:sz w:val="24"/>
          <w:szCs w:val="24"/>
        </w:rPr>
      </w:pPr>
    </w:p>
    <w:p w14:paraId="7AA38FB4">
      <w:pPr>
        <w:rPr>
          <w:rFonts w:hint="eastAsia" w:ascii="宋体" w:hAnsi="宋体" w:eastAsia="宋体" w:cs="宋体"/>
          <w:kern w:val="2"/>
          <w:sz w:val="24"/>
          <w:szCs w:val="24"/>
        </w:rPr>
      </w:pPr>
    </w:p>
    <w:p w14:paraId="354D4F25">
      <w:pPr>
        <w:pStyle w:val="4"/>
        <w:numPr>
          <w:ilvl w:val="0"/>
          <w:numId w:val="2"/>
        </w:numPr>
        <w:snapToGrid w:val="0"/>
        <w:spacing w:before="0" w:after="0"/>
        <w:ind w:left="0" w:leftChars="0" w:firstLine="0" w:firstLineChars="0"/>
        <w:jc w:val="center"/>
        <w:rPr>
          <w:rFonts w:hAnsi="宋体"/>
          <w:b/>
          <w:bCs/>
          <w:color w:val="auto"/>
          <w:szCs w:val="32"/>
          <w:highlight w:val="none"/>
        </w:rPr>
      </w:pPr>
      <w:bookmarkStart w:id="14" w:name="_Toc9076"/>
      <w:r>
        <w:rPr>
          <w:rFonts w:hAnsi="宋体"/>
          <w:b/>
          <w:bCs/>
          <w:color w:val="auto"/>
          <w:szCs w:val="32"/>
          <w:highlight w:val="none"/>
        </w:rPr>
        <w:t>报价须知</w:t>
      </w:r>
      <w:bookmarkEnd w:id="14"/>
    </w:p>
    <w:p w14:paraId="4AF0A9D1">
      <w:pPr>
        <w:numPr>
          <w:ilvl w:val="0"/>
          <w:numId w:val="0"/>
        </w:numPr>
        <w:ind w:leftChars="0"/>
        <w:rPr>
          <w:color w:val="auto"/>
          <w:highlight w:val="none"/>
        </w:rPr>
      </w:pPr>
    </w:p>
    <w:p w14:paraId="60FAA9AA">
      <w:pPr>
        <w:snapToGrid w:val="0"/>
        <w:spacing w:line="360" w:lineRule="auto"/>
        <w:outlineLvl w:val="1"/>
        <w:rPr>
          <w:rFonts w:hAnsi="宋体"/>
          <w:b/>
          <w:bCs/>
          <w:color w:val="auto"/>
          <w:highlight w:val="none"/>
        </w:rPr>
      </w:pPr>
      <w:bookmarkStart w:id="15" w:name="_Toc27442"/>
      <w:r>
        <w:rPr>
          <w:rFonts w:hAnsi="宋体"/>
          <w:b/>
          <w:bCs/>
          <w:color w:val="auto"/>
          <w:highlight w:val="none"/>
        </w:rPr>
        <w:t>一、项目费用说明</w:t>
      </w:r>
      <w:bookmarkEnd w:id="15"/>
    </w:p>
    <w:p w14:paraId="1D0A3CE1">
      <w:pPr>
        <w:snapToGrid w:val="0"/>
        <w:spacing w:line="360" w:lineRule="auto"/>
        <w:ind w:firstLine="424" w:firstLineChars="177"/>
        <w:rPr>
          <w:rFonts w:hAnsi="宋体"/>
          <w:b/>
          <w:bCs/>
          <w:color w:val="auto"/>
          <w:highlight w:val="none"/>
        </w:rPr>
      </w:pPr>
      <w:r>
        <w:rPr>
          <w:rFonts w:hAnsi="宋体"/>
          <w:color w:val="auto"/>
          <w:highlight w:val="none"/>
        </w:rPr>
        <w:t>报价人应按询价文件要求及企业的自身情况进行报价。所报的价格包含完成询价文件规定的工作所需的全部费用，并承担所有相应项目风险。</w:t>
      </w:r>
    </w:p>
    <w:p w14:paraId="342C76C6">
      <w:pPr>
        <w:snapToGrid w:val="0"/>
        <w:spacing w:line="360" w:lineRule="auto"/>
        <w:outlineLvl w:val="1"/>
        <w:rPr>
          <w:rFonts w:hAnsi="宋体"/>
          <w:b/>
          <w:bCs/>
          <w:color w:val="auto"/>
          <w:highlight w:val="none"/>
        </w:rPr>
      </w:pPr>
      <w:bookmarkStart w:id="16" w:name="_Toc2697"/>
      <w:r>
        <w:rPr>
          <w:rFonts w:hAnsi="宋体"/>
          <w:b/>
          <w:bCs/>
          <w:color w:val="auto"/>
          <w:highlight w:val="none"/>
        </w:rPr>
        <w:t>二、报价文件的组成</w:t>
      </w:r>
      <w:bookmarkEnd w:id="16"/>
    </w:p>
    <w:p w14:paraId="619D67FB">
      <w:pPr>
        <w:snapToGrid w:val="0"/>
        <w:spacing w:line="360" w:lineRule="auto"/>
        <w:ind w:firstLine="480" w:firstLineChars="200"/>
        <w:rPr>
          <w:rFonts w:hAnsi="宋体"/>
          <w:color w:val="auto"/>
          <w:highlight w:val="none"/>
        </w:rPr>
      </w:pPr>
      <w:r>
        <w:rPr>
          <w:rFonts w:hAnsi="宋体"/>
          <w:color w:val="auto"/>
          <w:highlight w:val="none"/>
        </w:rPr>
        <w:t>1.报价表</w:t>
      </w:r>
      <w:r>
        <w:rPr>
          <w:rFonts w:hint="eastAsia" w:hAnsi="宋体"/>
          <w:color w:val="auto"/>
          <w:highlight w:val="none"/>
          <w:lang w:val="en-US" w:eastAsia="zh-CN"/>
        </w:rPr>
        <w:t>；</w:t>
      </w:r>
    </w:p>
    <w:p w14:paraId="11BA1643">
      <w:pPr>
        <w:snapToGrid w:val="0"/>
        <w:spacing w:line="360" w:lineRule="auto"/>
        <w:ind w:firstLine="480" w:firstLineChars="200"/>
        <w:rPr>
          <w:rFonts w:hint="eastAsia" w:hAnsi="宋体"/>
          <w:color w:val="auto"/>
          <w:highlight w:val="none"/>
          <w:lang w:val="en-US" w:eastAsia="zh-CN"/>
        </w:rPr>
      </w:pPr>
      <w:r>
        <w:rPr>
          <w:rFonts w:hAnsi="宋体"/>
          <w:color w:val="auto"/>
          <w:highlight w:val="none"/>
        </w:rPr>
        <w:t>2</w:t>
      </w:r>
      <w:r>
        <w:rPr>
          <w:rFonts w:hint="eastAsia" w:hAnsi="宋体"/>
          <w:color w:val="auto"/>
          <w:highlight w:val="none"/>
          <w:lang w:val="en-US" w:eastAsia="zh-CN"/>
        </w:rPr>
        <w:t>.报价承诺书；</w:t>
      </w:r>
    </w:p>
    <w:p w14:paraId="21D787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3.</w:t>
      </w:r>
      <w:r>
        <w:rPr>
          <w:rFonts w:hint="eastAsia" w:ascii="宋体" w:hAnsi="宋体" w:eastAsia="宋体" w:cs="Times New Roman"/>
          <w:b w:val="0"/>
          <w:bCs w:val="0"/>
          <w:color w:val="auto"/>
          <w:kern w:val="0"/>
          <w:sz w:val="24"/>
          <w:szCs w:val="24"/>
          <w:highlight w:val="none"/>
        </w:rPr>
        <w:t>律师事务所执业许可证</w:t>
      </w:r>
      <w:r>
        <w:rPr>
          <w:rFonts w:hint="eastAsia" w:hAnsi="宋体"/>
          <w:color w:val="auto"/>
          <w:highlight w:val="none"/>
          <w:lang w:val="en-US" w:eastAsia="zh-CN"/>
        </w:rPr>
        <w:t>；</w:t>
      </w:r>
    </w:p>
    <w:p w14:paraId="7C06C458">
      <w:pPr>
        <w:pStyle w:val="2"/>
        <w:ind w:firstLine="480" w:firstLineChars="200"/>
        <w:rPr>
          <w:rFonts w:hint="eastAsia" w:hAnsi="宋体"/>
          <w:color w:val="auto"/>
          <w:highlight w:val="none"/>
          <w:lang w:val="en-US" w:eastAsia="zh-CN"/>
        </w:rPr>
      </w:pPr>
      <w:r>
        <w:rPr>
          <w:rFonts w:hint="eastAsia" w:hAnsi="宋体"/>
          <w:color w:val="auto"/>
          <w:highlight w:val="none"/>
          <w:lang w:val="en-US" w:eastAsia="zh-CN"/>
        </w:rPr>
        <w:t>4.业绩资料；</w:t>
      </w:r>
    </w:p>
    <w:p w14:paraId="563AD8FB">
      <w:pPr>
        <w:pStyle w:val="2"/>
        <w:ind w:firstLine="480" w:firstLineChars="200"/>
        <w:rPr>
          <w:rFonts w:hint="default" w:hAnsi="宋体"/>
          <w:color w:val="auto"/>
          <w:highlight w:val="none"/>
          <w:lang w:val="en-US" w:eastAsia="zh-CN"/>
        </w:rPr>
      </w:pPr>
      <w:r>
        <w:rPr>
          <w:rFonts w:hint="eastAsia" w:hAnsi="宋体"/>
          <w:color w:val="auto"/>
          <w:highlight w:val="none"/>
          <w:lang w:val="en-US" w:eastAsia="zh-CN"/>
        </w:rPr>
        <w:t>5.专项法律服务团队资料；</w:t>
      </w:r>
    </w:p>
    <w:p w14:paraId="7ABEF05E">
      <w:pPr>
        <w:pStyle w:val="2"/>
        <w:ind w:firstLine="480" w:firstLineChars="200"/>
        <w:rPr>
          <w:rFonts w:hint="default" w:hAnsi="宋体"/>
          <w:color w:val="auto"/>
          <w:highlight w:val="none"/>
          <w:lang w:val="en-US" w:eastAsia="zh-CN"/>
        </w:rPr>
      </w:pPr>
      <w:r>
        <w:rPr>
          <w:rFonts w:hint="eastAsia" w:hAnsi="宋体"/>
          <w:color w:val="auto"/>
          <w:highlight w:val="none"/>
          <w:lang w:val="en-US" w:eastAsia="zh-CN"/>
        </w:rPr>
        <w:t>6.最近3年报价人牵涉的其他（失信和违法）处罚说明。</w:t>
      </w:r>
    </w:p>
    <w:p w14:paraId="7569FF1C">
      <w:pPr>
        <w:pStyle w:val="2"/>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（1）</w:t>
      </w:r>
      <w:r>
        <w:rPr>
          <w:rFonts w:hint="default" w:hAnsi="宋体"/>
          <w:color w:val="auto"/>
          <w:highlight w:val="none"/>
          <w:lang w:val="en-US" w:eastAsia="zh-CN"/>
        </w:rPr>
        <w:t>根据报价人的实际情况填写，无相关事项的，在 “认定时间”列填“</w:t>
      </w:r>
      <w:r>
        <w:rPr>
          <w:rFonts w:hint="default" w:hAnsi="宋体"/>
          <w:b/>
          <w:bCs/>
          <w:color w:val="auto"/>
          <w:highlight w:val="none"/>
          <w:lang w:val="en-US" w:eastAsia="zh-CN"/>
        </w:rPr>
        <w:t>无</w:t>
      </w:r>
      <w:r>
        <w:rPr>
          <w:rFonts w:hint="default" w:hAnsi="宋体"/>
          <w:color w:val="auto"/>
          <w:highlight w:val="none"/>
          <w:lang w:val="en-US" w:eastAsia="zh-CN"/>
        </w:rPr>
        <w:t>”；若受到相关处罚的应附处罚相关材料复印件；若出现相关处罚的处罚期满,但处罚公示没有及时更新的情况,</w:t>
      </w:r>
      <w:r>
        <w:rPr>
          <w:rFonts w:hint="eastAsia" w:hAnsi="宋体"/>
          <w:color w:val="auto"/>
          <w:highlight w:val="none"/>
          <w:lang w:val="en-US" w:eastAsia="zh-CN"/>
        </w:rPr>
        <w:t>报价</w:t>
      </w:r>
      <w:r>
        <w:rPr>
          <w:rFonts w:hint="default" w:hAnsi="宋体"/>
          <w:color w:val="auto"/>
          <w:highlight w:val="none"/>
          <w:lang w:val="en-US" w:eastAsia="zh-CN"/>
        </w:rPr>
        <w:t xml:space="preserve">人须提供相关材料(复印件)佐证； </w:t>
      </w:r>
      <w:r>
        <w:rPr>
          <w:rFonts w:hint="eastAsia" w:hAnsi="宋体"/>
          <w:color w:val="auto"/>
          <w:highlight w:val="none"/>
          <w:lang w:val="en-US" w:eastAsia="zh-CN"/>
        </w:rPr>
        <w:t xml:space="preserve"> </w:t>
      </w:r>
    </w:p>
    <w:p w14:paraId="69995063">
      <w:pPr>
        <w:widowControl/>
        <w:tabs>
          <w:tab w:val="left" w:pos="7920"/>
        </w:tabs>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hAnsi="宋体"/>
          <w:color w:val="auto"/>
          <w:highlight w:val="none"/>
          <w:lang w:val="en-US" w:eastAsia="zh-CN"/>
        </w:rPr>
        <w:t>。</w:t>
      </w:r>
    </w:p>
    <w:p w14:paraId="5BBB5A64">
      <w:pPr>
        <w:snapToGrid w:val="0"/>
        <w:spacing w:line="360" w:lineRule="auto"/>
        <w:outlineLvl w:val="1"/>
        <w:rPr>
          <w:rFonts w:hAnsi="宋体"/>
          <w:b/>
          <w:bCs/>
          <w:color w:val="auto"/>
          <w:highlight w:val="none"/>
        </w:rPr>
      </w:pPr>
      <w:bookmarkStart w:id="17" w:name="_Toc11475"/>
      <w:r>
        <w:rPr>
          <w:rFonts w:hAnsi="宋体"/>
          <w:b/>
          <w:bCs/>
          <w:color w:val="auto"/>
          <w:highlight w:val="none"/>
        </w:rPr>
        <w:t>三、报价文件的封装和递交</w:t>
      </w:r>
      <w:bookmarkEnd w:id="17"/>
    </w:p>
    <w:p w14:paraId="00C16C64">
      <w:pPr>
        <w:snapToGrid w:val="0"/>
        <w:spacing w:line="360" w:lineRule="auto"/>
        <w:ind w:firstLine="424" w:firstLineChars="177"/>
        <w:rPr>
          <w:rFonts w:hAnsi="宋体"/>
          <w:color w:val="auto"/>
          <w:highlight w:val="none"/>
        </w:rPr>
      </w:pPr>
      <w:r>
        <w:rPr>
          <w:rFonts w:hAnsi="宋体"/>
          <w:color w:val="auto"/>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11A7840A">
      <w:pPr>
        <w:snapToGrid w:val="0"/>
        <w:spacing w:line="360" w:lineRule="auto"/>
        <w:ind w:firstLine="424" w:firstLineChars="177"/>
        <w:rPr>
          <w:rFonts w:hAnsi="宋体"/>
          <w:color w:val="auto"/>
          <w:highlight w:val="none"/>
        </w:rPr>
      </w:pPr>
      <w:r>
        <w:rPr>
          <w:rFonts w:hint="eastAsia" w:hAnsi="宋体"/>
          <w:color w:val="auto"/>
          <w:highlight w:val="none"/>
        </w:rPr>
        <w:t>2.</w:t>
      </w:r>
      <w:r>
        <w:rPr>
          <w:rFonts w:hint="eastAsia" w:hAnsi="宋体"/>
          <w:b/>
          <w:bCs/>
          <w:color w:val="auto"/>
          <w:highlight w:val="none"/>
        </w:rPr>
        <w:t>报价文件无须装订成册。</w:t>
      </w:r>
      <w:r>
        <w:rPr>
          <w:rFonts w:hint="eastAsia" w:hAnsi="宋体"/>
          <w:color w:val="auto"/>
          <w:highlight w:val="none"/>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盖章）。</w:t>
      </w:r>
    </w:p>
    <w:p w14:paraId="2F62D903">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3</w:t>
      </w:r>
      <w:r>
        <w:rPr>
          <w:rFonts w:hAnsi="宋体"/>
          <w:color w:val="auto"/>
          <w:highlight w:val="none"/>
        </w:rPr>
        <w:t>.密封好的报价文件，应于询价邀请函中规定的截止时间前递交到采购人指定的递交地点。</w:t>
      </w:r>
    </w:p>
    <w:p w14:paraId="186D9822">
      <w:pPr>
        <w:pStyle w:val="2"/>
        <w:ind w:firstLine="0" w:firstLineChars="0"/>
        <w:rPr>
          <w:color w:val="auto"/>
          <w:highlight w:val="none"/>
        </w:rPr>
      </w:pPr>
    </w:p>
    <w:p w14:paraId="02F1767B">
      <w:pPr>
        <w:pStyle w:val="4"/>
        <w:snapToGrid w:val="0"/>
        <w:spacing w:before="0" w:after="0"/>
        <w:jc w:val="center"/>
        <w:rPr>
          <w:rFonts w:hAnsi="宋体"/>
          <w:b/>
          <w:bCs/>
          <w:color w:val="auto"/>
          <w:szCs w:val="32"/>
          <w:highlight w:val="none"/>
        </w:rPr>
      </w:pPr>
      <w:bookmarkStart w:id="18" w:name="_Toc2666"/>
      <w:r>
        <w:rPr>
          <w:rFonts w:hAnsi="宋体"/>
          <w:b/>
          <w:bCs/>
          <w:color w:val="auto"/>
          <w:szCs w:val="32"/>
          <w:highlight w:val="none"/>
        </w:rPr>
        <w:t>第</w:t>
      </w:r>
      <w:r>
        <w:rPr>
          <w:rFonts w:hint="eastAsia" w:hAnsi="宋体"/>
          <w:b/>
          <w:bCs/>
          <w:color w:val="auto"/>
          <w:szCs w:val="32"/>
          <w:highlight w:val="none"/>
          <w:lang w:val="en-US" w:eastAsia="zh-CN"/>
        </w:rPr>
        <w:t>四</w:t>
      </w:r>
      <w:r>
        <w:rPr>
          <w:rFonts w:hAnsi="宋体"/>
          <w:b/>
          <w:bCs/>
          <w:color w:val="auto"/>
          <w:szCs w:val="32"/>
          <w:highlight w:val="none"/>
        </w:rPr>
        <w:t>章 报价文件（格式）</w:t>
      </w:r>
      <w:bookmarkEnd w:id="18"/>
    </w:p>
    <w:p w14:paraId="25832479">
      <w:pPr>
        <w:snapToGrid w:val="0"/>
        <w:spacing w:line="360" w:lineRule="auto"/>
        <w:outlineLvl w:val="1"/>
        <w:rPr>
          <w:rFonts w:hAnsi="宋体"/>
          <w:b/>
          <w:color w:val="auto"/>
          <w:sz w:val="28"/>
          <w:szCs w:val="28"/>
          <w:highlight w:val="none"/>
        </w:rPr>
      </w:pPr>
      <w:bookmarkStart w:id="19" w:name="_Toc9653"/>
      <w:r>
        <w:rPr>
          <w:rFonts w:hint="eastAsia" w:hAnsi="宋体"/>
          <w:b/>
          <w:color w:val="auto"/>
          <w:sz w:val="28"/>
          <w:szCs w:val="28"/>
          <w:highlight w:val="none"/>
          <w:lang w:val="en-US" w:eastAsia="zh-CN"/>
        </w:rPr>
        <w:t>1.</w:t>
      </w:r>
      <w:r>
        <w:rPr>
          <w:rFonts w:hAnsi="宋体"/>
          <w:b/>
          <w:color w:val="auto"/>
          <w:sz w:val="28"/>
          <w:szCs w:val="28"/>
          <w:highlight w:val="none"/>
        </w:rPr>
        <w:t>报价表</w:t>
      </w:r>
      <w:bookmarkEnd w:id="19"/>
    </w:p>
    <w:tbl>
      <w:tblPr>
        <w:tblStyle w:val="19"/>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832"/>
      </w:tblGrid>
      <w:tr w14:paraId="1B14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shd w:val="clear" w:color="auto" w:fill="auto"/>
            <w:vAlign w:val="center"/>
          </w:tcPr>
          <w:p w14:paraId="354529DD">
            <w:pPr>
              <w:pStyle w:val="9"/>
              <w:adjustRightInd w:val="0"/>
              <w:snapToGrid w:val="0"/>
              <w:spacing w:line="360" w:lineRule="auto"/>
              <w:jc w:val="center"/>
              <w:rPr>
                <w:rFonts w:hAnsi="宋体"/>
                <w:color w:val="auto"/>
                <w:sz w:val="24"/>
                <w:szCs w:val="28"/>
                <w:highlight w:val="none"/>
              </w:rPr>
            </w:pPr>
            <w:bookmarkStart w:id="20" w:name="_Hlk33287059"/>
            <w:r>
              <w:rPr>
                <w:rFonts w:hAnsi="宋体"/>
                <w:color w:val="auto"/>
                <w:sz w:val="24"/>
                <w:szCs w:val="28"/>
                <w:highlight w:val="none"/>
              </w:rPr>
              <w:t>项目名称</w:t>
            </w:r>
          </w:p>
        </w:tc>
        <w:tc>
          <w:tcPr>
            <w:tcW w:w="6832" w:type="dxa"/>
            <w:shd w:val="clear" w:color="auto" w:fill="auto"/>
            <w:vAlign w:val="center"/>
          </w:tcPr>
          <w:p w14:paraId="4005B3AD">
            <w:pPr>
              <w:snapToGrid w:val="0"/>
              <w:spacing w:line="360" w:lineRule="auto"/>
              <w:jc w:val="center"/>
              <w:rPr>
                <w:rFonts w:hAnsi="宋体"/>
                <w:color w:val="auto"/>
                <w:szCs w:val="28"/>
                <w:highlight w:val="none"/>
              </w:rPr>
            </w:pPr>
            <w:r>
              <w:rPr>
                <w:rFonts w:hint="eastAsia" w:hAnsi="宋体" w:cs="宋体"/>
                <w:color w:val="auto"/>
                <w:kern w:val="2"/>
                <w:sz w:val="24"/>
                <w:szCs w:val="24"/>
                <w:highlight w:val="none"/>
                <w:lang w:val="en-US" w:eastAsia="zh-CN" w:bidi="ar-SA"/>
              </w:rPr>
              <w:t>东莞市东引运河流域樟村断面综合治理工程（污水管网完善工程第二标段）施工合同纠纷专项法律服务（重新采购）项目</w:t>
            </w:r>
          </w:p>
        </w:tc>
      </w:tr>
      <w:bookmarkEnd w:id="20"/>
      <w:tr w14:paraId="0744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shd w:val="clear" w:color="auto" w:fill="auto"/>
            <w:vAlign w:val="center"/>
          </w:tcPr>
          <w:p w14:paraId="72927373">
            <w:pPr>
              <w:pStyle w:val="9"/>
              <w:adjustRightInd w:val="0"/>
              <w:snapToGrid w:val="0"/>
              <w:spacing w:line="360" w:lineRule="auto"/>
              <w:jc w:val="center"/>
              <w:rPr>
                <w:rFonts w:hint="eastAsia" w:hAnsi="宋体"/>
                <w:color w:val="auto"/>
                <w:sz w:val="24"/>
                <w:szCs w:val="28"/>
                <w:highlight w:val="none"/>
              </w:rPr>
            </w:pPr>
          </w:p>
          <w:p w14:paraId="17D265FF">
            <w:pPr>
              <w:pStyle w:val="9"/>
              <w:adjustRightInd w:val="0"/>
              <w:snapToGrid w:val="0"/>
              <w:spacing w:line="360" w:lineRule="auto"/>
              <w:ind w:firstLine="0" w:firstLineChars="0"/>
              <w:jc w:val="center"/>
              <w:rPr>
                <w:rFonts w:hint="default" w:hAnsi="宋体" w:eastAsia="宋体"/>
                <w:color w:val="auto"/>
                <w:sz w:val="24"/>
                <w:szCs w:val="28"/>
                <w:highlight w:val="none"/>
                <w:lang w:val="en-US" w:eastAsia="zh-CN"/>
              </w:rPr>
            </w:pPr>
            <w:r>
              <w:rPr>
                <w:rFonts w:hint="eastAsia" w:hAnsi="宋体"/>
                <w:color w:val="auto"/>
                <w:sz w:val="24"/>
                <w:szCs w:val="28"/>
                <w:highlight w:val="none"/>
                <w:lang w:val="en-US" w:eastAsia="zh-CN"/>
              </w:rPr>
              <w:t>下浮率报价</w:t>
            </w:r>
          </w:p>
          <w:p w14:paraId="5D250EE0">
            <w:pPr>
              <w:pStyle w:val="9"/>
              <w:adjustRightInd w:val="0"/>
              <w:snapToGrid w:val="0"/>
              <w:spacing w:line="360" w:lineRule="auto"/>
              <w:jc w:val="center"/>
              <w:rPr>
                <w:rFonts w:hAnsi="宋体"/>
                <w:color w:val="auto"/>
                <w:sz w:val="24"/>
                <w:szCs w:val="28"/>
                <w:highlight w:val="none"/>
              </w:rPr>
            </w:pPr>
          </w:p>
        </w:tc>
        <w:tc>
          <w:tcPr>
            <w:tcW w:w="6832" w:type="dxa"/>
            <w:shd w:val="clear" w:color="auto" w:fill="auto"/>
            <w:vAlign w:val="center"/>
          </w:tcPr>
          <w:p w14:paraId="33F7FAC2">
            <w:pPr>
              <w:pStyle w:val="9"/>
              <w:adjustRightInd w:val="0"/>
              <w:snapToGrid w:val="0"/>
              <w:spacing w:line="360" w:lineRule="auto"/>
              <w:ind w:firstLine="1200" w:firstLineChars="500"/>
              <w:jc w:val="both"/>
              <w:rPr>
                <w:rFonts w:hint="eastAsia" w:hAnsi="宋体"/>
                <w:color w:val="auto"/>
                <w:sz w:val="24"/>
                <w:szCs w:val="24"/>
                <w:highlight w:val="none"/>
                <w:lang w:val="en-US" w:eastAsia="zh-CN"/>
              </w:rPr>
            </w:pPr>
          </w:p>
          <w:p w14:paraId="3C556A5E">
            <w:pPr>
              <w:pStyle w:val="9"/>
              <w:adjustRightInd w:val="0"/>
              <w:snapToGrid w:val="0"/>
              <w:spacing w:line="360" w:lineRule="auto"/>
              <w:ind w:firstLine="3120" w:firstLineChars="1300"/>
              <w:jc w:val="both"/>
              <w:rPr>
                <w:rFonts w:hint="default" w:hAnsi="宋体" w:eastAsia="宋体"/>
                <w:color w:val="auto"/>
                <w:sz w:val="24"/>
                <w:szCs w:val="24"/>
                <w:highlight w:val="none"/>
                <w:u w:val="single"/>
                <w:lang w:val="en-US" w:eastAsia="zh-CN"/>
              </w:rPr>
            </w:pPr>
            <w:r>
              <w:rPr>
                <w:rFonts w:hint="eastAsia" w:hAnsi="宋体"/>
                <w:color w:val="auto"/>
                <w:sz w:val="24"/>
                <w:szCs w:val="24"/>
                <w:highlight w:val="none"/>
                <w:u w:val="single"/>
                <w:lang w:val="en-US" w:eastAsia="zh-CN"/>
              </w:rPr>
              <w:t>%</w:t>
            </w:r>
          </w:p>
          <w:p w14:paraId="0445E784">
            <w:pPr>
              <w:snapToGrid w:val="0"/>
              <w:ind w:firstLine="1680" w:firstLineChars="700"/>
              <w:rPr>
                <w:rFonts w:hAnsi="宋体"/>
                <w:color w:val="auto"/>
                <w:highlight w:val="none"/>
              </w:rPr>
            </w:pPr>
          </w:p>
        </w:tc>
      </w:tr>
      <w:tr w14:paraId="3C46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shd w:val="clear" w:color="auto" w:fill="auto"/>
            <w:vAlign w:val="center"/>
          </w:tcPr>
          <w:p w14:paraId="73EF761F">
            <w:pPr>
              <w:pStyle w:val="9"/>
              <w:adjustRightInd w:val="0"/>
              <w:snapToGrid w:val="0"/>
              <w:spacing w:line="360" w:lineRule="auto"/>
              <w:jc w:val="center"/>
              <w:rPr>
                <w:rFonts w:hAnsi="宋体"/>
                <w:color w:val="auto"/>
                <w:sz w:val="24"/>
                <w:szCs w:val="28"/>
                <w:highlight w:val="none"/>
              </w:rPr>
            </w:pPr>
            <w:r>
              <w:rPr>
                <w:rFonts w:hAnsi="宋体"/>
                <w:b/>
                <w:bCs/>
                <w:color w:val="auto"/>
                <w:sz w:val="24"/>
                <w:szCs w:val="28"/>
                <w:highlight w:val="none"/>
              </w:rPr>
              <w:t>备注</w:t>
            </w:r>
          </w:p>
        </w:tc>
        <w:tc>
          <w:tcPr>
            <w:tcW w:w="6832" w:type="dxa"/>
            <w:shd w:val="clear" w:color="auto" w:fill="auto"/>
            <w:vAlign w:val="center"/>
          </w:tcPr>
          <w:p w14:paraId="16245640">
            <w:pPr>
              <w:numPr>
                <w:ilvl w:val="-1"/>
                <w:numId w:val="0"/>
              </w:numPr>
              <w:autoSpaceDE/>
              <w:autoSpaceDN/>
              <w:snapToGrid w:val="0"/>
              <w:spacing w:line="360" w:lineRule="auto"/>
              <w:jc w:val="left"/>
              <w:rPr>
                <w:rFonts w:hint="eastAsia" w:hAnsi="宋体"/>
                <w:color w:val="auto"/>
                <w:sz w:val="21"/>
                <w:szCs w:val="21"/>
                <w:highlight w:val="none"/>
                <w:lang w:val="en-US" w:eastAsia="zh-CN"/>
              </w:rPr>
            </w:pPr>
            <w:r>
              <w:rPr>
                <w:rFonts w:hint="eastAsia" w:hAnsi="宋体"/>
                <w:color w:val="auto"/>
                <w:sz w:val="21"/>
                <w:szCs w:val="21"/>
                <w:highlight w:val="none"/>
                <w:lang w:val="en-US" w:eastAsia="zh-CN"/>
              </w:rPr>
              <w:t>1、</w:t>
            </w:r>
            <w:r>
              <w:rPr>
                <w:rFonts w:hint="eastAsia" w:hAnsi="宋体" w:cs="Times New Roman"/>
                <w:color w:val="auto"/>
                <w:sz w:val="21"/>
                <w:szCs w:val="21"/>
                <w:highlight w:val="none"/>
                <w:lang w:val="en-US" w:eastAsia="zh-CN"/>
              </w:rPr>
              <w:t>本项目报价为下浮率报价，结算价=不含税预算价*（1-下浮率）*（1+成交人税率），按实结算。</w:t>
            </w:r>
            <w:r>
              <w:rPr>
                <w:rFonts w:hint="eastAsia" w:hAnsi="宋体" w:cs="Times New Roman"/>
                <w:color w:val="auto"/>
                <w:sz w:val="21"/>
                <w:szCs w:val="21"/>
                <w:highlight w:val="none"/>
              </w:rPr>
              <w:t>从实质性满足采购需求的供应商中，按</w:t>
            </w:r>
            <w:r>
              <w:rPr>
                <w:rFonts w:hint="eastAsia" w:hAnsi="宋体" w:cs="Times New Roman"/>
                <w:color w:val="auto"/>
                <w:sz w:val="21"/>
                <w:szCs w:val="21"/>
                <w:highlight w:val="none"/>
                <w:lang w:val="en-US" w:eastAsia="zh-CN"/>
              </w:rPr>
              <w:t>下浮率最高</w:t>
            </w:r>
            <w:r>
              <w:rPr>
                <w:rFonts w:hint="eastAsia" w:hAnsi="宋体" w:cs="Times New Roman"/>
                <w:color w:val="auto"/>
                <w:sz w:val="21"/>
                <w:szCs w:val="21"/>
                <w:highlight w:val="none"/>
              </w:rPr>
              <w:t>成交原则确定成交供应商</w:t>
            </w:r>
            <w:r>
              <w:rPr>
                <w:rFonts w:hint="eastAsia" w:hAnsi="宋体" w:cs="Times New Roman"/>
                <w:color w:val="auto"/>
                <w:sz w:val="21"/>
                <w:szCs w:val="21"/>
                <w:highlight w:val="none"/>
                <w:lang w:eastAsia="zh-CN"/>
              </w:rPr>
              <w:t>。</w:t>
            </w:r>
          </w:p>
          <w:p w14:paraId="78A5FFC2">
            <w:pPr>
              <w:numPr>
                <w:ilvl w:val="-1"/>
                <w:numId w:val="0"/>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2、已详细审查全部询价文件要求，并响应询价文件全部要求。</w:t>
            </w:r>
          </w:p>
          <w:p w14:paraId="20C3D480">
            <w:pPr>
              <w:numPr>
                <w:ilvl w:val="-1"/>
                <w:numId w:val="0"/>
              </w:numPr>
              <w:autoSpaceDE/>
              <w:autoSpaceDN/>
              <w:snapToGrid w:val="0"/>
              <w:spacing w:line="360" w:lineRule="auto"/>
              <w:jc w:val="both"/>
              <w:rPr>
                <w:rFonts w:hint="eastAsia" w:hAnsi="宋体"/>
                <w:color w:val="auto"/>
                <w:sz w:val="21"/>
                <w:szCs w:val="21"/>
                <w:highlight w:val="none"/>
                <w:lang w:val="en-US" w:eastAsia="zh-CN"/>
              </w:rPr>
            </w:pPr>
            <w:r>
              <w:rPr>
                <w:rFonts w:hint="eastAsia"/>
                <w:b w:val="0"/>
                <w:bCs w:val="0"/>
                <w:color w:val="auto"/>
                <w:sz w:val="24"/>
                <w:szCs w:val="24"/>
                <w:highlight w:val="none"/>
                <w:lang w:val="en-US" w:eastAsia="zh-CN"/>
              </w:rPr>
              <w:t>3、</w:t>
            </w:r>
            <w:r>
              <w:rPr>
                <w:rFonts w:hint="default"/>
                <w:b w:val="0"/>
                <w:bCs w:val="0"/>
                <w:color w:val="auto"/>
                <w:sz w:val="24"/>
                <w:szCs w:val="24"/>
                <w:highlight w:val="none"/>
                <w:lang w:val="en-US" w:eastAsia="zh-CN"/>
              </w:rPr>
              <w:t>当分项报价明细表内累计与报价表不符时，以报价表为准，修正分项报价明细表内的各项报价。</w:t>
            </w:r>
          </w:p>
          <w:p w14:paraId="13B1A369">
            <w:pPr>
              <w:numPr>
                <w:ilvl w:val="-1"/>
                <w:numId w:val="0"/>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4、上述报价数值保留小数点后2位，从小数点后第3位四舍五入。</w:t>
            </w:r>
          </w:p>
          <w:p w14:paraId="1B22964D">
            <w:pPr>
              <w:numPr>
                <w:ilvl w:val="-1"/>
                <w:numId w:val="0"/>
              </w:numPr>
              <w:autoSpaceDE/>
              <w:autoSpaceDN/>
              <w:snapToGrid w:val="0"/>
              <w:spacing w:line="360" w:lineRule="auto"/>
              <w:jc w:val="both"/>
              <w:rPr>
                <w:rFonts w:hAnsi="宋体"/>
                <w:color w:val="auto"/>
                <w:szCs w:val="28"/>
                <w:highlight w:val="none"/>
              </w:rPr>
            </w:pPr>
            <w:r>
              <w:rPr>
                <w:rFonts w:hint="eastAsia" w:hAnsi="宋体"/>
                <w:color w:val="auto"/>
                <w:sz w:val="21"/>
                <w:szCs w:val="21"/>
                <w:highlight w:val="none"/>
                <w:lang w:val="en-US" w:eastAsia="zh-CN"/>
              </w:rPr>
              <w:t>5、本报价表不允许调整，擅自修改，将视为无效报价。</w:t>
            </w:r>
          </w:p>
        </w:tc>
      </w:tr>
    </w:tbl>
    <w:p w14:paraId="52ABBA88">
      <w:pPr>
        <w:pStyle w:val="9"/>
        <w:adjustRightInd w:val="0"/>
        <w:snapToGrid w:val="0"/>
        <w:spacing w:line="360" w:lineRule="auto"/>
        <w:rPr>
          <w:rFonts w:hAnsi="宋体"/>
          <w:color w:val="auto"/>
          <w:sz w:val="24"/>
          <w:szCs w:val="28"/>
          <w:highlight w:val="none"/>
        </w:rPr>
      </w:pPr>
    </w:p>
    <w:p w14:paraId="0293E08D">
      <w:pPr>
        <w:pStyle w:val="9"/>
        <w:adjustRightInd w:val="0"/>
        <w:snapToGrid w:val="0"/>
        <w:spacing w:line="360" w:lineRule="auto"/>
        <w:rPr>
          <w:rFonts w:hAnsi="宋体"/>
          <w:color w:val="auto"/>
          <w:sz w:val="24"/>
          <w:szCs w:val="28"/>
          <w:highlight w:val="none"/>
        </w:rPr>
      </w:pPr>
      <w:r>
        <w:rPr>
          <w:rFonts w:hAnsi="宋体"/>
          <w:color w:val="auto"/>
          <w:sz w:val="24"/>
          <w:szCs w:val="28"/>
          <w:highlight w:val="none"/>
        </w:rPr>
        <w:t>联系人：                          联系电话：</w:t>
      </w:r>
    </w:p>
    <w:p w14:paraId="2904B1A9">
      <w:pPr>
        <w:pStyle w:val="9"/>
        <w:adjustRightInd w:val="0"/>
        <w:snapToGrid w:val="0"/>
        <w:spacing w:line="360" w:lineRule="auto"/>
        <w:rPr>
          <w:rFonts w:hAnsi="宋体"/>
          <w:color w:val="auto"/>
          <w:sz w:val="24"/>
          <w:szCs w:val="28"/>
          <w:highlight w:val="none"/>
        </w:rPr>
      </w:pPr>
      <w:r>
        <w:rPr>
          <w:rFonts w:hAnsi="宋体"/>
          <w:color w:val="auto"/>
          <w:sz w:val="24"/>
          <w:szCs w:val="28"/>
          <w:highlight w:val="none"/>
        </w:rPr>
        <w:t>联系地址：</w:t>
      </w:r>
      <w:r>
        <w:rPr>
          <w:rFonts w:hint="eastAsia" w:hAnsi="宋体"/>
          <w:color w:val="auto"/>
          <w:sz w:val="24"/>
          <w:szCs w:val="28"/>
          <w:highlight w:val="none"/>
          <w:lang w:val="en-US" w:eastAsia="zh-CN"/>
        </w:rPr>
        <w:t xml:space="preserve">                        </w:t>
      </w:r>
      <w:r>
        <w:rPr>
          <w:rFonts w:hAnsi="宋体"/>
          <w:color w:val="auto"/>
          <w:sz w:val="24"/>
          <w:szCs w:val="28"/>
          <w:highlight w:val="none"/>
          <w:lang w:val="zh-CN"/>
        </w:rPr>
        <w:t>报价人：（公章）</w:t>
      </w:r>
    </w:p>
    <w:p w14:paraId="32F3D1C7">
      <w:pPr>
        <w:snapToGrid w:val="0"/>
        <w:spacing w:line="360" w:lineRule="auto"/>
        <w:jc w:val="center"/>
        <w:rPr>
          <w:rFonts w:hint="eastAsia" w:ascii="Times New Roman"/>
          <w:b/>
          <w:color w:val="auto"/>
          <w:sz w:val="28"/>
          <w:szCs w:val="28"/>
          <w:highlight w:val="none"/>
          <w:lang w:val="en-US" w:eastAsia="zh-CN"/>
        </w:rPr>
      </w:pPr>
      <w:r>
        <w:rPr>
          <w:rFonts w:hAnsi="宋体"/>
          <w:color w:val="auto"/>
          <w:kern w:val="2"/>
          <w:szCs w:val="28"/>
          <w:highlight w:val="none"/>
          <w:lang w:val="zh-CN"/>
        </w:rPr>
        <w:t xml:space="preserve">                      日期：   年    月   </w:t>
      </w:r>
      <w:r>
        <w:rPr>
          <w:rFonts w:hint="eastAsia" w:hAnsi="宋体"/>
          <w:color w:val="auto"/>
          <w:kern w:val="2"/>
          <w:szCs w:val="28"/>
          <w:highlight w:val="none"/>
          <w:lang w:val="en-US" w:eastAsia="zh-CN"/>
        </w:rPr>
        <w:t>日</w:t>
      </w:r>
    </w:p>
    <w:p w14:paraId="50103B88">
      <w:pPr>
        <w:numPr>
          <w:ilvl w:val="0"/>
          <w:numId w:val="0"/>
        </w:numPr>
        <w:spacing w:line="360" w:lineRule="auto"/>
        <w:rPr>
          <w:rFonts w:hint="eastAsia" w:ascii="Times New Roman"/>
          <w:b/>
          <w:color w:val="auto"/>
          <w:sz w:val="28"/>
          <w:szCs w:val="28"/>
          <w:highlight w:val="none"/>
          <w:lang w:val="en-US" w:eastAsia="zh-CN"/>
        </w:rPr>
      </w:pPr>
    </w:p>
    <w:p w14:paraId="1C95F6DD">
      <w:pPr>
        <w:numPr>
          <w:ilvl w:val="0"/>
          <w:numId w:val="0"/>
        </w:numPr>
        <w:spacing w:line="360" w:lineRule="auto"/>
        <w:rPr>
          <w:rFonts w:hint="eastAsia" w:ascii="Times New Roman"/>
          <w:b/>
          <w:color w:val="auto"/>
          <w:sz w:val="28"/>
          <w:szCs w:val="28"/>
          <w:highlight w:val="none"/>
          <w:lang w:val="en-US" w:eastAsia="zh-CN"/>
        </w:rPr>
      </w:pPr>
    </w:p>
    <w:p w14:paraId="509F86BB">
      <w:pPr>
        <w:numPr>
          <w:ilvl w:val="0"/>
          <w:numId w:val="0"/>
        </w:numPr>
        <w:spacing w:line="360" w:lineRule="auto"/>
        <w:rPr>
          <w:rFonts w:hint="eastAsia" w:ascii="Times New Roman"/>
          <w:b/>
          <w:color w:val="auto"/>
          <w:sz w:val="28"/>
          <w:szCs w:val="28"/>
          <w:highlight w:val="none"/>
          <w:lang w:val="en-US" w:eastAsia="zh-CN"/>
        </w:rPr>
      </w:pPr>
    </w:p>
    <w:p w14:paraId="783DE64A">
      <w:pPr>
        <w:numPr>
          <w:ilvl w:val="0"/>
          <w:numId w:val="0"/>
        </w:numPr>
        <w:spacing w:line="360" w:lineRule="auto"/>
        <w:rPr>
          <w:rFonts w:hint="eastAsia" w:ascii="Times New Roman"/>
          <w:b/>
          <w:color w:val="auto"/>
          <w:sz w:val="28"/>
          <w:szCs w:val="28"/>
          <w:highlight w:val="none"/>
          <w:lang w:val="en-US" w:eastAsia="zh-CN"/>
        </w:rPr>
      </w:pPr>
    </w:p>
    <w:p w14:paraId="67E00ADD">
      <w:pPr>
        <w:pStyle w:val="2"/>
        <w:ind w:firstLine="0" w:firstLineChars="0"/>
        <w:rPr>
          <w:rFonts w:hint="eastAsia" w:ascii="Times New Roman"/>
          <w:b/>
          <w:color w:val="auto"/>
          <w:sz w:val="28"/>
          <w:szCs w:val="28"/>
          <w:highlight w:val="none"/>
          <w:lang w:val="en-US" w:eastAsia="zh-CN"/>
        </w:rPr>
      </w:pPr>
    </w:p>
    <w:p w14:paraId="0552E710">
      <w:pPr>
        <w:numPr>
          <w:ilvl w:val="0"/>
          <w:numId w:val="0"/>
        </w:numPr>
        <w:spacing w:line="360" w:lineRule="auto"/>
        <w:rPr>
          <w:rFonts w:hint="default" w:ascii="Times New Roman"/>
          <w:b/>
          <w:color w:val="auto"/>
          <w:sz w:val="28"/>
          <w:szCs w:val="28"/>
          <w:highlight w:val="none"/>
          <w:lang w:val="en-US" w:eastAsia="zh-CN"/>
        </w:rPr>
      </w:pPr>
      <w:bookmarkStart w:id="21" w:name="_Toc27551756"/>
      <w:bookmarkStart w:id="22" w:name="_Toc29347"/>
      <w:bookmarkStart w:id="23" w:name="_Toc27562528"/>
      <w:bookmarkStart w:id="24" w:name="_Toc27491776"/>
      <w:bookmarkStart w:id="25" w:name="_Toc25268"/>
    </w:p>
    <w:p w14:paraId="7A9FC6E9">
      <w:pPr>
        <w:pStyle w:val="4"/>
        <w:snapToGrid w:val="0"/>
        <w:spacing w:before="0" w:after="0"/>
        <w:jc w:val="left"/>
        <w:rPr>
          <w:rFonts w:hint="eastAsia" w:hAnsi="宋体"/>
          <w:color w:val="auto"/>
          <w:szCs w:val="32"/>
          <w:highlight w:val="none"/>
          <w:lang w:val="zh-CN"/>
        </w:rPr>
      </w:pPr>
      <w:r>
        <w:rPr>
          <w:rFonts w:hint="eastAsia" w:hAnsi="宋体"/>
          <w:color w:val="auto"/>
          <w:szCs w:val="32"/>
          <w:highlight w:val="none"/>
          <w:lang w:val="en-US" w:eastAsia="zh-CN"/>
        </w:rPr>
        <w:t>2、</w:t>
      </w:r>
      <w:bookmarkEnd w:id="21"/>
      <w:bookmarkEnd w:id="22"/>
      <w:bookmarkEnd w:id="23"/>
      <w:bookmarkEnd w:id="24"/>
      <w:bookmarkEnd w:id="25"/>
      <w:bookmarkStart w:id="26" w:name="_Toc18457"/>
      <w:bookmarkStart w:id="27" w:name="_Toc4843"/>
      <w:r>
        <w:rPr>
          <w:rFonts w:hAnsi="宋体"/>
          <w:color w:val="auto"/>
          <w:szCs w:val="32"/>
          <w:highlight w:val="none"/>
        </w:rPr>
        <w:t xml:space="preserve"> </w:t>
      </w:r>
      <w:r>
        <w:rPr>
          <w:rFonts w:hint="eastAsia" w:hAnsi="宋体"/>
          <w:color w:val="auto"/>
          <w:szCs w:val="32"/>
          <w:highlight w:val="none"/>
          <w:lang w:val="en-US" w:eastAsia="zh-CN"/>
        </w:rPr>
        <w:t>报价承诺书</w:t>
      </w:r>
      <w:r>
        <w:rPr>
          <w:rFonts w:hAnsi="宋体"/>
          <w:color w:val="auto"/>
          <w:szCs w:val="32"/>
          <w:highlight w:val="none"/>
        </w:rPr>
        <w:t>（格式）</w:t>
      </w:r>
      <w:bookmarkEnd w:id="26"/>
      <w:bookmarkEnd w:id="27"/>
    </w:p>
    <w:p w14:paraId="1761DD6A">
      <w:pPr>
        <w:snapToGrid w:val="0"/>
        <w:spacing w:line="360" w:lineRule="auto"/>
        <w:jc w:val="center"/>
        <w:rPr>
          <w:rFonts w:hint="eastAsia" w:hAnsi="宋体"/>
          <w:b/>
          <w:color w:val="auto"/>
          <w:sz w:val="52"/>
          <w:szCs w:val="52"/>
          <w:highlight w:val="none"/>
          <w:lang w:val="zh-CN"/>
        </w:rPr>
      </w:pPr>
      <w:r>
        <w:rPr>
          <w:rFonts w:hint="eastAsia" w:hAnsi="宋体"/>
          <w:b/>
          <w:color w:val="auto"/>
          <w:sz w:val="44"/>
          <w:szCs w:val="44"/>
          <w:highlight w:val="none"/>
          <w:lang w:val="zh-CN"/>
        </w:rPr>
        <w:t>承诺书</w:t>
      </w:r>
    </w:p>
    <w:p w14:paraId="7577DFB2">
      <w:pPr>
        <w:pStyle w:val="2"/>
        <w:rPr>
          <w:color w:val="auto"/>
          <w:lang w:val="zh-CN"/>
        </w:rPr>
      </w:pPr>
    </w:p>
    <w:p w14:paraId="12935D97">
      <w:pPr>
        <w:spacing w:line="360" w:lineRule="auto"/>
        <w:jc w:val="both"/>
        <w:outlineLvl w:val="0"/>
        <w:rPr>
          <w:rFonts w:hAnsi="宋体" w:cs="宋体"/>
          <w:color w:val="auto"/>
          <w:kern w:val="2"/>
          <w:highlight w:val="none"/>
          <w:u w:val="single"/>
        </w:rPr>
      </w:pPr>
      <w:bookmarkStart w:id="28" w:name="_Toc30927"/>
      <w:bookmarkStart w:id="29" w:name="_Toc5634"/>
      <w:bookmarkStart w:id="30" w:name="_Toc11527"/>
      <w:r>
        <w:rPr>
          <w:rFonts w:hint="eastAsia" w:hAnsi="宋体" w:cs="宋体"/>
          <w:color w:val="auto"/>
          <w:kern w:val="2"/>
          <w:highlight w:val="none"/>
          <w:lang w:val="zh-CN"/>
        </w:rPr>
        <w:t>致：</w:t>
      </w:r>
      <w:bookmarkEnd w:id="28"/>
      <w:bookmarkEnd w:id="29"/>
      <w:r>
        <w:rPr>
          <w:rFonts w:hint="eastAsia" w:hAnsi="宋体" w:cs="宋体"/>
          <w:color w:val="auto"/>
          <w:kern w:val="2"/>
          <w:highlight w:val="none"/>
          <w:u w:val="single"/>
        </w:rPr>
        <w:t>东莞市水务环境投资控股集团管网有限公司</w:t>
      </w:r>
      <w:bookmarkEnd w:id="30"/>
    </w:p>
    <w:p w14:paraId="6BD3ECD3">
      <w:pPr>
        <w:snapToGrid w:val="0"/>
        <w:spacing w:line="360" w:lineRule="auto"/>
        <w:ind w:left="0" w:leftChars="0" w:firstLine="480" w:firstLineChars="200"/>
        <w:jc w:val="left"/>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u w:val="single"/>
        </w:rPr>
        <w:t>《东莞市东引运河流域樟村断面综合治理工程（污水管网完善工程第二标段）施工合同纠纷专项法律服务</w:t>
      </w:r>
      <w:r>
        <w:rPr>
          <w:rFonts w:hint="eastAsia" w:hAnsi="宋体" w:cs="Times New Roman"/>
          <w:color w:val="auto"/>
          <w:highlight w:val="none"/>
          <w:lang w:eastAsia="zh-CN"/>
        </w:rPr>
        <w:t>（</w:t>
      </w:r>
      <w:r>
        <w:rPr>
          <w:rFonts w:hint="eastAsia" w:hAnsi="宋体" w:cs="Times New Roman"/>
          <w:color w:val="auto"/>
          <w:highlight w:val="none"/>
          <w:lang w:val="en-US" w:eastAsia="zh-CN"/>
        </w:rPr>
        <w:t>重新采购</w:t>
      </w:r>
      <w:r>
        <w:rPr>
          <w:rFonts w:hint="eastAsia" w:hAnsi="宋体" w:cs="Times New Roman"/>
          <w:color w:val="auto"/>
          <w:highlight w:val="none"/>
          <w:lang w:eastAsia="zh-CN"/>
        </w:rPr>
        <w:t>）</w:t>
      </w:r>
      <w:r>
        <w:rPr>
          <w:rFonts w:hint="eastAsia" w:hAnsi="宋体" w:cs="宋体"/>
          <w:color w:val="auto"/>
          <w:kern w:val="2"/>
          <w:highlight w:val="none"/>
          <w:u w:val="single"/>
        </w:rPr>
        <w:t>项目</w:t>
      </w:r>
      <w:r>
        <w:rPr>
          <w:rFonts w:hint="eastAsia" w:hAnsi="宋体" w:cs="宋体"/>
          <w:color w:val="auto"/>
          <w:kern w:val="2"/>
          <w:highlight w:val="none"/>
          <w:u w:val="single"/>
          <w:lang w:eastAsia="zh-CN"/>
        </w:rPr>
        <w:t>》</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2BDD35D6">
      <w:pPr>
        <w:spacing w:line="360" w:lineRule="auto"/>
        <w:ind w:firstLine="420"/>
        <w:jc w:val="both"/>
        <w:rPr>
          <w:rFonts w:hAnsi="宋体" w:cs="宋体"/>
          <w:color w:val="auto"/>
          <w:kern w:val="2"/>
          <w:highlight w:val="none"/>
          <w:lang w:val="zh-CN"/>
        </w:rPr>
      </w:pPr>
      <w:bookmarkStart w:id="31"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438AFA1C">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w:t>
      </w:r>
      <w:r>
        <w:rPr>
          <w:rFonts w:hint="eastAsia" w:ascii="宋体" w:hAnsi="宋体" w:eastAsia="宋体" w:cs="宋体"/>
          <w:color w:val="auto"/>
          <w:kern w:val="2"/>
          <w:highlight w:val="none"/>
          <w:lang w:val="zh-CN"/>
        </w:rPr>
        <w:t>在</w:t>
      </w:r>
      <w:r>
        <w:rPr>
          <w:rFonts w:hint="eastAsia" w:ascii="宋体" w:hAnsi="宋体" w:eastAsia="宋体" w:cs="宋体"/>
          <w:color w:val="auto"/>
          <w:kern w:val="2"/>
          <w:highlight w:val="none"/>
          <w:lang w:val="zh-CN" w:eastAsia="zh-CN"/>
        </w:rPr>
        <w:t>东莞市水务环境投资控股集团有限公司</w:t>
      </w:r>
      <w:r>
        <w:rPr>
          <w:rFonts w:hint="eastAsia" w:ascii="宋体" w:hAnsi="宋体" w:eastAsia="宋体" w:cs="宋体"/>
          <w:color w:val="auto"/>
          <w:kern w:val="2"/>
          <w:highlight w:val="none"/>
          <w:lang w:val="zh-CN"/>
        </w:rPr>
        <w:t>官</w:t>
      </w:r>
      <w:r>
        <w:rPr>
          <w:rFonts w:hint="eastAsia" w:hAnsi="宋体" w:cs="宋体"/>
          <w:color w:val="auto"/>
          <w:kern w:val="2"/>
          <w:highlight w:val="none"/>
          <w:lang w:val="zh-CN"/>
        </w:rPr>
        <w:t>网、东莞阳光网、东莞日报等媒体公开我司失信行为，并在贵司以后的招标采购项目评标时充分考虑我司的不良行为和履约问题；</w:t>
      </w:r>
    </w:p>
    <w:p w14:paraId="06FC3CB4">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32" w:name="_Hlk82789221"/>
      <w:r>
        <w:rPr>
          <w:rFonts w:hint="eastAsia" w:hAnsi="宋体" w:cs="宋体"/>
          <w:color w:val="auto"/>
          <w:kern w:val="2"/>
          <w:highlight w:val="none"/>
          <w:lang w:val="zh-CN"/>
        </w:rPr>
        <w:t>东莞市市场监督管理局</w:t>
      </w:r>
      <w:bookmarkEnd w:id="32"/>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7D37754F">
      <w:pPr>
        <w:spacing w:line="360" w:lineRule="auto"/>
        <w:ind w:firstLine="42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highlight w:val="none"/>
        </w:rPr>
        <w:t>我司郑重承诺：以</w:t>
      </w:r>
      <w:r>
        <w:rPr>
          <w:rFonts w:hint="eastAsia" w:hAnsi="宋体" w:cs="宋体"/>
          <w:color w:val="auto"/>
          <w:kern w:val="2"/>
          <w:highlight w:val="none"/>
          <w:lang w:val="en-US" w:eastAsia="zh-CN"/>
        </w:rPr>
        <w:t>采购人在</w:t>
      </w:r>
      <w:r>
        <w:rPr>
          <w:rFonts w:hint="eastAsia" w:ascii="宋体" w:hAnsi="宋体" w:eastAsia="宋体" w:cs="宋体"/>
          <w:color w:val="auto"/>
          <w:kern w:val="2"/>
          <w:highlight w:val="none"/>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auto"/>
          <w:kern w:val="2"/>
          <w:highlight w:val="none"/>
          <w:lang w:val="en-US" w:eastAsia="zh-CN"/>
        </w:rPr>
        <w:t>报价</w:t>
      </w:r>
      <w:r>
        <w:rPr>
          <w:rFonts w:hint="eastAsia" w:ascii="宋体" w:hAnsi="宋体" w:eastAsia="宋体" w:cs="宋体"/>
          <w:color w:val="auto"/>
          <w:kern w:val="2"/>
          <w:highlight w:val="none"/>
        </w:rPr>
        <w:t>资格，且我司对此不持任何异议，并自愿承担由此产生的一切法律责任</w:t>
      </w:r>
      <w:r>
        <w:rPr>
          <w:rFonts w:hint="eastAsia" w:ascii="宋体" w:hAnsi="宋体" w:eastAsia="宋体" w:cs="宋体"/>
          <w:color w:val="auto"/>
          <w:kern w:val="2"/>
          <w:highlight w:val="none"/>
          <w:lang w:eastAsia="zh-CN"/>
        </w:rPr>
        <w:t>。</w:t>
      </w:r>
    </w:p>
    <w:p w14:paraId="490C474E">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31"/>
    <w:p w14:paraId="16C8ED80">
      <w:pPr>
        <w:spacing w:line="360" w:lineRule="auto"/>
        <w:rPr>
          <w:rFonts w:hAnsi="宋体" w:cs="宋体"/>
          <w:color w:val="auto"/>
          <w:highlight w:val="none"/>
        </w:rPr>
      </w:pPr>
    </w:p>
    <w:p w14:paraId="52F33C47">
      <w:pPr>
        <w:spacing w:line="360" w:lineRule="auto"/>
        <w:rPr>
          <w:rFonts w:hAnsi="宋体" w:cs="宋体"/>
          <w:color w:val="auto"/>
          <w:highlight w:val="none"/>
        </w:rPr>
      </w:pPr>
    </w:p>
    <w:p w14:paraId="607F3301">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1A48CB4A">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42028F39">
      <w:pPr>
        <w:widowControl/>
        <w:autoSpaceDE/>
        <w:autoSpaceDN/>
        <w:adjustRightInd/>
        <w:rPr>
          <w:color w:val="auto"/>
          <w:highlight w:val="none"/>
        </w:rPr>
      </w:pPr>
    </w:p>
    <w:p w14:paraId="6116FD0D">
      <w:pPr>
        <w:rPr>
          <w:color w:val="auto"/>
          <w:highlight w:val="none"/>
        </w:rPr>
      </w:pPr>
    </w:p>
    <w:p w14:paraId="692F5E56">
      <w:pPr>
        <w:pStyle w:val="2"/>
        <w:rPr>
          <w:color w:val="auto"/>
        </w:rPr>
      </w:pPr>
    </w:p>
    <w:p w14:paraId="1858E9A9">
      <w:pPr>
        <w:pStyle w:val="2"/>
        <w:numPr>
          <w:ilvl w:val="12"/>
          <w:numId w:val="0"/>
        </w:numPr>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3、</w:t>
      </w:r>
      <w:r>
        <w:rPr>
          <w:rFonts w:hint="eastAsia" w:ascii="宋体" w:hAnsi="宋体" w:eastAsia="宋体" w:cs="Times New Roman"/>
          <w:b/>
          <w:bCs/>
          <w:color w:val="auto"/>
          <w:kern w:val="0"/>
          <w:sz w:val="24"/>
          <w:szCs w:val="24"/>
          <w:highlight w:val="none"/>
        </w:rPr>
        <w:t>律师事务所执业许可证</w:t>
      </w:r>
      <w:r>
        <w:rPr>
          <w:rFonts w:hint="eastAsia" w:hAnsi="宋体" w:cs="Times New Roman"/>
          <w:b/>
          <w:bCs/>
          <w:color w:val="auto"/>
          <w:kern w:val="0"/>
          <w:sz w:val="24"/>
          <w:szCs w:val="24"/>
          <w:highlight w:val="none"/>
          <w:lang w:eastAsia="zh-CN"/>
        </w:rPr>
        <w:t>（</w:t>
      </w:r>
      <w:r>
        <w:rPr>
          <w:rFonts w:hint="eastAsia" w:ascii="宋体" w:hAnsi="宋体" w:eastAsia="宋体" w:cs="Times New Roman"/>
          <w:b/>
          <w:bCs/>
          <w:color w:val="auto"/>
          <w:kern w:val="0"/>
          <w:sz w:val="24"/>
          <w:szCs w:val="24"/>
          <w:highlight w:val="none"/>
        </w:rPr>
        <w:t>需</w:t>
      </w:r>
      <w:r>
        <w:rPr>
          <w:rFonts w:hint="eastAsia" w:ascii="宋体" w:hAnsi="宋体" w:eastAsia="宋体" w:cs="Times New Roman"/>
          <w:b/>
          <w:bCs/>
          <w:color w:val="auto"/>
          <w:kern w:val="0"/>
          <w:sz w:val="24"/>
          <w:szCs w:val="24"/>
          <w:highlight w:val="none"/>
          <w:lang w:val="en-US" w:eastAsia="zh-CN"/>
        </w:rPr>
        <w:t>经</w:t>
      </w:r>
      <w:r>
        <w:rPr>
          <w:rFonts w:hint="eastAsia" w:ascii="宋体" w:hAnsi="宋体" w:eastAsia="宋体" w:cs="Times New Roman"/>
          <w:b/>
          <w:bCs/>
          <w:color w:val="auto"/>
          <w:kern w:val="0"/>
          <w:sz w:val="24"/>
          <w:szCs w:val="24"/>
          <w:highlight w:val="none"/>
        </w:rPr>
        <w:t>省级或以上</w:t>
      </w:r>
      <w:r>
        <w:rPr>
          <w:rFonts w:hint="eastAsia" w:ascii="宋体" w:hAnsi="宋体" w:eastAsia="宋体" w:cs="Times New Roman"/>
          <w:b/>
          <w:bCs/>
          <w:color w:val="auto"/>
          <w:kern w:val="0"/>
          <w:sz w:val="24"/>
          <w:szCs w:val="24"/>
          <w:highlight w:val="none"/>
          <w:lang w:val="en-US" w:eastAsia="zh-CN"/>
        </w:rPr>
        <w:t>司法行政部门批准成立5年以上，</w:t>
      </w:r>
      <w:r>
        <w:rPr>
          <w:rFonts w:hint="eastAsia" w:ascii="宋体" w:hAnsi="宋体" w:eastAsia="宋体" w:cs="Times New Roman"/>
          <w:b/>
          <w:bCs/>
          <w:color w:val="auto"/>
          <w:kern w:val="0"/>
          <w:sz w:val="24"/>
          <w:szCs w:val="24"/>
          <w:highlight w:val="none"/>
        </w:rPr>
        <w:t>近</w:t>
      </w:r>
      <w:r>
        <w:rPr>
          <w:rFonts w:hint="eastAsia" w:ascii="宋体" w:hAnsi="宋体" w:eastAsia="宋体" w:cs="Times New Roman"/>
          <w:b/>
          <w:bCs/>
          <w:color w:val="auto"/>
          <w:kern w:val="0"/>
          <w:sz w:val="24"/>
          <w:szCs w:val="24"/>
          <w:highlight w:val="none"/>
          <w:lang w:val="en-US" w:eastAsia="zh-CN"/>
        </w:rPr>
        <w:t>3</w:t>
      </w:r>
      <w:r>
        <w:rPr>
          <w:rFonts w:hint="eastAsia" w:ascii="宋体" w:hAnsi="宋体" w:eastAsia="宋体" w:cs="Times New Roman"/>
          <w:b/>
          <w:bCs/>
          <w:color w:val="auto"/>
          <w:kern w:val="0"/>
          <w:sz w:val="24"/>
          <w:szCs w:val="24"/>
          <w:highlight w:val="none"/>
        </w:rPr>
        <w:t>年内未受到</w:t>
      </w:r>
      <w:r>
        <w:rPr>
          <w:rFonts w:hint="eastAsia" w:ascii="宋体" w:hAnsi="宋体" w:eastAsia="宋体" w:cs="Times New Roman"/>
          <w:b/>
          <w:bCs/>
          <w:color w:val="auto"/>
          <w:kern w:val="0"/>
          <w:sz w:val="24"/>
          <w:szCs w:val="24"/>
          <w:highlight w:val="none"/>
          <w:lang w:val="en-US" w:eastAsia="zh-CN"/>
        </w:rPr>
        <w:t>行政处罚、行业处分且律所年度考核均为合格</w:t>
      </w:r>
      <w:r>
        <w:rPr>
          <w:rFonts w:hint="eastAsia" w:hAnsi="宋体" w:cs="Times New Roman"/>
          <w:b/>
          <w:bCs/>
          <w:color w:val="auto"/>
          <w:kern w:val="0"/>
          <w:sz w:val="24"/>
          <w:szCs w:val="24"/>
          <w:highlight w:val="none"/>
          <w:lang w:eastAsia="zh-CN"/>
        </w:rPr>
        <w:t>）</w:t>
      </w:r>
    </w:p>
    <w:p w14:paraId="0B83EBD3">
      <w:pPr>
        <w:pStyle w:val="2"/>
        <w:numPr>
          <w:ilvl w:val="0"/>
          <w:numId w:val="0"/>
        </w:numPr>
        <w:rPr>
          <w:rFonts w:hint="default" w:hAnsi="宋体"/>
          <w:color w:val="auto"/>
          <w:highlight w:val="none"/>
          <w:lang w:val="en-US" w:eastAsia="zh-CN"/>
        </w:rPr>
      </w:pPr>
    </w:p>
    <w:p w14:paraId="25E10772">
      <w:pPr>
        <w:pStyle w:val="2"/>
        <w:numPr>
          <w:ilvl w:val="0"/>
          <w:numId w:val="0"/>
        </w:numPr>
        <w:rPr>
          <w:rFonts w:hint="default" w:hAnsi="宋体"/>
          <w:color w:val="auto"/>
          <w:highlight w:val="none"/>
          <w:lang w:val="en-US" w:eastAsia="zh-CN"/>
        </w:rPr>
      </w:pPr>
    </w:p>
    <w:p w14:paraId="2207C231">
      <w:pPr>
        <w:pStyle w:val="2"/>
        <w:numPr>
          <w:ilvl w:val="0"/>
          <w:numId w:val="0"/>
        </w:numPr>
        <w:rPr>
          <w:rFonts w:hint="default" w:hAnsi="宋体"/>
          <w:color w:val="auto"/>
          <w:highlight w:val="none"/>
          <w:lang w:val="en-US" w:eastAsia="zh-CN"/>
        </w:rPr>
      </w:pPr>
    </w:p>
    <w:p w14:paraId="799DB355">
      <w:pPr>
        <w:pStyle w:val="2"/>
        <w:numPr>
          <w:ilvl w:val="0"/>
          <w:numId w:val="0"/>
        </w:numPr>
        <w:rPr>
          <w:rFonts w:hint="default" w:hAnsi="宋体"/>
          <w:color w:val="auto"/>
          <w:highlight w:val="none"/>
          <w:lang w:val="en-US" w:eastAsia="zh-CN"/>
        </w:rPr>
      </w:pPr>
    </w:p>
    <w:p w14:paraId="5AE86B46">
      <w:pPr>
        <w:pStyle w:val="2"/>
        <w:numPr>
          <w:ilvl w:val="0"/>
          <w:numId w:val="0"/>
        </w:numPr>
        <w:rPr>
          <w:rFonts w:hint="default" w:hAnsi="宋体"/>
          <w:color w:val="auto"/>
          <w:highlight w:val="none"/>
          <w:lang w:val="en-US" w:eastAsia="zh-CN"/>
        </w:rPr>
      </w:pPr>
    </w:p>
    <w:p w14:paraId="63E35911">
      <w:pPr>
        <w:pStyle w:val="2"/>
        <w:numPr>
          <w:ilvl w:val="0"/>
          <w:numId w:val="0"/>
        </w:numPr>
        <w:rPr>
          <w:rFonts w:hint="default" w:hAnsi="宋体"/>
          <w:color w:val="auto"/>
          <w:highlight w:val="none"/>
          <w:lang w:val="en-US" w:eastAsia="zh-CN"/>
        </w:rPr>
      </w:pPr>
    </w:p>
    <w:p w14:paraId="20C0BD48">
      <w:pPr>
        <w:pStyle w:val="2"/>
        <w:numPr>
          <w:ilvl w:val="0"/>
          <w:numId w:val="0"/>
        </w:numPr>
        <w:rPr>
          <w:rFonts w:hint="default" w:hAnsi="宋体"/>
          <w:color w:val="auto"/>
          <w:highlight w:val="none"/>
          <w:lang w:val="en-US" w:eastAsia="zh-CN"/>
        </w:rPr>
      </w:pPr>
    </w:p>
    <w:p w14:paraId="296FDF33">
      <w:pPr>
        <w:pStyle w:val="2"/>
        <w:numPr>
          <w:ilvl w:val="0"/>
          <w:numId w:val="0"/>
        </w:numPr>
        <w:rPr>
          <w:rFonts w:hint="default" w:hAnsi="宋体"/>
          <w:color w:val="auto"/>
          <w:highlight w:val="none"/>
          <w:lang w:val="en-US" w:eastAsia="zh-CN"/>
        </w:rPr>
      </w:pPr>
    </w:p>
    <w:p w14:paraId="78922B66">
      <w:pPr>
        <w:pStyle w:val="2"/>
        <w:numPr>
          <w:ilvl w:val="0"/>
          <w:numId w:val="0"/>
        </w:numPr>
        <w:rPr>
          <w:rFonts w:hint="default" w:hAnsi="宋体"/>
          <w:color w:val="auto"/>
          <w:highlight w:val="none"/>
          <w:lang w:val="en-US" w:eastAsia="zh-CN"/>
        </w:rPr>
      </w:pPr>
    </w:p>
    <w:p w14:paraId="4450BCB0">
      <w:pPr>
        <w:pStyle w:val="2"/>
        <w:numPr>
          <w:ilvl w:val="0"/>
          <w:numId w:val="0"/>
        </w:numPr>
        <w:rPr>
          <w:rFonts w:hint="default" w:hAnsi="宋体"/>
          <w:color w:val="auto"/>
          <w:highlight w:val="none"/>
          <w:lang w:val="en-US" w:eastAsia="zh-CN"/>
        </w:rPr>
      </w:pPr>
    </w:p>
    <w:p w14:paraId="28837EE5">
      <w:pPr>
        <w:pStyle w:val="2"/>
        <w:numPr>
          <w:ilvl w:val="0"/>
          <w:numId w:val="0"/>
        </w:numPr>
        <w:rPr>
          <w:rFonts w:hint="default" w:hAnsi="宋体"/>
          <w:color w:val="auto"/>
          <w:highlight w:val="none"/>
          <w:lang w:val="en-US" w:eastAsia="zh-CN"/>
        </w:rPr>
      </w:pPr>
    </w:p>
    <w:p w14:paraId="12FC9A42">
      <w:pPr>
        <w:pStyle w:val="2"/>
        <w:numPr>
          <w:ilvl w:val="0"/>
          <w:numId w:val="0"/>
        </w:numPr>
        <w:rPr>
          <w:rFonts w:hint="default" w:hAnsi="宋体"/>
          <w:color w:val="auto"/>
          <w:highlight w:val="none"/>
          <w:lang w:val="en-US" w:eastAsia="zh-CN"/>
        </w:rPr>
      </w:pPr>
    </w:p>
    <w:p w14:paraId="050E3297">
      <w:pPr>
        <w:pStyle w:val="2"/>
        <w:numPr>
          <w:ilvl w:val="0"/>
          <w:numId w:val="0"/>
        </w:numPr>
        <w:rPr>
          <w:rFonts w:hint="default" w:hAnsi="宋体"/>
          <w:color w:val="auto"/>
          <w:highlight w:val="none"/>
          <w:lang w:val="en-US" w:eastAsia="zh-CN"/>
        </w:rPr>
      </w:pPr>
    </w:p>
    <w:p w14:paraId="41E032C8">
      <w:pPr>
        <w:pStyle w:val="2"/>
        <w:numPr>
          <w:ilvl w:val="0"/>
          <w:numId w:val="0"/>
        </w:numPr>
        <w:rPr>
          <w:rFonts w:hint="default" w:hAnsi="宋体"/>
          <w:color w:val="auto"/>
          <w:highlight w:val="none"/>
          <w:lang w:val="en-US" w:eastAsia="zh-CN"/>
        </w:rPr>
      </w:pPr>
    </w:p>
    <w:p w14:paraId="35944703">
      <w:pPr>
        <w:pStyle w:val="2"/>
        <w:numPr>
          <w:ilvl w:val="0"/>
          <w:numId w:val="0"/>
        </w:numPr>
        <w:rPr>
          <w:rFonts w:hint="default" w:hAnsi="宋体"/>
          <w:color w:val="auto"/>
          <w:highlight w:val="none"/>
          <w:lang w:val="en-US" w:eastAsia="zh-CN"/>
        </w:rPr>
      </w:pPr>
    </w:p>
    <w:p w14:paraId="20CDCED2">
      <w:pPr>
        <w:pStyle w:val="2"/>
        <w:numPr>
          <w:ilvl w:val="0"/>
          <w:numId w:val="0"/>
        </w:numPr>
        <w:rPr>
          <w:rFonts w:hint="default" w:hAnsi="宋体"/>
          <w:color w:val="auto"/>
          <w:highlight w:val="none"/>
          <w:lang w:val="en-US" w:eastAsia="zh-CN"/>
        </w:rPr>
      </w:pPr>
    </w:p>
    <w:p w14:paraId="1F3ED202">
      <w:pPr>
        <w:pStyle w:val="2"/>
        <w:numPr>
          <w:ilvl w:val="0"/>
          <w:numId w:val="0"/>
        </w:numPr>
        <w:rPr>
          <w:rFonts w:hint="default" w:hAnsi="宋体"/>
          <w:color w:val="auto"/>
          <w:highlight w:val="none"/>
          <w:lang w:val="en-US" w:eastAsia="zh-CN"/>
        </w:rPr>
      </w:pPr>
    </w:p>
    <w:p w14:paraId="566583A5">
      <w:pPr>
        <w:pStyle w:val="2"/>
        <w:numPr>
          <w:ilvl w:val="0"/>
          <w:numId w:val="0"/>
        </w:numPr>
        <w:rPr>
          <w:rFonts w:hint="default" w:hAnsi="宋体"/>
          <w:color w:val="auto"/>
          <w:highlight w:val="none"/>
          <w:lang w:val="en-US" w:eastAsia="zh-CN"/>
        </w:rPr>
      </w:pPr>
    </w:p>
    <w:p w14:paraId="10799710">
      <w:pPr>
        <w:pStyle w:val="2"/>
        <w:numPr>
          <w:ilvl w:val="0"/>
          <w:numId w:val="0"/>
        </w:numPr>
        <w:rPr>
          <w:rFonts w:hint="default" w:hAnsi="宋体"/>
          <w:color w:val="auto"/>
          <w:highlight w:val="none"/>
          <w:lang w:val="en-US" w:eastAsia="zh-CN"/>
        </w:rPr>
      </w:pPr>
    </w:p>
    <w:p w14:paraId="14832770">
      <w:pPr>
        <w:pStyle w:val="2"/>
        <w:numPr>
          <w:ilvl w:val="0"/>
          <w:numId w:val="0"/>
        </w:numPr>
        <w:rPr>
          <w:rFonts w:hint="default" w:hAnsi="宋体"/>
          <w:color w:val="auto"/>
          <w:highlight w:val="none"/>
          <w:lang w:val="en-US" w:eastAsia="zh-CN"/>
        </w:rPr>
      </w:pPr>
    </w:p>
    <w:p w14:paraId="5F2BB6CD">
      <w:pPr>
        <w:pStyle w:val="2"/>
        <w:numPr>
          <w:ilvl w:val="0"/>
          <w:numId w:val="0"/>
        </w:numPr>
        <w:rPr>
          <w:rFonts w:hint="default" w:hAnsi="宋体"/>
          <w:color w:val="auto"/>
          <w:highlight w:val="none"/>
          <w:lang w:val="en-US" w:eastAsia="zh-CN"/>
        </w:rPr>
      </w:pPr>
    </w:p>
    <w:p w14:paraId="522A6AA9">
      <w:pPr>
        <w:pStyle w:val="2"/>
        <w:numPr>
          <w:ilvl w:val="0"/>
          <w:numId w:val="0"/>
        </w:numPr>
        <w:rPr>
          <w:rFonts w:hint="default" w:hAnsi="宋体"/>
          <w:color w:val="auto"/>
          <w:highlight w:val="none"/>
          <w:lang w:val="en-US" w:eastAsia="zh-CN"/>
        </w:rPr>
      </w:pPr>
    </w:p>
    <w:p w14:paraId="07116C65">
      <w:pPr>
        <w:pStyle w:val="2"/>
        <w:numPr>
          <w:ilvl w:val="0"/>
          <w:numId w:val="0"/>
        </w:numPr>
        <w:rPr>
          <w:rFonts w:hint="default" w:hAnsi="宋体"/>
          <w:color w:val="auto"/>
          <w:highlight w:val="none"/>
          <w:lang w:val="en-US" w:eastAsia="zh-CN"/>
        </w:rPr>
      </w:pPr>
    </w:p>
    <w:p w14:paraId="50B35B38">
      <w:pPr>
        <w:pStyle w:val="2"/>
        <w:numPr>
          <w:ilvl w:val="0"/>
          <w:numId w:val="0"/>
        </w:numPr>
        <w:rPr>
          <w:rFonts w:hint="default" w:hAnsi="宋体"/>
          <w:color w:val="auto"/>
          <w:highlight w:val="none"/>
          <w:lang w:val="en-US" w:eastAsia="zh-CN"/>
        </w:rPr>
      </w:pPr>
    </w:p>
    <w:p w14:paraId="44565762">
      <w:pPr>
        <w:pStyle w:val="2"/>
        <w:numPr>
          <w:ilvl w:val="0"/>
          <w:numId w:val="0"/>
        </w:numPr>
        <w:rPr>
          <w:rFonts w:hint="default" w:hAnsi="宋体"/>
          <w:color w:val="auto"/>
          <w:highlight w:val="none"/>
          <w:lang w:val="en-US" w:eastAsia="zh-CN"/>
        </w:rPr>
      </w:pPr>
    </w:p>
    <w:p w14:paraId="5CAF7338">
      <w:pPr>
        <w:pStyle w:val="2"/>
        <w:numPr>
          <w:ilvl w:val="0"/>
          <w:numId w:val="0"/>
        </w:numPr>
        <w:rPr>
          <w:rFonts w:hint="default" w:hAnsi="宋体"/>
          <w:color w:val="auto"/>
          <w:highlight w:val="none"/>
          <w:lang w:val="en-US" w:eastAsia="zh-CN"/>
        </w:rPr>
      </w:pPr>
    </w:p>
    <w:p w14:paraId="78062F96">
      <w:pPr>
        <w:pStyle w:val="2"/>
        <w:numPr>
          <w:ilvl w:val="0"/>
          <w:numId w:val="0"/>
        </w:numPr>
        <w:rPr>
          <w:rFonts w:hint="default" w:hAnsi="宋体"/>
          <w:color w:val="auto"/>
          <w:highlight w:val="none"/>
          <w:lang w:val="en-US" w:eastAsia="zh-CN"/>
        </w:rPr>
      </w:pPr>
    </w:p>
    <w:p w14:paraId="07D4D56D">
      <w:pPr>
        <w:pStyle w:val="2"/>
        <w:numPr>
          <w:ilvl w:val="0"/>
          <w:numId w:val="0"/>
        </w:numPr>
        <w:rPr>
          <w:rFonts w:hint="default" w:hAnsi="宋体"/>
          <w:color w:val="auto"/>
          <w:highlight w:val="none"/>
          <w:lang w:val="en-US" w:eastAsia="zh-CN"/>
        </w:rPr>
      </w:pPr>
    </w:p>
    <w:p w14:paraId="01D4DD15">
      <w:pPr>
        <w:pStyle w:val="2"/>
        <w:numPr>
          <w:ilvl w:val="12"/>
          <w:numId w:val="0"/>
        </w:numPr>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highlight w:val="none"/>
          <w:lang w:val="en-US" w:eastAsia="zh-CN"/>
        </w:rPr>
        <w:t>4、</w:t>
      </w:r>
      <w:r>
        <w:rPr>
          <w:rFonts w:hint="eastAsia" w:ascii="宋体" w:hAnsi="宋体" w:eastAsia="宋体" w:cs="Times New Roman"/>
          <w:b/>
          <w:bCs/>
          <w:color w:val="auto"/>
          <w:szCs w:val="24"/>
          <w:highlight w:val="none"/>
          <w:lang w:val="en-US" w:eastAsia="zh-CN"/>
        </w:rPr>
        <w:t>一份或以上</w:t>
      </w:r>
      <w:r>
        <w:rPr>
          <w:rFonts w:hint="eastAsia" w:hAnsi="宋体" w:cs="Times New Roman"/>
          <w:b/>
          <w:bCs/>
          <w:color w:val="auto"/>
          <w:szCs w:val="24"/>
          <w:highlight w:val="none"/>
          <w:lang w:val="en-US" w:eastAsia="zh-CN"/>
        </w:rPr>
        <w:t>项目负责人主办的建设工程</w:t>
      </w:r>
      <w:r>
        <w:rPr>
          <w:rFonts w:hint="eastAsia" w:ascii="宋体" w:hAnsi="宋体" w:eastAsia="宋体" w:cs="Times New Roman"/>
          <w:b/>
          <w:bCs/>
          <w:color w:val="auto"/>
          <w:kern w:val="0"/>
          <w:sz w:val="24"/>
          <w:szCs w:val="24"/>
          <w:highlight w:val="none"/>
          <w:lang w:val="en-US" w:eastAsia="zh-CN"/>
        </w:rPr>
        <w:t>纠纷</w:t>
      </w:r>
      <w:r>
        <w:rPr>
          <w:rFonts w:hint="eastAsia" w:hAnsi="宋体" w:cs="Times New Roman"/>
          <w:b/>
          <w:bCs/>
          <w:color w:val="auto"/>
          <w:kern w:val="0"/>
          <w:sz w:val="24"/>
          <w:szCs w:val="24"/>
          <w:highlight w:val="none"/>
          <w:lang w:val="en-US" w:eastAsia="zh-CN"/>
        </w:rPr>
        <w:t>判决</w:t>
      </w:r>
      <w:r>
        <w:rPr>
          <w:rFonts w:hint="eastAsia" w:ascii="宋体" w:hAnsi="宋体" w:eastAsia="宋体" w:cs="Times New Roman"/>
          <w:b/>
          <w:bCs/>
          <w:color w:val="auto"/>
          <w:szCs w:val="24"/>
          <w:highlight w:val="none"/>
          <w:lang w:val="en-US" w:eastAsia="zh-CN"/>
        </w:rPr>
        <w:t>扫描件</w:t>
      </w:r>
    </w:p>
    <w:p w14:paraId="281EA9B8">
      <w:pPr>
        <w:autoSpaceDE/>
        <w:autoSpaceDN/>
        <w:adjustRightInd/>
        <w:snapToGrid/>
        <w:spacing w:line="360" w:lineRule="auto"/>
        <w:jc w:val="both"/>
        <w:rPr>
          <w:rFonts w:hint="default" w:ascii="宋体" w:hAnsi="宋体" w:eastAsia="宋体" w:cs="Times New Roman"/>
          <w:color w:val="auto"/>
          <w:kern w:val="2"/>
          <w:sz w:val="21"/>
          <w:szCs w:val="21"/>
          <w:highlight w:val="none"/>
          <w:lang w:eastAsia="zh-CN"/>
        </w:rPr>
      </w:pPr>
    </w:p>
    <w:p w14:paraId="0EA79242">
      <w:pPr>
        <w:pStyle w:val="2"/>
        <w:numPr>
          <w:ilvl w:val="0"/>
          <w:numId w:val="0"/>
        </w:numPr>
        <w:ind w:leftChars="0" w:right="0" w:rightChars="0"/>
        <w:rPr>
          <w:rFonts w:hint="eastAsia" w:hAnsi="宋体"/>
          <w:color w:val="auto"/>
          <w:highlight w:val="none"/>
          <w:lang w:val="en-US" w:eastAsia="zh-CN"/>
        </w:rPr>
      </w:pPr>
    </w:p>
    <w:p w14:paraId="7AA9FAF9">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0CE257F">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29E291A">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2C5E0E3">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6FADD9A">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54E274B">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95FD45B">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B562F56">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27BD5DC">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3A5B59D">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DE2591E">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16E122D">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1AF29F9">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66E5D0F">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DC8FFC4">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0B115532">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1552B92">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B0FE5AC">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A323160">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04A27949">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CCFE405">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91C1189">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6380520">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D5776A5">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2214209">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C36B73D">
      <w:pPr>
        <w:pStyle w:val="2"/>
        <w:numPr>
          <w:ilvl w:val="12"/>
          <w:numId w:val="0"/>
        </w:numPr>
        <w:ind w:firstLine="0" w:firstLineChars="0"/>
        <w:rPr>
          <w:rFonts w:hint="eastAsia" w:hAnsi="宋体"/>
          <w:b/>
          <w:bCs/>
          <w:color w:val="auto"/>
          <w:highlight w:val="none"/>
          <w:lang w:val="en-US" w:eastAsia="zh-CN"/>
        </w:rPr>
      </w:pPr>
    </w:p>
    <w:p w14:paraId="0A412385">
      <w:pPr>
        <w:numPr>
          <w:ilvl w:val="-1"/>
          <w:numId w:val="0"/>
        </w:numPr>
        <w:autoSpaceDE/>
        <w:autoSpaceDN/>
        <w:snapToGrid w:val="0"/>
        <w:spacing w:line="520" w:lineRule="exact"/>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5、专项法律服务团队（①</w:t>
      </w:r>
      <w:r>
        <w:rPr>
          <w:rFonts w:hint="eastAsia" w:ascii="宋体" w:hAnsi="宋体" w:eastAsia="宋体" w:cs="Times New Roman"/>
          <w:b/>
          <w:bCs/>
          <w:color w:val="auto"/>
          <w:kern w:val="0"/>
          <w:sz w:val="24"/>
          <w:szCs w:val="24"/>
          <w:highlight w:val="none"/>
          <w:lang w:val="en-US" w:eastAsia="zh-CN"/>
        </w:rPr>
        <w:t>为本项目提供服务的律师</w:t>
      </w:r>
      <w:r>
        <w:rPr>
          <w:rFonts w:hint="eastAsia" w:ascii="宋体" w:hAnsi="宋体" w:eastAsia="宋体" w:cs="Times New Roman"/>
          <w:b/>
          <w:bCs/>
          <w:color w:val="auto"/>
          <w:kern w:val="0"/>
          <w:sz w:val="24"/>
          <w:szCs w:val="24"/>
          <w:highlight w:val="none"/>
        </w:rPr>
        <w:t>应不少于</w:t>
      </w:r>
      <w:r>
        <w:rPr>
          <w:rFonts w:hint="eastAsia" w:ascii="宋体" w:hAnsi="宋体" w:eastAsia="宋体" w:cs="Times New Roman"/>
          <w:b/>
          <w:bCs/>
          <w:color w:val="auto"/>
          <w:kern w:val="0"/>
          <w:sz w:val="24"/>
          <w:szCs w:val="24"/>
          <w:highlight w:val="none"/>
          <w:lang w:val="en-US" w:eastAsia="zh-CN"/>
        </w:rPr>
        <w:t>三</w:t>
      </w:r>
      <w:r>
        <w:rPr>
          <w:rFonts w:hint="eastAsia" w:ascii="宋体" w:hAnsi="宋体" w:eastAsia="宋体" w:cs="Times New Roman"/>
          <w:b/>
          <w:bCs/>
          <w:color w:val="auto"/>
          <w:kern w:val="0"/>
          <w:sz w:val="24"/>
          <w:szCs w:val="24"/>
          <w:highlight w:val="none"/>
        </w:rPr>
        <w:t>人，持律师执业资格证书</w:t>
      </w:r>
      <w:r>
        <w:rPr>
          <w:rFonts w:hint="eastAsia" w:ascii="宋体" w:hAnsi="宋体" w:eastAsia="宋体" w:cs="Times New Roman"/>
          <w:b/>
          <w:bCs/>
          <w:color w:val="auto"/>
          <w:kern w:val="0"/>
          <w:sz w:val="24"/>
          <w:szCs w:val="24"/>
          <w:highlight w:val="none"/>
          <w:lang w:val="en-US" w:eastAsia="zh-CN"/>
        </w:rPr>
        <w:t>并已按时办理年检手续</w:t>
      </w:r>
      <w:r>
        <w:rPr>
          <w:rFonts w:hint="eastAsia" w:ascii="宋体" w:hAnsi="宋体" w:eastAsia="宋体" w:cs="Times New Roman"/>
          <w:b/>
          <w:bCs/>
          <w:color w:val="auto"/>
          <w:kern w:val="0"/>
          <w:sz w:val="24"/>
          <w:szCs w:val="24"/>
          <w:highlight w:val="none"/>
        </w:rPr>
        <w:t>，</w:t>
      </w:r>
      <w:r>
        <w:rPr>
          <w:rFonts w:hint="eastAsia" w:ascii="宋体" w:hAnsi="宋体" w:eastAsia="宋体" w:cs="Times New Roman"/>
          <w:b/>
          <w:bCs/>
          <w:color w:val="auto"/>
          <w:kern w:val="0"/>
          <w:sz w:val="24"/>
          <w:szCs w:val="24"/>
          <w:highlight w:val="none"/>
          <w:lang w:val="en-US" w:eastAsia="zh-CN"/>
        </w:rPr>
        <w:t>近3年未受到行政处罚、行业处分且</w:t>
      </w:r>
      <w:r>
        <w:rPr>
          <w:rFonts w:hint="eastAsia" w:ascii="宋体" w:hAnsi="宋体" w:eastAsia="宋体" w:cs="Times New Roman"/>
          <w:b/>
          <w:bCs/>
          <w:color w:val="auto"/>
          <w:kern w:val="0"/>
          <w:sz w:val="24"/>
          <w:highlight w:val="none"/>
        </w:rPr>
        <w:t>年度考核结果均为称职</w:t>
      </w:r>
      <w:r>
        <w:rPr>
          <w:rFonts w:hint="eastAsia" w:hAnsi="宋体" w:cs="Times New Roman"/>
          <w:b/>
          <w:bCs/>
          <w:color w:val="auto"/>
          <w:kern w:val="0"/>
          <w:sz w:val="24"/>
          <w:szCs w:val="24"/>
          <w:highlight w:val="none"/>
          <w:lang w:val="en-US" w:eastAsia="zh-CN"/>
        </w:rPr>
        <w:t>；②</w:t>
      </w:r>
      <w:r>
        <w:rPr>
          <w:rFonts w:hint="eastAsia" w:ascii="宋体" w:hAnsi="宋体" w:eastAsia="宋体" w:cs="Times New Roman"/>
          <w:b/>
          <w:bCs/>
          <w:color w:val="auto"/>
          <w:kern w:val="0"/>
          <w:sz w:val="24"/>
          <w:szCs w:val="24"/>
          <w:highlight w:val="none"/>
          <w:lang w:val="en-US" w:eastAsia="zh-CN"/>
        </w:rPr>
        <w:t>团队律师需执业满一年或以上；</w:t>
      </w:r>
      <w:r>
        <w:rPr>
          <w:rFonts w:hint="eastAsia" w:hAnsi="宋体" w:cs="Times New Roman"/>
          <w:b/>
          <w:bCs/>
          <w:color w:val="auto"/>
          <w:kern w:val="0"/>
          <w:sz w:val="24"/>
          <w:szCs w:val="24"/>
          <w:highlight w:val="none"/>
          <w:lang w:val="en-US" w:eastAsia="zh-CN"/>
        </w:rPr>
        <w:t>③</w:t>
      </w:r>
      <w:r>
        <w:rPr>
          <w:rFonts w:hint="eastAsia" w:ascii="宋体" w:hAnsi="宋体" w:eastAsia="宋体" w:cs="Times New Roman"/>
          <w:b/>
          <w:bCs/>
          <w:color w:val="auto"/>
          <w:kern w:val="0"/>
          <w:sz w:val="24"/>
          <w:szCs w:val="24"/>
          <w:highlight w:val="none"/>
          <w:lang w:val="en-US" w:eastAsia="zh-CN"/>
        </w:rPr>
        <w:t>项目负责人至少执业年限为五年以上</w:t>
      </w:r>
      <w:r>
        <w:rPr>
          <w:rFonts w:hint="eastAsia" w:ascii="宋体" w:hAnsi="宋体" w:eastAsia="宋体" w:cs="Times New Roman"/>
          <w:b/>
          <w:bCs/>
          <w:color w:val="auto"/>
          <w:kern w:val="0"/>
          <w:sz w:val="24"/>
          <w:szCs w:val="24"/>
          <w:highlight w:val="none"/>
          <w:lang w:eastAsia="zh-CN"/>
        </w:rPr>
        <w:t>。</w:t>
      </w:r>
      <w:r>
        <w:rPr>
          <w:rFonts w:hint="eastAsia" w:hAnsi="宋体"/>
          <w:b/>
          <w:bCs/>
          <w:color w:val="auto"/>
          <w:highlight w:val="none"/>
          <w:lang w:val="en-US" w:eastAsia="zh-CN"/>
        </w:rPr>
        <w:t>）</w:t>
      </w:r>
    </w:p>
    <w:p w14:paraId="103BDD0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3"/>
        <w:rPr>
          <w:rFonts w:hint="eastAsia" w:ascii="宋体" w:hAnsi="宋体" w:eastAsia="宋体"/>
          <w:b/>
          <w:color w:val="000000" w:themeColor="text1"/>
          <w:kern w:val="0"/>
          <w:sz w:val="30"/>
          <w:szCs w:val="20"/>
          <w:highlight w:val="none"/>
          <w14:textFill>
            <w14:solidFill>
              <w14:schemeClr w14:val="tx1"/>
            </w14:solidFill>
          </w14:textFill>
        </w:rPr>
      </w:pPr>
    </w:p>
    <w:p w14:paraId="3B7F446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3"/>
        <w:rPr>
          <w:rFonts w:ascii="宋体" w:hAnsi="宋体" w:eastAsia="宋体"/>
          <w:b/>
          <w:color w:val="000000" w:themeColor="text1"/>
          <w:kern w:val="0"/>
          <w:sz w:val="30"/>
          <w:szCs w:val="20"/>
          <w:highlight w:val="none"/>
          <w14:textFill>
            <w14:solidFill>
              <w14:schemeClr w14:val="tx1"/>
            </w14:solidFill>
          </w14:textFill>
        </w:rPr>
      </w:pPr>
      <w:r>
        <w:rPr>
          <w:rFonts w:hint="eastAsia" w:ascii="宋体" w:hAnsi="宋体" w:eastAsia="宋体"/>
          <w:b/>
          <w:color w:val="000000" w:themeColor="text1"/>
          <w:kern w:val="0"/>
          <w:sz w:val="30"/>
          <w:szCs w:val="20"/>
          <w:highlight w:val="none"/>
          <w14:textFill>
            <w14:solidFill>
              <w14:schemeClr w14:val="tx1"/>
            </w14:solidFill>
          </w14:textFill>
        </w:rPr>
        <w:t>拟投入本项目人员情况一览表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868"/>
        <w:gridCol w:w="2002"/>
        <w:gridCol w:w="2204"/>
        <w:gridCol w:w="1766"/>
      </w:tblGrid>
      <w:tr w14:paraId="3D4E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71" w:type="pct"/>
            <w:vMerge w:val="restart"/>
            <w:noWrap w:val="0"/>
            <w:vAlign w:val="center"/>
          </w:tcPr>
          <w:p w14:paraId="02750114">
            <w:pPr>
              <w:overflowPunct w:val="0"/>
              <w:autoSpaceDE/>
              <w:autoSpaceDN/>
              <w:adjustRightInd/>
              <w:spacing w:before="120" w:line="360" w:lineRule="auto"/>
              <w:jc w:val="center"/>
              <w:rPr>
                <w:rFonts w:ascii="宋体" w:hAnsi="宋体" w:eastAsia="宋体"/>
                <w:color w:val="000000" w:themeColor="text1"/>
                <w:kern w:val="2"/>
                <w:sz w:val="21"/>
                <w:szCs w:val="20"/>
                <w:highlight w:val="none"/>
                <w14:textFill>
                  <w14:solidFill>
                    <w14:schemeClr w14:val="tx1"/>
                  </w14:solidFill>
                </w14:textFill>
              </w:rPr>
            </w:pPr>
            <w:r>
              <w:rPr>
                <w:rFonts w:hint="eastAsia" w:ascii="宋体" w:hAnsi="宋体" w:eastAsia="宋体"/>
                <w:color w:val="000000" w:themeColor="text1"/>
                <w:kern w:val="2"/>
                <w:sz w:val="21"/>
                <w:szCs w:val="20"/>
                <w:highlight w:val="none"/>
                <w14:textFill>
                  <w14:solidFill>
                    <w14:schemeClr w14:val="tx1"/>
                  </w14:solidFill>
                </w14:textFill>
              </w:rPr>
              <w:t>序号</w:t>
            </w:r>
          </w:p>
        </w:tc>
        <w:tc>
          <w:tcPr>
            <w:tcW w:w="1031" w:type="pct"/>
            <w:vMerge w:val="restart"/>
            <w:noWrap w:val="0"/>
            <w:vAlign w:val="center"/>
          </w:tcPr>
          <w:p w14:paraId="596F1109">
            <w:pPr>
              <w:overflowPunct w:val="0"/>
              <w:autoSpaceDE/>
              <w:autoSpaceDN/>
              <w:adjustRightInd/>
              <w:spacing w:before="120" w:line="360" w:lineRule="auto"/>
              <w:jc w:val="center"/>
              <w:rPr>
                <w:rFonts w:ascii="宋体" w:hAnsi="宋体" w:eastAsia="宋体"/>
                <w:color w:val="000000" w:themeColor="text1"/>
                <w:kern w:val="2"/>
                <w:sz w:val="21"/>
                <w:szCs w:val="20"/>
                <w:highlight w:val="none"/>
                <w14:textFill>
                  <w14:solidFill>
                    <w14:schemeClr w14:val="tx1"/>
                  </w14:solidFill>
                </w14:textFill>
              </w:rPr>
            </w:pPr>
            <w:r>
              <w:rPr>
                <w:rFonts w:hint="eastAsia" w:ascii="宋体" w:hAnsi="宋体" w:eastAsia="宋体"/>
                <w:color w:val="000000" w:themeColor="text1"/>
                <w:kern w:val="2"/>
                <w:sz w:val="21"/>
                <w:szCs w:val="20"/>
                <w:highlight w:val="none"/>
                <w14:textFill>
                  <w14:solidFill>
                    <w14:schemeClr w14:val="tx1"/>
                  </w14:solidFill>
                </w14:textFill>
              </w:rPr>
              <w:t>姓名</w:t>
            </w:r>
          </w:p>
        </w:tc>
        <w:tc>
          <w:tcPr>
            <w:tcW w:w="1105" w:type="pct"/>
            <w:vMerge w:val="restart"/>
            <w:noWrap w:val="0"/>
            <w:vAlign w:val="center"/>
          </w:tcPr>
          <w:p w14:paraId="1A3BE14F">
            <w:pPr>
              <w:overflowPunct w:val="0"/>
              <w:autoSpaceDE/>
              <w:autoSpaceDN/>
              <w:adjustRightInd/>
              <w:spacing w:before="120" w:line="360" w:lineRule="auto"/>
              <w:jc w:val="center"/>
              <w:rPr>
                <w:rFonts w:ascii="宋体" w:hAnsi="宋体" w:eastAsia="宋体"/>
                <w:color w:val="000000" w:themeColor="text1"/>
                <w:kern w:val="2"/>
                <w:sz w:val="21"/>
                <w:szCs w:val="20"/>
                <w:highlight w:val="none"/>
                <w14:textFill>
                  <w14:solidFill>
                    <w14:schemeClr w14:val="tx1"/>
                  </w14:solidFill>
                </w14:textFill>
              </w:rPr>
            </w:pPr>
            <w:r>
              <w:rPr>
                <w:rFonts w:hint="eastAsia" w:ascii="宋体" w:hAnsi="宋体" w:eastAsia="宋体"/>
                <w:color w:val="000000" w:themeColor="text1"/>
                <w:kern w:val="2"/>
                <w:sz w:val="21"/>
                <w:szCs w:val="20"/>
                <w:highlight w:val="none"/>
                <w14:textFill>
                  <w14:solidFill>
                    <w14:schemeClr w14:val="tx1"/>
                  </w14:solidFill>
                </w14:textFill>
              </w:rPr>
              <w:t>拟担任</w:t>
            </w:r>
            <w:r>
              <w:rPr>
                <w:rFonts w:hint="eastAsia" w:hAnsi="宋体"/>
                <w:color w:val="000000" w:themeColor="text1"/>
                <w:kern w:val="2"/>
                <w:sz w:val="21"/>
                <w:szCs w:val="20"/>
                <w:highlight w:val="none"/>
                <w:lang w:val="en-US" w:eastAsia="zh-CN"/>
                <w14:textFill>
                  <w14:solidFill>
                    <w14:schemeClr w14:val="tx1"/>
                  </w14:solidFill>
                </w14:textFill>
              </w:rPr>
              <w:t>团队</w:t>
            </w:r>
            <w:r>
              <w:rPr>
                <w:rFonts w:hint="eastAsia" w:ascii="宋体" w:hAnsi="宋体" w:eastAsia="宋体"/>
                <w:color w:val="000000" w:themeColor="text1"/>
                <w:kern w:val="2"/>
                <w:sz w:val="21"/>
                <w:szCs w:val="20"/>
                <w:highlight w:val="none"/>
                <w14:textFill>
                  <w14:solidFill>
                    <w14:schemeClr w14:val="tx1"/>
                  </w14:solidFill>
                </w14:textFill>
              </w:rPr>
              <w:t>职务</w:t>
            </w:r>
          </w:p>
        </w:tc>
        <w:tc>
          <w:tcPr>
            <w:tcW w:w="1216" w:type="pct"/>
            <w:vMerge w:val="restart"/>
            <w:noWrap w:val="0"/>
            <w:vAlign w:val="center"/>
          </w:tcPr>
          <w:p w14:paraId="70CAF6E9">
            <w:pPr>
              <w:overflowPunct w:val="0"/>
              <w:autoSpaceDE/>
              <w:autoSpaceDN/>
              <w:adjustRightInd/>
              <w:spacing w:before="120" w:line="360" w:lineRule="auto"/>
              <w:jc w:val="center"/>
              <w:rPr>
                <w:rFonts w:ascii="宋体" w:hAnsi="宋体" w:eastAsia="宋体"/>
                <w:color w:val="000000" w:themeColor="text1"/>
                <w:kern w:val="2"/>
                <w:sz w:val="21"/>
                <w:szCs w:val="20"/>
                <w:highlight w:val="none"/>
                <w14:textFill>
                  <w14:solidFill>
                    <w14:schemeClr w14:val="tx1"/>
                  </w14:solidFill>
                </w14:textFill>
              </w:rPr>
            </w:pPr>
            <w:r>
              <w:rPr>
                <w:rFonts w:hint="eastAsia" w:hAnsi="宋体"/>
                <w:color w:val="000000" w:themeColor="text1"/>
                <w:kern w:val="2"/>
                <w:sz w:val="21"/>
                <w:szCs w:val="20"/>
                <w:highlight w:val="none"/>
                <w:lang w:val="en-US" w:eastAsia="zh-CN"/>
                <w14:textFill>
                  <w14:solidFill>
                    <w14:schemeClr w14:val="tx1"/>
                  </w14:solidFill>
                </w14:textFill>
              </w:rPr>
              <w:t>执业</w:t>
            </w:r>
            <w:r>
              <w:rPr>
                <w:rFonts w:hint="eastAsia" w:ascii="宋体" w:hAnsi="宋体" w:eastAsia="宋体"/>
                <w:color w:val="000000" w:themeColor="text1"/>
                <w:kern w:val="2"/>
                <w:sz w:val="21"/>
                <w:szCs w:val="20"/>
                <w:highlight w:val="none"/>
                <w14:textFill>
                  <w14:solidFill>
                    <w14:schemeClr w14:val="tx1"/>
                  </w14:solidFill>
                </w14:textFill>
              </w:rPr>
              <w:t>年限</w:t>
            </w:r>
          </w:p>
        </w:tc>
        <w:tc>
          <w:tcPr>
            <w:tcW w:w="974" w:type="pct"/>
            <w:vMerge w:val="restart"/>
            <w:noWrap w:val="0"/>
            <w:vAlign w:val="center"/>
          </w:tcPr>
          <w:p w14:paraId="0EC86097">
            <w:pPr>
              <w:overflowPunct w:val="0"/>
              <w:autoSpaceDE/>
              <w:autoSpaceDN/>
              <w:adjustRightInd/>
              <w:spacing w:before="120" w:line="360" w:lineRule="auto"/>
              <w:jc w:val="center"/>
              <w:rPr>
                <w:rFonts w:hint="eastAsia" w:ascii="宋体" w:hAnsi="宋体" w:eastAsia="宋体"/>
                <w:color w:val="000000" w:themeColor="text1"/>
                <w:kern w:val="2"/>
                <w:sz w:val="21"/>
                <w:szCs w:val="20"/>
                <w:highlight w:val="none"/>
                <w:lang w:eastAsia="zh-CN"/>
                <w14:textFill>
                  <w14:solidFill>
                    <w14:schemeClr w14:val="tx1"/>
                  </w14:solidFill>
                </w14:textFill>
              </w:rPr>
            </w:pPr>
            <w:r>
              <w:rPr>
                <w:rFonts w:hint="eastAsia" w:hAnsi="宋体"/>
                <w:color w:val="000000" w:themeColor="text1"/>
                <w:kern w:val="2"/>
                <w:sz w:val="21"/>
                <w:szCs w:val="20"/>
                <w:highlight w:val="none"/>
                <w:lang w:val="en-US" w:eastAsia="zh-CN"/>
                <w14:textFill>
                  <w14:solidFill>
                    <w14:schemeClr w14:val="tx1"/>
                  </w14:solidFill>
                </w14:textFill>
              </w:rPr>
              <w:t>备注</w:t>
            </w:r>
          </w:p>
        </w:tc>
      </w:tr>
      <w:tr w14:paraId="2102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71" w:type="pct"/>
            <w:vMerge w:val="continue"/>
            <w:noWrap w:val="0"/>
            <w:vAlign w:val="top"/>
          </w:tcPr>
          <w:p w14:paraId="5F1EA24A">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vMerge w:val="continue"/>
            <w:noWrap w:val="0"/>
            <w:vAlign w:val="top"/>
          </w:tcPr>
          <w:p w14:paraId="745217F9">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vMerge w:val="continue"/>
            <w:noWrap w:val="0"/>
            <w:vAlign w:val="top"/>
          </w:tcPr>
          <w:p w14:paraId="2F0567E0">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vMerge w:val="continue"/>
            <w:noWrap w:val="0"/>
            <w:vAlign w:val="top"/>
          </w:tcPr>
          <w:p w14:paraId="399B76D0">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vMerge w:val="continue"/>
            <w:noWrap w:val="0"/>
            <w:vAlign w:val="top"/>
          </w:tcPr>
          <w:p w14:paraId="364E4E36">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r w14:paraId="01A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noWrap w:val="0"/>
            <w:vAlign w:val="top"/>
          </w:tcPr>
          <w:p w14:paraId="091A690F">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noWrap w:val="0"/>
            <w:vAlign w:val="top"/>
          </w:tcPr>
          <w:p w14:paraId="2B2B8450">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noWrap w:val="0"/>
            <w:vAlign w:val="top"/>
          </w:tcPr>
          <w:p w14:paraId="14A51BE3">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noWrap w:val="0"/>
            <w:vAlign w:val="top"/>
          </w:tcPr>
          <w:p w14:paraId="78A972C4">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noWrap w:val="0"/>
            <w:vAlign w:val="top"/>
          </w:tcPr>
          <w:p w14:paraId="4ADF8C27">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r w14:paraId="38C5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noWrap w:val="0"/>
            <w:vAlign w:val="top"/>
          </w:tcPr>
          <w:p w14:paraId="6FC6DA0F">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noWrap w:val="0"/>
            <w:vAlign w:val="top"/>
          </w:tcPr>
          <w:p w14:paraId="466F6D52">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noWrap w:val="0"/>
            <w:vAlign w:val="top"/>
          </w:tcPr>
          <w:p w14:paraId="241A119B">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noWrap w:val="0"/>
            <w:vAlign w:val="top"/>
          </w:tcPr>
          <w:p w14:paraId="0513555B">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noWrap w:val="0"/>
            <w:vAlign w:val="top"/>
          </w:tcPr>
          <w:p w14:paraId="24FE1836">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r w14:paraId="1415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noWrap w:val="0"/>
            <w:vAlign w:val="top"/>
          </w:tcPr>
          <w:p w14:paraId="5FA2F142">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noWrap w:val="0"/>
            <w:vAlign w:val="top"/>
          </w:tcPr>
          <w:p w14:paraId="3EDED852">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noWrap w:val="0"/>
            <w:vAlign w:val="top"/>
          </w:tcPr>
          <w:p w14:paraId="3917C062">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noWrap w:val="0"/>
            <w:vAlign w:val="top"/>
          </w:tcPr>
          <w:p w14:paraId="7403E3A7">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noWrap w:val="0"/>
            <w:vAlign w:val="top"/>
          </w:tcPr>
          <w:p w14:paraId="7E1F7885">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r w14:paraId="63E9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noWrap w:val="0"/>
            <w:vAlign w:val="top"/>
          </w:tcPr>
          <w:p w14:paraId="7F6B99FE">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noWrap w:val="0"/>
            <w:vAlign w:val="top"/>
          </w:tcPr>
          <w:p w14:paraId="3112D65A">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noWrap w:val="0"/>
            <w:vAlign w:val="top"/>
          </w:tcPr>
          <w:p w14:paraId="627F46E8">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noWrap w:val="0"/>
            <w:vAlign w:val="top"/>
          </w:tcPr>
          <w:p w14:paraId="0BF2FCAF">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noWrap w:val="0"/>
            <w:vAlign w:val="top"/>
          </w:tcPr>
          <w:p w14:paraId="590C6289">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r w14:paraId="0978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noWrap w:val="0"/>
            <w:vAlign w:val="top"/>
          </w:tcPr>
          <w:p w14:paraId="131F96E2">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noWrap w:val="0"/>
            <w:vAlign w:val="top"/>
          </w:tcPr>
          <w:p w14:paraId="55215365">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noWrap w:val="0"/>
            <w:vAlign w:val="top"/>
          </w:tcPr>
          <w:p w14:paraId="6C20ACCE">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noWrap w:val="0"/>
            <w:vAlign w:val="top"/>
          </w:tcPr>
          <w:p w14:paraId="452C3E24">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noWrap w:val="0"/>
            <w:vAlign w:val="top"/>
          </w:tcPr>
          <w:p w14:paraId="32925326">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r w14:paraId="7B06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noWrap w:val="0"/>
            <w:vAlign w:val="top"/>
          </w:tcPr>
          <w:p w14:paraId="4D3F72DB">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noWrap w:val="0"/>
            <w:vAlign w:val="top"/>
          </w:tcPr>
          <w:p w14:paraId="2E41AE0B">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noWrap w:val="0"/>
            <w:vAlign w:val="top"/>
          </w:tcPr>
          <w:p w14:paraId="14BC943A">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noWrap w:val="0"/>
            <w:vAlign w:val="top"/>
          </w:tcPr>
          <w:p w14:paraId="7F1432BF">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noWrap w:val="0"/>
            <w:vAlign w:val="top"/>
          </w:tcPr>
          <w:p w14:paraId="3E03A5B0">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r w14:paraId="175B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noWrap w:val="0"/>
            <w:vAlign w:val="top"/>
          </w:tcPr>
          <w:p w14:paraId="32FC71D6">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noWrap w:val="0"/>
            <w:vAlign w:val="top"/>
          </w:tcPr>
          <w:p w14:paraId="4139BCE1">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noWrap w:val="0"/>
            <w:vAlign w:val="top"/>
          </w:tcPr>
          <w:p w14:paraId="67C97700">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noWrap w:val="0"/>
            <w:vAlign w:val="top"/>
          </w:tcPr>
          <w:p w14:paraId="7D8E2239">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noWrap w:val="0"/>
            <w:vAlign w:val="top"/>
          </w:tcPr>
          <w:p w14:paraId="58DA8824">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bl>
    <w:p w14:paraId="4B9F9ABD">
      <w:pPr>
        <w:autoSpaceDE/>
        <w:autoSpaceDN/>
        <w:adjustRightInd/>
        <w:spacing w:line="360" w:lineRule="auto"/>
        <w:ind w:right="420"/>
        <w:jc w:val="both"/>
        <w:rPr>
          <w:rFonts w:ascii="宋体" w:hAnsi="宋体" w:eastAsia="宋体" w:cs="宋体"/>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14:textFill>
            <w14:solidFill>
              <w14:schemeClr w14:val="tx1"/>
            </w14:solidFill>
          </w14:textFill>
        </w:rPr>
        <w:t>备注：</w:t>
      </w:r>
      <w:r>
        <w:rPr>
          <w:rFonts w:hint="eastAsia" w:hAnsi="宋体" w:cs="宋体"/>
          <w:b/>
          <w:bCs w:val="0"/>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kern w:val="2"/>
          <w:sz w:val="21"/>
          <w:szCs w:val="21"/>
          <w:highlight w:val="none"/>
          <w14:textFill>
            <w14:solidFill>
              <w14:schemeClr w14:val="tx1"/>
            </w14:solidFill>
          </w14:textFill>
        </w:rPr>
        <w:t>本表后附</w:t>
      </w:r>
      <w:r>
        <w:rPr>
          <w:rFonts w:hint="eastAsia" w:ascii="宋体" w:hAnsi="宋体" w:eastAsia="宋体" w:cs="宋体"/>
          <w:b/>
          <w:bCs w:val="0"/>
          <w:color w:val="000000" w:themeColor="text1"/>
          <w:kern w:val="2"/>
          <w:sz w:val="21"/>
          <w:szCs w:val="21"/>
          <w:highlight w:val="none"/>
          <w:lang w:eastAsia="zh-CN"/>
          <w14:textFill>
            <w14:solidFill>
              <w14:schemeClr w14:val="tx1"/>
            </w14:solidFill>
          </w14:textFill>
        </w:rPr>
        <w:t>需</w:t>
      </w:r>
      <w:r>
        <w:rPr>
          <w:rFonts w:hint="eastAsia" w:ascii="宋体" w:hAnsi="宋体" w:eastAsia="宋体" w:cs="宋体"/>
          <w:b/>
          <w:bCs w:val="0"/>
          <w:color w:val="000000" w:themeColor="text1"/>
          <w:kern w:val="2"/>
          <w:sz w:val="21"/>
          <w:szCs w:val="21"/>
          <w:highlight w:val="none"/>
          <w14:textFill>
            <w14:solidFill>
              <w14:schemeClr w14:val="tx1"/>
            </w14:solidFill>
          </w14:textFill>
        </w:rPr>
        <w:t>提供上述人员相关</w:t>
      </w:r>
      <w:r>
        <w:rPr>
          <w:rFonts w:hint="eastAsia" w:hAnsi="宋体" w:cs="宋体"/>
          <w:b/>
          <w:bCs w:val="0"/>
          <w:color w:val="000000" w:themeColor="text1"/>
          <w:kern w:val="2"/>
          <w:sz w:val="21"/>
          <w:szCs w:val="21"/>
          <w:highlight w:val="none"/>
          <w:lang w:val="en-US" w:eastAsia="zh-CN"/>
          <w14:textFill>
            <w14:solidFill>
              <w14:schemeClr w14:val="tx1"/>
            </w14:solidFill>
          </w14:textFill>
        </w:rPr>
        <w:t>律师执业资格证书</w:t>
      </w:r>
      <w:r>
        <w:rPr>
          <w:rFonts w:hint="eastAsia" w:ascii="宋体" w:hAnsi="宋体" w:eastAsia="宋体" w:cs="宋体"/>
          <w:b/>
          <w:bCs w:val="0"/>
          <w:color w:val="000000" w:themeColor="text1"/>
          <w:kern w:val="2"/>
          <w:sz w:val="21"/>
          <w:szCs w:val="21"/>
          <w:highlight w:val="none"/>
          <w14:textFill>
            <w14:solidFill>
              <w14:schemeClr w14:val="tx1"/>
            </w14:solidFill>
          </w14:textFill>
        </w:rPr>
        <w:t>复印件</w:t>
      </w:r>
      <w:r>
        <w:rPr>
          <w:rFonts w:hint="eastAsia" w:hAnsi="宋体" w:cs="宋体"/>
          <w:b/>
          <w:bCs w:val="0"/>
          <w:color w:val="000000" w:themeColor="text1"/>
          <w:kern w:val="2"/>
          <w:sz w:val="21"/>
          <w:szCs w:val="21"/>
          <w:highlight w:val="none"/>
          <w:lang w:eastAsia="zh-CN"/>
          <w14:textFill>
            <w14:solidFill>
              <w14:schemeClr w14:val="tx1"/>
            </w14:solidFill>
          </w14:textFill>
        </w:rPr>
        <w:t>（</w:t>
      </w:r>
      <w:r>
        <w:rPr>
          <w:rFonts w:hint="eastAsia" w:hAnsi="宋体" w:cs="宋体"/>
          <w:b/>
          <w:bCs w:val="0"/>
          <w:color w:val="000000" w:themeColor="text1"/>
          <w:kern w:val="2"/>
          <w:sz w:val="21"/>
          <w:szCs w:val="21"/>
          <w:highlight w:val="none"/>
          <w:lang w:val="en-US" w:eastAsia="zh-CN"/>
          <w14:textFill>
            <w14:solidFill>
              <w14:schemeClr w14:val="tx1"/>
            </w14:solidFill>
          </w14:textFill>
        </w:rPr>
        <w:t>需体现</w:t>
      </w:r>
      <w:r>
        <w:rPr>
          <w:rFonts w:hint="eastAsia" w:hAnsi="宋体" w:cs="宋体"/>
          <w:b/>
          <w:bCs w:val="0"/>
          <w:color w:val="000000" w:themeColor="text1"/>
          <w:kern w:val="2"/>
          <w:sz w:val="21"/>
          <w:szCs w:val="21"/>
          <w:highlight w:val="none"/>
          <w:lang w:val="en-US" w:eastAsia="zh-CN"/>
          <w14:textFill>
            <w14:solidFill>
              <w14:schemeClr w14:val="tx1"/>
            </w14:solidFill>
          </w14:textFill>
        </w:rPr>
        <w:t>：</w:t>
      </w:r>
      <w:r>
        <w:rPr>
          <w:rFonts w:hint="eastAsia" w:hAnsi="宋体"/>
          <w:b/>
          <w:bCs/>
          <w:color w:val="auto"/>
          <w:highlight w:val="none"/>
          <w:lang w:val="en-US" w:eastAsia="zh-CN"/>
        </w:rPr>
        <w:t>①</w:t>
      </w:r>
      <w:r>
        <w:rPr>
          <w:rFonts w:hint="eastAsia" w:hAnsi="宋体" w:cs="宋体"/>
          <w:b/>
          <w:bCs w:val="0"/>
          <w:color w:val="000000" w:themeColor="text1"/>
          <w:kern w:val="2"/>
          <w:sz w:val="21"/>
          <w:szCs w:val="21"/>
          <w:highlight w:val="none"/>
          <w:lang w:val="en-US" w:eastAsia="zh-CN"/>
          <w14:textFill>
            <w14:solidFill>
              <w14:schemeClr w14:val="tx1"/>
            </w14:solidFill>
          </w14:textFill>
        </w:rPr>
        <w:t>执业年限</w:t>
      </w:r>
      <w:r>
        <w:rPr>
          <w:rFonts w:hint="eastAsia" w:hAnsi="宋体" w:cs="宋体"/>
          <w:b/>
          <w:bCs w:val="0"/>
          <w:color w:val="000000" w:themeColor="text1"/>
          <w:kern w:val="2"/>
          <w:sz w:val="21"/>
          <w:szCs w:val="21"/>
          <w:highlight w:val="none"/>
          <w:lang w:val="en-US" w:eastAsia="zh-CN"/>
          <w14:textFill>
            <w14:solidFill>
              <w14:schemeClr w14:val="tx1"/>
            </w14:solidFill>
          </w14:textFill>
        </w:rPr>
        <w:t>；</w:t>
      </w:r>
      <w:r>
        <w:rPr>
          <w:rFonts w:hint="eastAsia" w:hAnsi="宋体" w:cs="Times New Roman"/>
          <w:b/>
          <w:bCs/>
          <w:color w:val="auto"/>
          <w:kern w:val="0"/>
          <w:sz w:val="24"/>
          <w:szCs w:val="24"/>
          <w:highlight w:val="none"/>
          <w:lang w:val="en-US" w:eastAsia="zh-CN"/>
        </w:rPr>
        <w:t>②</w:t>
      </w:r>
      <w:r>
        <w:rPr>
          <w:rFonts w:hint="eastAsia" w:ascii="宋体" w:hAnsi="宋体" w:eastAsia="宋体" w:cs="宋体"/>
          <w:b/>
          <w:bCs w:val="0"/>
          <w:color w:val="000000" w:themeColor="text1"/>
          <w:kern w:val="2"/>
          <w:sz w:val="21"/>
          <w:szCs w:val="21"/>
          <w:highlight w:val="none"/>
          <w:lang w:val="en-US" w:eastAsia="zh-CN"/>
          <w14:textFill>
            <w14:solidFill>
              <w14:schemeClr w14:val="tx1"/>
            </w14:solidFill>
          </w14:textFill>
        </w:rPr>
        <w:t>近3年未受到行政处罚、行业处分且</w:t>
      </w:r>
      <w:r>
        <w:rPr>
          <w:rFonts w:hint="eastAsia" w:ascii="宋体" w:hAnsi="宋体" w:eastAsia="宋体" w:cs="宋体"/>
          <w:b/>
          <w:bCs w:val="0"/>
          <w:color w:val="000000" w:themeColor="text1"/>
          <w:kern w:val="2"/>
          <w:sz w:val="21"/>
          <w:szCs w:val="21"/>
          <w:highlight w:val="none"/>
          <w14:textFill>
            <w14:solidFill>
              <w14:schemeClr w14:val="tx1"/>
            </w14:solidFill>
          </w14:textFill>
        </w:rPr>
        <w:t>年度考核结果均为称职</w:t>
      </w:r>
      <w:r>
        <w:rPr>
          <w:rFonts w:hint="eastAsia" w:hAnsi="宋体" w:cs="宋体"/>
          <w:b/>
          <w:bCs w:val="0"/>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kern w:val="2"/>
          <w:sz w:val="21"/>
          <w:szCs w:val="21"/>
          <w:highlight w:val="none"/>
          <w14:textFill>
            <w14:solidFill>
              <w14:schemeClr w14:val="tx1"/>
            </w14:solidFill>
          </w14:textFill>
        </w:rPr>
        <w:t>。</w:t>
      </w:r>
    </w:p>
    <w:p w14:paraId="4F1A15EC">
      <w:pPr>
        <w:autoSpaceDE w:val="0"/>
        <w:autoSpaceDN w:val="0"/>
        <w:adjustRightInd w:val="0"/>
        <w:spacing w:line="360" w:lineRule="auto"/>
        <w:jc w:val="left"/>
        <w:rPr>
          <w:rFonts w:hint="eastAsia" w:ascii="宋体" w:hAnsi="宋体" w:eastAsia="宋体"/>
          <w:color w:val="000000" w:themeColor="text1"/>
          <w:kern w:val="0"/>
          <w:sz w:val="21"/>
          <w:szCs w:val="21"/>
          <w:highlight w:val="none"/>
          <w:lang w:eastAsia="zh-CN"/>
          <w14:textFill>
            <w14:solidFill>
              <w14:schemeClr w14:val="tx1"/>
            </w14:solidFill>
          </w14:textFill>
        </w:rPr>
      </w:pPr>
    </w:p>
    <w:p w14:paraId="0B857647">
      <w:pPr>
        <w:numPr>
          <w:ilvl w:val="12"/>
          <w:numId w:val="0"/>
        </w:numPr>
        <w:autoSpaceDE/>
        <w:autoSpaceDN/>
        <w:snapToGrid w:val="0"/>
        <w:spacing w:line="520" w:lineRule="exact"/>
        <w:rPr>
          <w:rFonts w:hint="default" w:hAnsi="宋体"/>
          <w:b/>
          <w:bCs/>
          <w:color w:val="auto"/>
          <w:highlight w:val="none"/>
          <w:lang w:val="en-US" w:eastAsia="zh-CN"/>
        </w:rPr>
      </w:pPr>
    </w:p>
    <w:p w14:paraId="55EADE9D">
      <w:pPr>
        <w:numPr>
          <w:ilvl w:val="12"/>
          <w:numId w:val="0"/>
        </w:numPr>
        <w:autoSpaceDE/>
        <w:autoSpaceDN/>
        <w:snapToGrid w:val="0"/>
        <w:spacing w:line="520" w:lineRule="exact"/>
        <w:rPr>
          <w:rFonts w:hint="default" w:hAnsi="宋体"/>
          <w:b/>
          <w:bCs/>
          <w:color w:val="auto"/>
          <w:highlight w:val="none"/>
          <w:lang w:val="en-US" w:eastAsia="zh-CN"/>
        </w:rPr>
      </w:pPr>
    </w:p>
    <w:p w14:paraId="7D9B82D0">
      <w:pPr>
        <w:numPr>
          <w:ilvl w:val="12"/>
          <w:numId w:val="0"/>
        </w:numPr>
        <w:autoSpaceDE/>
        <w:autoSpaceDN/>
        <w:snapToGrid w:val="0"/>
        <w:spacing w:line="520" w:lineRule="exact"/>
        <w:rPr>
          <w:rFonts w:hint="default" w:hAnsi="宋体"/>
          <w:b/>
          <w:bCs/>
          <w:color w:val="auto"/>
          <w:highlight w:val="none"/>
          <w:lang w:val="en-US" w:eastAsia="zh-CN"/>
        </w:rPr>
      </w:pPr>
    </w:p>
    <w:p w14:paraId="3B2EBBE4">
      <w:pPr>
        <w:numPr>
          <w:ilvl w:val="12"/>
          <w:numId w:val="0"/>
        </w:numPr>
        <w:autoSpaceDE/>
        <w:autoSpaceDN/>
        <w:snapToGrid w:val="0"/>
        <w:spacing w:line="520" w:lineRule="exact"/>
        <w:rPr>
          <w:rFonts w:hint="default" w:hAnsi="宋体"/>
          <w:b/>
          <w:bCs/>
          <w:color w:val="auto"/>
          <w:highlight w:val="none"/>
          <w:lang w:val="en-US" w:eastAsia="zh-CN"/>
        </w:rPr>
      </w:pPr>
    </w:p>
    <w:p w14:paraId="04D1D573">
      <w:pPr>
        <w:numPr>
          <w:ilvl w:val="12"/>
          <w:numId w:val="0"/>
        </w:numPr>
        <w:autoSpaceDE/>
        <w:autoSpaceDN/>
        <w:snapToGrid w:val="0"/>
        <w:spacing w:line="520" w:lineRule="exact"/>
        <w:rPr>
          <w:rFonts w:hint="default" w:hAnsi="宋体"/>
          <w:b/>
          <w:bCs/>
          <w:color w:val="auto"/>
          <w:highlight w:val="none"/>
          <w:lang w:val="en-US" w:eastAsia="zh-CN"/>
        </w:rPr>
      </w:pPr>
    </w:p>
    <w:p w14:paraId="1A544269">
      <w:pPr>
        <w:numPr>
          <w:ilvl w:val="12"/>
          <w:numId w:val="0"/>
        </w:numPr>
        <w:autoSpaceDE/>
        <w:autoSpaceDN/>
        <w:snapToGrid w:val="0"/>
        <w:spacing w:line="520" w:lineRule="exact"/>
        <w:rPr>
          <w:rFonts w:hint="default" w:hAnsi="宋体"/>
          <w:b/>
          <w:bCs/>
          <w:color w:val="auto"/>
          <w:highlight w:val="none"/>
          <w:lang w:val="en-US" w:eastAsia="zh-CN"/>
        </w:rPr>
      </w:pPr>
    </w:p>
    <w:p w14:paraId="6AC1573F">
      <w:pPr>
        <w:numPr>
          <w:ilvl w:val="12"/>
          <w:numId w:val="0"/>
        </w:numPr>
        <w:autoSpaceDE/>
        <w:autoSpaceDN/>
        <w:snapToGrid w:val="0"/>
        <w:spacing w:line="520" w:lineRule="exact"/>
        <w:rPr>
          <w:rFonts w:hint="default" w:hAnsi="宋体"/>
          <w:b/>
          <w:bCs/>
          <w:color w:val="auto"/>
          <w:highlight w:val="none"/>
          <w:lang w:val="en-US" w:eastAsia="zh-CN"/>
        </w:rPr>
      </w:pPr>
    </w:p>
    <w:p w14:paraId="13403C9C">
      <w:pPr>
        <w:pStyle w:val="2"/>
        <w:numPr>
          <w:ilvl w:val="12"/>
          <w:numId w:val="0"/>
        </w:numPr>
        <w:spacing w:line="240" w:lineRule="auto"/>
        <w:ind w:firstLine="0" w:firstLineChars="0"/>
        <w:rPr>
          <w:rFonts w:hint="default" w:hAnsi="宋体"/>
          <w:b/>
          <w:bCs/>
          <w:color w:val="auto"/>
          <w:highlight w:val="none"/>
          <w:lang w:val="en-US" w:eastAsia="zh-CN"/>
        </w:rPr>
      </w:pPr>
    </w:p>
    <w:p w14:paraId="6D6C4C01">
      <w:pPr>
        <w:pStyle w:val="2"/>
        <w:numPr>
          <w:ilvl w:val="12"/>
          <w:numId w:val="0"/>
        </w:numPr>
        <w:spacing w:line="240" w:lineRule="auto"/>
        <w:ind w:firstLine="0" w:firstLineChars="0"/>
        <w:rPr>
          <w:rFonts w:hint="eastAsia" w:hAnsi="宋体"/>
          <w:b/>
          <w:color w:val="auto"/>
          <w:szCs w:val="21"/>
          <w:highlight w:val="none"/>
          <w:lang w:val="en-US" w:eastAsia="zh-CN"/>
        </w:rPr>
      </w:pPr>
      <w:r>
        <w:rPr>
          <w:rFonts w:hint="eastAsia" w:hAnsi="宋体"/>
          <w:b/>
          <w:bCs/>
          <w:color w:val="auto"/>
          <w:highlight w:val="none"/>
          <w:lang w:val="en-US" w:eastAsia="zh-CN"/>
        </w:rPr>
        <w:t>6、</w:t>
      </w:r>
      <w:r>
        <w:rPr>
          <w:rFonts w:hint="eastAsia" w:hAnsi="宋体"/>
          <w:b/>
          <w:color w:val="auto"/>
          <w:szCs w:val="21"/>
          <w:highlight w:val="none"/>
          <w:lang w:val="en-US" w:eastAsia="zh-CN"/>
        </w:rPr>
        <w:t>最近3年报价人牵涉的其他（失信和违法）处罚说明；</w:t>
      </w:r>
    </w:p>
    <w:p w14:paraId="22EC853C">
      <w:pPr>
        <w:autoSpaceDE w:val="0"/>
        <w:autoSpaceDN w:val="0"/>
        <w:adjustRightInd w:val="0"/>
        <w:spacing w:line="360" w:lineRule="auto"/>
        <w:jc w:val="center"/>
        <w:outlineLvl w:val="9"/>
        <w:rPr>
          <w:rFonts w:hint="eastAsia"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最近3年</w:t>
      </w: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kern w:val="0"/>
          <w:sz w:val="24"/>
          <w:szCs w:val="21"/>
          <w:highlight w:val="none"/>
        </w:rPr>
        <w:t>人牵涉的其他（失信和违法）</w:t>
      </w:r>
      <w:r>
        <w:rPr>
          <w:rFonts w:hint="eastAsia" w:ascii="宋体" w:hAnsi="宋体" w:eastAsia="宋体" w:cs="Times New Roman"/>
          <w:b/>
          <w:bCs w:val="0"/>
          <w:color w:val="auto"/>
          <w:sz w:val="24"/>
          <w:szCs w:val="21"/>
          <w:highlight w:val="none"/>
          <w:lang w:val="en-US"/>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582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58C49EF1">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14:paraId="53F18DD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5DF1E5E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14CB563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71B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12F7B62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4BD26A5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26112C4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626BDA8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3309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5D7C7D5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5742510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631BAF8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44EA64A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40D1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6C51997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noWrap w:val="0"/>
            <w:vAlign w:val="center"/>
          </w:tcPr>
          <w:p w14:paraId="2AE838F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6F7C344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31A73C7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19A24454">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C1485E4">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0A3EF86">
      <w:pPr>
        <w:numPr>
          <w:ilvl w:val="0"/>
          <w:numId w:val="3"/>
        </w:num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根据</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人须提供相关材料(复印件)佐证</w:t>
      </w:r>
      <w:r>
        <w:rPr>
          <w:rFonts w:hint="eastAsia" w:ascii="宋体" w:hAnsi="宋体" w:eastAsia="宋体" w:cs="宋体"/>
          <w:color w:val="auto"/>
          <w:szCs w:val="21"/>
          <w:highlight w:val="none"/>
          <w:lang w:val="zh-CN"/>
        </w:rPr>
        <w:t>。</w:t>
      </w:r>
      <w:r>
        <w:rPr>
          <w:rFonts w:hint="eastAsia" w:hAnsi="宋体" w:cs="宋体"/>
          <w:color w:val="auto"/>
          <w:kern w:val="0"/>
          <w:szCs w:val="21"/>
          <w:highlight w:val="none"/>
          <w:lang w:val="en-US" w:eastAsia="zh-CN"/>
        </w:rPr>
        <w:t>表格</w:t>
      </w:r>
      <w:r>
        <w:rPr>
          <w:rFonts w:hint="eastAsia" w:hAnsi="宋体" w:cs="宋体"/>
          <w:color w:val="auto"/>
          <w:szCs w:val="21"/>
          <w:highlight w:val="none"/>
          <w:lang w:val="zh-CN"/>
        </w:rPr>
        <w:t>未填写的，视为</w:t>
      </w:r>
      <w:r>
        <w:rPr>
          <w:rFonts w:hint="eastAsia" w:hAnsi="宋体" w:cs="宋体"/>
          <w:color w:val="auto"/>
          <w:szCs w:val="21"/>
          <w:highlight w:val="none"/>
          <w:lang w:val="en-US" w:eastAsia="zh-CN"/>
        </w:rPr>
        <w:t>无相关情况</w:t>
      </w:r>
      <w:r>
        <w:rPr>
          <w:rFonts w:hint="eastAsia" w:hAnsi="宋体" w:cs="宋体"/>
          <w:color w:val="auto"/>
          <w:szCs w:val="21"/>
          <w:highlight w:val="none"/>
          <w:lang w:val="zh-CN"/>
        </w:rPr>
        <w:t>。</w:t>
      </w:r>
    </w:p>
    <w:p w14:paraId="08AF9985">
      <w:pPr>
        <w:widowControl/>
        <w:autoSpaceDE/>
        <w:autoSpaceDN/>
        <w:adjustRightInd/>
        <w:spacing w:line="360" w:lineRule="auto"/>
        <w:jc w:val="left"/>
        <w:outlineLvl w:val="9"/>
        <w:rPr>
          <w:rFonts w:hint="eastAsia" w:ascii="宋体" w:hAnsi="宋体" w:eastAsia="宋体" w:cs="宋体"/>
          <w:color w:val="auto"/>
          <w:szCs w:val="21"/>
          <w:highlight w:val="none"/>
          <w:lang w:val="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ascii="宋体" w:hAnsi="宋体" w:eastAsia="宋体" w:cs="Times New Roman"/>
          <w:color w:val="auto"/>
          <w:highlight w:val="none"/>
          <w:lang w:val="en-US" w:eastAsia="zh-CN"/>
        </w:rPr>
        <w:t>。</w:t>
      </w:r>
    </w:p>
    <w:p w14:paraId="60480D7B">
      <w:pPr>
        <w:autoSpaceDE w:val="0"/>
        <w:autoSpaceDN w:val="0"/>
        <w:adjustRightInd w:val="0"/>
        <w:ind w:right="-26" w:rightChars="-11"/>
        <w:jc w:val="left"/>
        <w:outlineLvl w:val="9"/>
        <w:rPr>
          <w:rFonts w:hint="eastAsia" w:ascii="宋体" w:hAnsi="宋体" w:eastAsia="宋体" w:cs="宋体"/>
          <w:b/>
          <w:bCs/>
          <w:color w:val="auto"/>
          <w:kern w:val="0"/>
          <w:szCs w:val="21"/>
          <w:highlight w:val="none"/>
          <w:lang w:val="zh-CN"/>
        </w:rPr>
      </w:pPr>
    </w:p>
    <w:p w14:paraId="186C94DE">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21148548">
      <w:pPr>
        <w:spacing w:line="360" w:lineRule="auto"/>
        <w:ind w:firstLine="494" w:firstLineChars="206"/>
        <w:outlineLvl w:val="9"/>
        <w:rPr>
          <w:rFonts w:hint="eastAsia" w:ascii="宋体" w:hAnsi="宋体" w:eastAsia="宋体" w:cs="宋体"/>
          <w:color w:val="auto"/>
          <w:kern w:val="0"/>
          <w:sz w:val="24"/>
          <w:szCs w:val="24"/>
          <w:highlight w:val="none"/>
        </w:rPr>
      </w:pPr>
    </w:p>
    <w:p w14:paraId="3B87E522">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7C0B3726">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1EF2A1E6">
      <w:pPr>
        <w:pStyle w:val="2"/>
        <w:ind w:left="0" w:leftChars="0" w:firstLine="0" w:firstLineChars="0"/>
        <w:rPr>
          <w:rStyle w:val="23"/>
          <w:rFonts w:hint="eastAsia" w:hAnsi="宋体" w:cs="Times New Roman"/>
          <w:b/>
          <w:color w:val="auto"/>
          <w:kern w:val="0"/>
          <w:szCs w:val="21"/>
          <w:highlight w:val="none"/>
          <w:lang w:val="en-US" w:eastAsia="zh-CN"/>
        </w:rPr>
      </w:pPr>
    </w:p>
    <w:p w14:paraId="0B9B9EF2">
      <w:pPr>
        <w:pStyle w:val="2"/>
        <w:ind w:left="0" w:leftChars="0" w:firstLine="0" w:firstLineChars="0"/>
        <w:rPr>
          <w:rStyle w:val="23"/>
          <w:rFonts w:hint="eastAsia" w:hAnsi="宋体" w:cs="Times New Roman"/>
          <w:b/>
          <w:color w:val="auto"/>
          <w:kern w:val="0"/>
          <w:szCs w:val="21"/>
          <w:highlight w:val="none"/>
          <w:lang w:val="en-US" w:eastAsia="zh-CN"/>
        </w:rPr>
      </w:pPr>
    </w:p>
    <w:p w14:paraId="258EA43E">
      <w:pPr>
        <w:pStyle w:val="2"/>
        <w:ind w:left="0" w:leftChars="0" w:firstLine="0" w:firstLineChars="0"/>
        <w:rPr>
          <w:rStyle w:val="23"/>
          <w:rFonts w:hint="eastAsia" w:hAnsi="宋体" w:cs="Times New Roman"/>
          <w:b/>
          <w:color w:val="auto"/>
          <w:kern w:val="0"/>
          <w:szCs w:val="21"/>
          <w:highlight w:val="none"/>
          <w:lang w:val="en-US" w:eastAsia="zh-CN"/>
        </w:rPr>
      </w:pPr>
    </w:p>
    <w:sectPr>
      <w:footerReference r:id="rId10"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EE5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41720737"/>
                            <w:docPartObj>
                              <w:docPartGallery w:val="autotext"/>
                            </w:docPartObj>
                          </w:sdtPr>
                          <w:sdtContent>
                            <w:p w14:paraId="655D5B4E">
                              <w:pPr>
                                <w:pStyle w:val="11"/>
                                <w:jc w:val="center"/>
                              </w:pPr>
                              <w:r>
                                <w:fldChar w:fldCharType="begin"/>
                              </w:r>
                              <w:r>
                                <w:instrText xml:space="preserve">PAGE   \* MERGEFORMAT</w:instrText>
                              </w:r>
                              <w:r>
                                <w:fldChar w:fldCharType="separate"/>
                              </w:r>
                              <w:r>
                                <w:rPr>
                                  <w:lang w:val="zh-CN"/>
                                </w:rPr>
                                <w:t>2</w:t>
                              </w:r>
                              <w:r>
                                <w:fldChar w:fldCharType="end"/>
                              </w:r>
                            </w:p>
                          </w:sdtContent>
                        </w:sdt>
                        <w:p w14:paraId="4F69055F">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341720737"/>
                      <w:docPartObj>
                        <w:docPartGallery w:val="autotext"/>
                      </w:docPartObj>
                    </w:sdtPr>
                    <w:sdtContent>
                      <w:p w14:paraId="655D5B4E">
                        <w:pPr>
                          <w:pStyle w:val="11"/>
                          <w:jc w:val="center"/>
                        </w:pPr>
                        <w:r>
                          <w:fldChar w:fldCharType="begin"/>
                        </w:r>
                        <w:r>
                          <w:instrText xml:space="preserve">PAGE   \* MERGEFORMAT</w:instrText>
                        </w:r>
                        <w:r>
                          <w:fldChar w:fldCharType="separate"/>
                        </w:r>
                        <w:r>
                          <w:rPr>
                            <w:lang w:val="zh-CN"/>
                          </w:rPr>
                          <w:t>2</w:t>
                        </w:r>
                        <w:r>
                          <w:fldChar w:fldCharType="end"/>
                        </w:r>
                      </w:p>
                    </w:sdtContent>
                  </w:sdt>
                  <w:p w14:paraId="4F69055F">
                    <w:pPr>
                      <w:pStyle w:val="3"/>
                    </w:pPr>
                  </w:p>
                </w:txbxContent>
              </v:textbox>
            </v:shape>
          </w:pict>
        </mc:Fallback>
      </mc:AlternateContent>
    </w:r>
  </w:p>
  <w:p w14:paraId="2429FD2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B287">
    <w:pPr>
      <w:tabs>
        <w:tab w:val="center" w:pos="4320"/>
        <w:tab w:val="right" w:pos="8640"/>
      </w:tabs>
      <w:spacing w:after="0" w:line="240" w:lineRule="auto"/>
      <w:jc w:val="center"/>
      <w:rPr>
        <w:rFonts w:ascii="Arial" w:hAnsi="Arial" w:eastAsia="MS Mincho" w:cs="Times New Roman"/>
        <w:sz w:val="20"/>
        <w:szCs w:val="20"/>
        <w:lang w:val="en-US" w:eastAsia="en-US" w:bidi="ar-SA"/>
      </w:rPr>
    </w:pPr>
    <w:r>
      <w:rPr>
        <w:rFonts w:ascii="Arial" w:hAnsi="Arial" w:eastAsia="MS Mincho" w:cs="Times New Roman"/>
        <w:sz w:val="20"/>
        <w:szCs w:val="20"/>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17CDB">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3017CDB">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v:textbox>
            </v:shape>
          </w:pict>
        </mc:Fallback>
      </mc:AlternateContent>
    </w:r>
  </w:p>
  <w:p w14:paraId="06337578">
    <w:pPr>
      <w:widowControl/>
      <w:tabs>
        <w:tab w:val="right" w:pos="10080"/>
      </w:tabs>
      <w:autoSpaceDE/>
      <w:autoSpaceDN/>
      <w:adjustRightInd/>
      <w:spacing w:after="0" w:line="240" w:lineRule="auto"/>
      <w:rPr>
        <w:rFonts w:ascii="Arial" w:hAnsi="Arial" w:eastAsia="MS Mincho" w:cs="Arial"/>
        <w:kern w:val="0"/>
        <w:sz w:val="17"/>
        <w:szCs w:val="17"/>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6582">
    <w:pPr>
      <w:tabs>
        <w:tab w:val="center" w:pos="4320"/>
        <w:tab w:val="right" w:pos="8640"/>
      </w:tabs>
      <w:spacing w:after="0" w:line="240" w:lineRule="auto"/>
      <w:jc w:val="center"/>
      <w:rPr>
        <w:rFonts w:ascii="Arial" w:hAnsi="Arial" w:eastAsia="MS Mincho" w:cs="Times New Roman"/>
        <w:sz w:val="20"/>
        <w:szCs w:val="20"/>
        <w:lang w:val="en-US" w:eastAsia="en-US" w:bidi="ar-SA"/>
      </w:rPr>
    </w:pPr>
    <w:r>
      <w:rPr>
        <w:rFonts w:ascii="Arial" w:hAnsi="Arial" w:eastAsia="MS Mincho" w:cs="Times New Roman"/>
        <w:sz w:val="20"/>
        <w:szCs w:val="20"/>
        <w:lang w:val="en-US" w:eastAsia="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33C9EC">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1</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033C9EC">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1</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v:textbox>
            </v:shape>
          </w:pict>
        </mc:Fallback>
      </mc:AlternateContent>
    </w:r>
  </w:p>
  <w:p w14:paraId="7816EEF8">
    <w:pPr>
      <w:widowControl/>
      <w:tabs>
        <w:tab w:val="right" w:pos="10080"/>
      </w:tabs>
      <w:autoSpaceDE/>
      <w:autoSpaceDN/>
      <w:adjustRightInd/>
      <w:spacing w:after="0" w:line="240" w:lineRule="auto"/>
      <w:rPr>
        <w:rFonts w:ascii="Arial" w:hAnsi="Arial" w:eastAsia="MS Mincho" w:cs="Arial"/>
        <w:kern w:val="0"/>
        <w:sz w:val="17"/>
        <w:szCs w:val="17"/>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E19AD">
    <w:pPr>
      <w:tabs>
        <w:tab w:val="center" w:pos="4320"/>
        <w:tab w:val="right" w:pos="8640"/>
      </w:tabs>
      <w:spacing w:after="0" w:line="240" w:lineRule="auto"/>
      <w:jc w:val="center"/>
      <w:rPr>
        <w:rFonts w:ascii="Arial" w:hAnsi="Arial" w:eastAsia="MS Mincho" w:cs="Times New Roman"/>
        <w:sz w:val="20"/>
        <w:szCs w:val="20"/>
        <w:lang w:val="en-US" w:eastAsia="en-US" w:bidi="ar-SA"/>
      </w:rPr>
    </w:pPr>
    <w:r>
      <w:rPr>
        <w:rFonts w:ascii="Arial" w:hAnsi="Arial" w:eastAsia="MS Mincho" w:cs="Times New Roman"/>
        <w:sz w:val="20"/>
        <w:szCs w:val="20"/>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A2E096">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7A2E096">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v:textbox>
            </v:shape>
          </w:pict>
        </mc:Fallback>
      </mc:AlternateContent>
    </w:r>
  </w:p>
  <w:p w14:paraId="3213AA35">
    <w:pPr>
      <w:widowControl/>
      <w:tabs>
        <w:tab w:val="right" w:pos="10080"/>
      </w:tabs>
      <w:autoSpaceDE/>
      <w:autoSpaceDN/>
      <w:adjustRightInd/>
      <w:spacing w:after="0" w:line="240" w:lineRule="auto"/>
      <w:rPr>
        <w:rFonts w:ascii="Arial" w:hAnsi="Arial" w:eastAsia="MS Mincho" w:cs="Arial"/>
        <w:kern w:val="0"/>
        <w:sz w:val="17"/>
        <w:szCs w:val="17"/>
        <w:lang w:eastAsia="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43F3E">
    <w:pPr>
      <w:pStyle w:val="11"/>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4FF1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0A4FF11">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76212">
    <w:pPr>
      <w:tabs>
        <w:tab w:val="right" w:pos="10080"/>
      </w:tabs>
      <w:spacing w:after="0" w:line="240" w:lineRule="auto"/>
      <w:rPr>
        <w:rFonts w:ascii="Arial" w:hAnsi="Arial" w:eastAsia="MS Mincho" w:cs="Times New Roman"/>
        <w:i/>
        <w:sz w:val="15"/>
        <w:szCs w:val="16"/>
        <w:lang w:val="en-US" w:eastAsia="en-US"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9DBA2">
    <w:pPr>
      <w:tabs>
        <w:tab w:val="right" w:pos="10080"/>
      </w:tabs>
      <w:spacing w:after="0" w:line="240" w:lineRule="auto"/>
      <w:rPr>
        <w:rFonts w:ascii="Arial" w:hAnsi="Arial" w:eastAsia="MS Mincho" w:cs="Times New Roman"/>
        <w:i/>
        <w:sz w:val="15"/>
        <w:szCs w:val="16"/>
        <w:lang w:val="en-US" w:eastAsia="en-US" w:bidi="ar-SA"/>
      </w:rPr>
    </w:pPr>
    <w:r>
      <w:rPr>
        <w:rFonts w:ascii="Arial" w:hAnsi="Arial" w:eastAsia="MS Mincho" w:cs="Times New Roman"/>
        <w:sz w:val="15"/>
        <w:szCs w:val="16"/>
        <w:lang w:val="en-US" w:eastAsia="en-US" w:bidi="ar-S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B0FB3">
    <w:pPr>
      <w:widowControl w:val="0"/>
      <w:pBdr>
        <w:bottom w:val="none" w:color="auto" w:sz="0" w:space="0"/>
      </w:pBdr>
      <w:tabs>
        <w:tab w:val="center" w:pos="4153"/>
        <w:tab w:val="right" w:pos="8306"/>
      </w:tabs>
      <w:autoSpaceDE/>
      <w:autoSpaceDN/>
      <w:adjustRightInd/>
      <w:snapToGrid w:val="0"/>
      <w:jc w:val="both"/>
      <w:rPr>
        <w:rFonts w:ascii="Calibri" w:hAnsi="宋体" w:eastAsia="宋体" w:cs="Times New Roman"/>
        <w:kern w:val="2"/>
        <w:sz w:val="18"/>
        <w:szCs w:val="21"/>
        <w:u w:val="single"/>
        <w:lang w:val="zh-CN"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2">
    <w:nsid w:val="50E8D233"/>
    <w:multiLevelType w:val="singleLevel"/>
    <w:tmpl w:val="50E8D23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C74A2"/>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F67248"/>
    <w:rsid w:val="04116CF6"/>
    <w:rsid w:val="042C570F"/>
    <w:rsid w:val="04A96748"/>
    <w:rsid w:val="04D27BE2"/>
    <w:rsid w:val="04E6106A"/>
    <w:rsid w:val="05271FFB"/>
    <w:rsid w:val="059C769C"/>
    <w:rsid w:val="05D11D1B"/>
    <w:rsid w:val="06031032"/>
    <w:rsid w:val="0640645B"/>
    <w:rsid w:val="0687062B"/>
    <w:rsid w:val="06A51EF3"/>
    <w:rsid w:val="06E00C8D"/>
    <w:rsid w:val="06F757B1"/>
    <w:rsid w:val="07267E44"/>
    <w:rsid w:val="077A073D"/>
    <w:rsid w:val="07861024"/>
    <w:rsid w:val="07DE24CD"/>
    <w:rsid w:val="07ED0962"/>
    <w:rsid w:val="087D7F38"/>
    <w:rsid w:val="0895702F"/>
    <w:rsid w:val="08BC5A89"/>
    <w:rsid w:val="08BD2259"/>
    <w:rsid w:val="08DE2D5D"/>
    <w:rsid w:val="08EE08BD"/>
    <w:rsid w:val="09142F7F"/>
    <w:rsid w:val="09577D3C"/>
    <w:rsid w:val="09766533"/>
    <w:rsid w:val="0A0542A1"/>
    <w:rsid w:val="0A882069"/>
    <w:rsid w:val="0A9123E5"/>
    <w:rsid w:val="0AEE39F1"/>
    <w:rsid w:val="0B4772A1"/>
    <w:rsid w:val="0B9B1CB5"/>
    <w:rsid w:val="0BDF05C2"/>
    <w:rsid w:val="0BF7B4D8"/>
    <w:rsid w:val="0C9870EE"/>
    <w:rsid w:val="0CAB26D5"/>
    <w:rsid w:val="0CF91BE4"/>
    <w:rsid w:val="0CFD33F5"/>
    <w:rsid w:val="0D1A5B9C"/>
    <w:rsid w:val="0D57649A"/>
    <w:rsid w:val="0D581ED1"/>
    <w:rsid w:val="0D7E282B"/>
    <w:rsid w:val="0DC96E65"/>
    <w:rsid w:val="0E271BD7"/>
    <w:rsid w:val="0E3533A2"/>
    <w:rsid w:val="0EBB3A12"/>
    <w:rsid w:val="0EE4237A"/>
    <w:rsid w:val="0F254DD5"/>
    <w:rsid w:val="0F305D53"/>
    <w:rsid w:val="0F690AEB"/>
    <w:rsid w:val="0F803250"/>
    <w:rsid w:val="0F9E01A6"/>
    <w:rsid w:val="10AC249F"/>
    <w:rsid w:val="10B87CFC"/>
    <w:rsid w:val="11357601"/>
    <w:rsid w:val="11B20C52"/>
    <w:rsid w:val="11F970A4"/>
    <w:rsid w:val="12BE7896"/>
    <w:rsid w:val="131443C0"/>
    <w:rsid w:val="132A11A7"/>
    <w:rsid w:val="132F6F24"/>
    <w:rsid w:val="13312D38"/>
    <w:rsid w:val="13C461ED"/>
    <w:rsid w:val="13CC3B21"/>
    <w:rsid w:val="13DC0EED"/>
    <w:rsid w:val="140773C4"/>
    <w:rsid w:val="14264FE0"/>
    <w:rsid w:val="14483D28"/>
    <w:rsid w:val="144D4C62"/>
    <w:rsid w:val="146974D5"/>
    <w:rsid w:val="146D3D2B"/>
    <w:rsid w:val="14747C33"/>
    <w:rsid w:val="148361D9"/>
    <w:rsid w:val="149E17D2"/>
    <w:rsid w:val="14CC69BE"/>
    <w:rsid w:val="1532440A"/>
    <w:rsid w:val="15723CE2"/>
    <w:rsid w:val="15A25EA2"/>
    <w:rsid w:val="15AD23FE"/>
    <w:rsid w:val="16481B85"/>
    <w:rsid w:val="169461F2"/>
    <w:rsid w:val="16CA2E56"/>
    <w:rsid w:val="17056DFB"/>
    <w:rsid w:val="17274E7C"/>
    <w:rsid w:val="17475F45"/>
    <w:rsid w:val="176D3ED1"/>
    <w:rsid w:val="177172D8"/>
    <w:rsid w:val="182D2239"/>
    <w:rsid w:val="186A4FAF"/>
    <w:rsid w:val="18D077E4"/>
    <w:rsid w:val="18FA2EDF"/>
    <w:rsid w:val="18FC7E25"/>
    <w:rsid w:val="18FFE9FE"/>
    <w:rsid w:val="193D5DAA"/>
    <w:rsid w:val="196A4486"/>
    <w:rsid w:val="19720702"/>
    <w:rsid w:val="19AF64AD"/>
    <w:rsid w:val="19C21C4E"/>
    <w:rsid w:val="19DF88A4"/>
    <w:rsid w:val="1A827F52"/>
    <w:rsid w:val="1AE300CE"/>
    <w:rsid w:val="1AF84B73"/>
    <w:rsid w:val="1B3D2FF5"/>
    <w:rsid w:val="1C1918CE"/>
    <w:rsid w:val="1C277718"/>
    <w:rsid w:val="1C7E24ED"/>
    <w:rsid w:val="1D6152DA"/>
    <w:rsid w:val="1D952F7C"/>
    <w:rsid w:val="1DAC618C"/>
    <w:rsid w:val="1DC11FD8"/>
    <w:rsid w:val="1DE00840"/>
    <w:rsid w:val="1E214510"/>
    <w:rsid w:val="1E28404A"/>
    <w:rsid w:val="1E2B7061"/>
    <w:rsid w:val="1E302101"/>
    <w:rsid w:val="1E696B3C"/>
    <w:rsid w:val="1E957931"/>
    <w:rsid w:val="1EA227BC"/>
    <w:rsid w:val="1EAD31F8"/>
    <w:rsid w:val="1ED8353E"/>
    <w:rsid w:val="1F0A0301"/>
    <w:rsid w:val="1F2332A4"/>
    <w:rsid w:val="1F28076B"/>
    <w:rsid w:val="1F3D58D3"/>
    <w:rsid w:val="1F730F76"/>
    <w:rsid w:val="1F8D7C46"/>
    <w:rsid w:val="1FA5437C"/>
    <w:rsid w:val="1FD07778"/>
    <w:rsid w:val="1FD951DE"/>
    <w:rsid w:val="1FEB5341"/>
    <w:rsid w:val="205D2FBC"/>
    <w:rsid w:val="20943124"/>
    <w:rsid w:val="20CC79C6"/>
    <w:rsid w:val="216E6218"/>
    <w:rsid w:val="21A4203E"/>
    <w:rsid w:val="21CA0B35"/>
    <w:rsid w:val="21EB3D26"/>
    <w:rsid w:val="2201338C"/>
    <w:rsid w:val="220D20D7"/>
    <w:rsid w:val="225B422F"/>
    <w:rsid w:val="227F84B1"/>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84772"/>
    <w:rsid w:val="279B2E33"/>
    <w:rsid w:val="27D97F51"/>
    <w:rsid w:val="28332450"/>
    <w:rsid w:val="285C0533"/>
    <w:rsid w:val="288D0436"/>
    <w:rsid w:val="28BD5315"/>
    <w:rsid w:val="28D13ABD"/>
    <w:rsid w:val="28EC1811"/>
    <w:rsid w:val="28F72F97"/>
    <w:rsid w:val="29284336"/>
    <w:rsid w:val="2936729B"/>
    <w:rsid w:val="297B2F41"/>
    <w:rsid w:val="297E1C81"/>
    <w:rsid w:val="298E6E88"/>
    <w:rsid w:val="29B31F70"/>
    <w:rsid w:val="29E37F28"/>
    <w:rsid w:val="2A497119"/>
    <w:rsid w:val="2AF47589"/>
    <w:rsid w:val="2C097749"/>
    <w:rsid w:val="2C331E12"/>
    <w:rsid w:val="2C366AB3"/>
    <w:rsid w:val="2C874C48"/>
    <w:rsid w:val="2CD81986"/>
    <w:rsid w:val="2CEC5980"/>
    <w:rsid w:val="2D3A0633"/>
    <w:rsid w:val="2DF83A39"/>
    <w:rsid w:val="2E793400"/>
    <w:rsid w:val="2F48127E"/>
    <w:rsid w:val="2F6318AD"/>
    <w:rsid w:val="2FBE7CEE"/>
    <w:rsid w:val="30B60CA0"/>
    <w:rsid w:val="30C94242"/>
    <w:rsid w:val="30F74B66"/>
    <w:rsid w:val="31305298"/>
    <w:rsid w:val="31421658"/>
    <w:rsid w:val="31AA3FF0"/>
    <w:rsid w:val="31C36469"/>
    <w:rsid w:val="31DD08D3"/>
    <w:rsid w:val="31FA4701"/>
    <w:rsid w:val="321468E7"/>
    <w:rsid w:val="324078D3"/>
    <w:rsid w:val="329C1497"/>
    <w:rsid w:val="32D83E39"/>
    <w:rsid w:val="32FB7D94"/>
    <w:rsid w:val="330A3F07"/>
    <w:rsid w:val="3342165C"/>
    <w:rsid w:val="334E259C"/>
    <w:rsid w:val="336662D9"/>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1154CD"/>
    <w:rsid w:val="375767DE"/>
    <w:rsid w:val="37BC3D6C"/>
    <w:rsid w:val="37C917DC"/>
    <w:rsid w:val="392B491E"/>
    <w:rsid w:val="392C73C4"/>
    <w:rsid w:val="392E0F18"/>
    <w:rsid w:val="393A5C81"/>
    <w:rsid w:val="3950297B"/>
    <w:rsid w:val="39637620"/>
    <w:rsid w:val="39FA547A"/>
    <w:rsid w:val="3A132F26"/>
    <w:rsid w:val="3A186654"/>
    <w:rsid w:val="3ABD7264"/>
    <w:rsid w:val="3AC54CA3"/>
    <w:rsid w:val="3B0B7B9B"/>
    <w:rsid w:val="3B115942"/>
    <w:rsid w:val="3B181276"/>
    <w:rsid w:val="3B2116F8"/>
    <w:rsid w:val="3B530501"/>
    <w:rsid w:val="3BA76804"/>
    <w:rsid w:val="3BCA011E"/>
    <w:rsid w:val="3BCA16BD"/>
    <w:rsid w:val="3CC01BC6"/>
    <w:rsid w:val="3D000214"/>
    <w:rsid w:val="3D163266"/>
    <w:rsid w:val="3D1D70D0"/>
    <w:rsid w:val="3D475E43"/>
    <w:rsid w:val="3D89782E"/>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D3894"/>
    <w:rsid w:val="44045484"/>
    <w:rsid w:val="44277E60"/>
    <w:rsid w:val="44506E02"/>
    <w:rsid w:val="44BD63A3"/>
    <w:rsid w:val="44F462AF"/>
    <w:rsid w:val="45723093"/>
    <w:rsid w:val="460A2104"/>
    <w:rsid w:val="46CE215B"/>
    <w:rsid w:val="46F26E20"/>
    <w:rsid w:val="470703F1"/>
    <w:rsid w:val="475A7C4A"/>
    <w:rsid w:val="47A9BDCA"/>
    <w:rsid w:val="47B75295"/>
    <w:rsid w:val="47DB5B06"/>
    <w:rsid w:val="482D3E87"/>
    <w:rsid w:val="48C447EC"/>
    <w:rsid w:val="48DC53A4"/>
    <w:rsid w:val="48FE9FE8"/>
    <w:rsid w:val="491713AA"/>
    <w:rsid w:val="496B2EB9"/>
    <w:rsid w:val="49E64FC1"/>
    <w:rsid w:val="49FF4657"/>
    <w:rsid w:val="4A6C5D6C"/>
    <w:rsid w:val="4A6D4A0F"/>
    <w:rsid w:val="4AD131F0"/>
    <w:rsid w:val="4ADE4F4F"/>
    <w:rsid w:val="4AE9678B"/>
    <w:rsid w:val="4B3B7544"/>
    <w:rsid w:val="4B5742B7"/>
    <w:rsid w:val="4B8D444F"/>
    <w:rsid w:val="4C3B677D"/>
    <w:rsid w:val="4C544A9D"/>
    <w:rsid w:val="4C917BE6"/>
    <w:rsid w:val="4C975D73"/>
    <w:rsid w:val="4CFE682A"/>
    <w:rsid w:val="4D197B50"/>
    <w:rsid w:val="4D5B1BCC"/>
    <w:rsid w:val="4D7E613A"/>
    <w:rsid w:val="4DF75297"/>
    <w:rsid w:val="4E1C7158"/>
    <w:rsid w:val="4E512E6A"/>
    <w:rsid w:val="4E8353EC"/>
    <w:rsid w:val="4E9F729C"/>
    <w:rsid w:val="4EAA6232"/>
    <w:rsid w:val="4EEC684A"/>
    <w:rsid w:val="4F590F49"/>
    <w:rsid w:val="4FD67FE4"/>
    <w:rsid w:val="50CD6207"/>
    <w:rsid w:val="50E50B43"/>
    <w:rsid w:val="50F14709"/>
    <w:rsid w:val="518311DB"/>
    <w:rsid w:val="51B678C8"/>
    <w:rsid w:val="51C4585C"/>
    <w:rsid w:val="51D3784E"/>
    <w:rsid w:val="51EB64FE"/>
    <w:rsid w:val="520E2829"/>
    <w:rsid w:val="52611717"/>
    <w:rsid w:val="528D7AED"/>
    <w:rsid w:val="52AB4326"/>
    <w:rsid w:val="52AB7BA7"/>
    <w:rsid w:val="52BD083D"/>
    <w:rsid w:val="52CF270B"/>
    <w:rsid w:val="52D3735C"/>
    <w:rsid w:val="530117DB"/>
    <w:rsid w:val="538A1135"/>
    <w:rsid w:val="543C6199"/>
    <w:rsid w:val="544F47BA"/>
    <w:rsid w:val="54912FE3"/>
    <w:rsid w:val="54E367BB"/>
    <w:rsid w:val="54E6709B"/>
    <w:rsid w:val="554405EA"/>
    <w:rsid w:val="55BF6A67"/>
    <w:rsid w:val="55C82AF9"/>
    <w:rsid w:val="565F7902"/>
    <w:rsid w:val="5660454B"/>
    <w:rsid w:val="56D23AFE"/>
    <w:rsid w:val="56DF0432"/>
    <w:rsid w:val="570E3A1E"/>
    <w:rsid w:val="57266671"/>
    <w:rsid w:val="575A7CC2"/>
    <w:rsid w:val="57AC6B77"/>
    <w:rsid w:val="57CA0B00"/>
    <w:rsid w:val="5823050C"/>
    <w:rsid w:val="583D1EC5"/>
    <w:rsid w:val="58555460"/>
    <w:rsid w:val="58940565"/>
    <w:rsid w:val="58C514F7"/>
    <w:rsid w:val="58C5766B"/>
    <w:rsid w:val="58CC6946"/>
    <w:rsid w:val="58FC4E5D"/>
    <w:rsid w:val="590B3CD5"/>
    <w:rsid w:val="590C2D10"/>
    <w:rsid w:val="591868E2"/>
    <w:rsid w:val="59724B84"/>
    <w:rsid w:val="5973249F"/>
    <w:rsid w:val="59B55F33"/>
    <w:rsid w:val="5A176A5C"/>
    <w:rsid w:val="5A1847CD"/>
    <w:rsid w:val="5A327788"/>
    <w:rsid w:val="5AB72EE1"/>
    <w:rsid w:val="5ADF07E6"/>
    <w:rsid w:val="5B14530F"/>
    <w:rsid w:val="5B296730"/>
    <w:rsid w:val="5B2A2BD4"/>
    <w:rsid w:val="5B3721CF"/>
    <w:rsid w:val="5B3C2907"/>
    <w:rsid w:val="5B807A8D"/>
    <w:rsid w:val="5B8878FB"/>
    <w:rsid w:val="5BA21FD6"/>
    <w:rsid w:val="5C401F2E"/>
    <w:rsid w:val="5D192749"/>
    <w:rsid w:val="5D7A5DE9"/>
    <w:rsid w:val="5DA66DDE"/>
    <w:rsid w:val="5E6A49EF"/>
    <w:rsid w:val="5EE635D9"/>
    <w:rsid w:val="5F2E7000"/>
    <w:rsid w:val="5F385921"/>
    <w:rsid w:val="5F3A5C83"/>
    <w:rsid w:val="5F8B41B6"/>
    <w:rsid w:val="5FD21144"/>
    <w:rsid w:val="5FEC5693"/>
    <w:rsid w:val="60096CCC"/>
    <w:rsid w:val="6089214B"/>
    <w:rsid w:val="60A237B9"/>
    <w:rsid w:val="60A42C0C"/>
    <w:rsid w:val="60DF5E68"/>
    <w:rsid w:val="60FB05D4"/>
    <w:rsid w:val="60FD2A2F"/>
    <w:rsid w:val="613250F3"/>
    <w:rsid w:val="61786849"/>
    <w:rsid w:val="61DA4024"/>
    <w:rsid w:val="61DB3921"/>
    <w:rsid w:val="629E7A04"/>
    <w:rsid w:val="62DF622F"/>
    <w:rsid w:val="632C3261"/>
    <w:rsid w:val="63D53A4D"/>
    <w:rsid w:val="63D863F5"/>
    <w:rsid w:val="64070298"/>
    <w:rsid w:val="64381E87"/>
    <w:rsid w:val="649F6EA6"/>
    <w:rsid w:val="64CD1640"/>
    <w:rsid w:val="659C70B3"/>
    <w:rsid w:val="65B2579D"/>
    <w:rsid w:val="65D13739"/>
    <w:rsid w:val="660E3C07"/>
    <w:rsid w:val="661E3335"/>
    <w:rsid w:val="66A54215"/>
    <w:rsid w:val="66BA5C6E"/>
    <w:rsid w:val="66C67548"/>
    <w:rsid w:val="66E45EF7"/>
    <w:rsid w:val="670F3EE3"/>
    <w:rsid w:val="674F3D70"/>
    <w:rsid w:val="675B489C"/>
    <w:rsid w:val="679947E2"/>
    <w:rsid w:val="67DD39F1"/>
    <w:rsid w:val="67F1706D"/>
    <w:rsid w:val="67FB81BC"/>
    <w:rsid w:val="681F73B4"/>
    <w:rsid w:val="686D2352"/>
    <w:rsid w:val="689609C5"/>
    <w:rsid w:val="6A3C6569"/>
    <w:rsid w:val="6B327391"/>
    <w:rsid w:val="6B7A04BA"/>
    <w:rsid w:val="6BD774E5"/>
    <w:rsid w:val="6BE34055"/>
    <w:rsid w:val="6BFF59B7"/>
    <w:rsid w:val="6C003871"/>
    <w:rsid w:val="6C2B03CE"/>
    <w:rsid w:val="6C494E84"/>
    <w:rsid w:val="6C5213A2"/>
    <w:rsid w:val="6CA63DE0"/>
    <w:rsid w:val="6D965EA7"/>
    <w:rsid w:val="6DC8291B"/>
    <w:rsid w:val="6DFD3C73"/>
    <w:rsid w:val="6E5F4022"/>
    <w:rsid w:val="6EBC62AA"/>
    <w:rsid w:val="6EBFE76E"/>
    <w:rsid w:val="6F1C7CB5"/>
    <w:rsid w:val="6F3009B1"/>
    <w:rsid w:val="6F397D90"/>
    <w:rsid w:val="6F4B2CC1"/>
    <w:rsid w:val="6F721561"/>
    <w:rsid w:val="6F7C4FD0"/>
    <w:rsid w:val="6F9838FF"/>
    <w:rsid w:val="6FAC6740"/>
    <w:rsid w:val="6FE2EF1F"/>
    <w:rsid w:val="6FF132E4"/>
    <w:rsid w:val="70101118"/>
    <w:rsid w:val="705E2B70"/>
    <w:rsid w:val="706E3D83"/>
    <w:rsid w:val="70ED2282"/>
    <w:rsid w:val="713711DB"/>
    <w:rsid w:val="721D03CE"/>
    <w:rsid w:val="726D3849"/>
    <w:rsid w:val="72B1133A"/>
    <w:rsid w:val="73305461"/>
    <w:rsid w:val="7355456B"/>
    <w:rsid w:val="73634A7D"/>
    <w:rsid w:val="7367521E"/>
    <w:rsid w:val="73677C26"/>
    <w:rsid w:val="73720A78"/>
    <w:rsid w:val="73B62373"/>
    <w:rsid w:val="74670834"/>
    <w:rsid w:val="748841B8"/>
    <w:rsid w:val="749C42F1"/>
    <w:rsid w:val="74C81104"/>
    <w:rsid w:val="750D2D5A"/>
    <w:rsid w:val="75357D54"/>
    <w:rsid w:val="75742370"/>
    <w:rsid w:val="758D193E"/>
    <w:rsid w:val="75B44B0C"/>
    <w:rsid w:val="75D223C9"/>
    <w:rsid w:val="75D43A11"/>
    <w:rsid w:val="76923682"/>
    <w:rsid w:val="76BB697E"/>
    <w:rsid w:val="77541DD9"/>
    <w:rsid w:val="77C91389"/>
    <w:rsid w:val="78363B39"/>
    <w:rsid w:val="78723C38"/>
    <w:rsid w:val="78B96744"/>
    <w:rsid w:val="78E33F6B"/>
    <w:rsid w:val="79134BE5"/>
    <w:rsid w:val="79262C38"/>
    <w:rsid w:val="79643FFC"/>
    <w:rsid w:val="79D30A0F"/>
    <w:rsid w:val="79FF0E4B"/>
    <w:rsid w:val="7A0016B7"/>
    <w:rsid w:val="7A150F31"/>
    <w:rsid w:val="7A1D2658"/>
    <w:rsid w:val="7A2D1941"/>
    <w:rsid w:val="7A401675"/>
    <w:rsid w:val="7A4E679B"/>
    <w:rsid w:val="7A915774"/>
    <w:rsid w:val="7AEF309B"/>
    <w:rsid w:val="7B402043"/>
    <w:rsid w:val="7B4E00F4"/>
    <w:rsid w:val="7B537195"/>
    <w:rsid w:val="7B634BDD"/>
    <w:rsid w:val="7B953BCC"/>
    <w:rsid w:val="7BA34C19"/>
    <w:rsid w:val="7BFF338A"/>
    <w:rsid w:val="7C604A73"/>
    <w:rsid w:val="7C815554"/>
    <w:rsid w:val="7CAF2AE1"/>
    <w:rsid w:val="7CDC44E3"/>
    <w:rsid w:val="7CDE5261"/>
    <w:rsid w:val="7DB2334D"/>
    <w:rsid w:val="7DF00B14"/>
    <w:rsid w:val="7DFECD38"/>
    <w:rsid w:val="7E235506"/>
    <w:rsid w:val="7E3A515F"/>
    <w:rsid w:val="7E477B63"/>
    <w:rsid w:val="7E6B2F0F"/>
    <w:rsid w:val="7E9957F7"/>
    <w:rsid w:val="7EA877E8"/>
    <w:rsid w:val="7EF63682"/>
    <w:rsid w:val="7F3B7782"/>
    <w:rsid w:val="7F6B1460"/>
    <w:rsid w:val="7F6E3D98"/>
    <w:rsid w:val="7F7701E1"/>
    <w:rsid w:val="7F8F4AD9"/>
    <w:rsid w:val="7FCD0BFF"/>
    <w:rsid w:val="7FDB617D"/>
    <w:rsid w:val="7FF74233"/>
    <w:rsid w:val="83FF33A3"/>
    <w:rsid w:val="A6FFF5EC"/>
    <w:rsid w:val="A9EF02BA"/>
    <w:rsid w:val="BA74B008"/>
    <w:rsid w:val="BBEDDA86"/>
    <w:rsid w:val="BF5FC0CF"/>
    <w:rsid w:val="BF7C25E4"/>
    <w:rsid w:val="C9FA64E5"/>
    <w:rsid w:val="CDFF9E80"/>
    <w:rsid w:val="D1FE4F1D"/>
    <w:rsid w:val="DBD19678"/>
    <w:rsid w:val="DE3AAC74"/>
    <w:rsid w:val="DF3B3AD3"/>
    <w:rsid w:val="E5B781DF"/>
    <w:rsid w:val="EBC237E8"/>
    <w:rsid w:val="EE75300B"/>
    <w:rsid w:val="EEB74D9C"/>
    <w:rsid w:val="EFF106D3"/>
    <w:rsid w:val="F3DFBAA1"/>
    <w:rsid w:val="F9822505"/>
    <w:rsid w:val="FA6F253C"/>
    <w:rsid w:val="FBBBBC28"/>
    <w:rsid w:val="FC599600"/>
    <w:rsid w:val="FDFD2014"/>
    <w:rsid w:val="FDFFA22C"/>
    <w:rsid w:val="FDFFC192"/>
    <w:rsid w:val="FEAC9DA7"/>
    <w:rsid w:val="FF37FE42"/>
    <w:rsid w:val="FFDB4F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4">
    <w:name w:val="heading 1"/>
    <w:basedOn w:val="1"/>
    <w:next w:val="1"/>
    <w:link w:val="36"/>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4"/>
    <w:qFormat/>
    <w:uiPriority w:val="9"/>
    <w:pPr>
      <w:keepNext/>
      <w:keepLines/>
      <w:autoSpaceDE/>
      <w:autoSpaceDN/>
      <w:snapToGrid w:val="0"/>
      <w:spacing w:line="360" w:lineRule="auto"/>
      <w:outlineLvl w:val="1"/>
    </w:pPr>
    <w:rPr>
      <w:rFonts w:ascii="Arial" w:hAnsi="Arial"/>
      <w:b/>
      <w:kern w:val="2"/>
      <w:szCs w:val="20"/>
    </w:rPr>
  </w:style>
  <w:style w:type="paragraph" w:styleId="6">
    <w:name w:val="heading 3"/>
    <w:basedOn w:val="1"/>
    <w:next w:val="1"/>
    <w:link w:val="3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1"/>
    <w:unhideWhenUsed/>
    <w:qFormat/>
    <w:uiPriority w:val="99"/>
    <w:pPr>
      <w:spacing w:after="120"/>
      <w:ind w:right="0" w:firstLine="420" w:firstLineChars="100"/>
      <w:jc w:val="left"/>
    </w:pPr>
    <w:rPr>
      <w:b w:val="0"/>
      <w:bCs w:val="0"/>
      <w:sz w:val="24"/>
      <w:szCs w:val="24"/>
      <w:lang w:val="en-US"/>
    </w:rPr>
  </w:style>
  <w:style w:type="paragraph" w:styleId="3">
    <w:name w:val="Body Text"/>
    <w:basedOn w:val="1"/>
    <w:next w:val="1"/>
    <w:link w:val="28"/>
    <w:qFormat/>
    <w:uiPriority w:val="99"/>
    <w:pPr>
      <w:ind w:right="-26"/>
      <w:jc w:val="center"/>
    </w:pPr>
    <w:rPr>
      <w:b/>
      <w:bCs/>
      <w:sz w:val="84"/>
      <w:szCs w:val="84"/>
      <w:lang w:val="zh-CN"/>
    </w:rPr>
  </w:style>
  <w:style w:type="paragraph" w:styleId="7">
    <w:name w:val="annotation text"/>
    <w:basedOn w:val="1"/>
    <w:link w:val="45"/>
    <w:semiHidden/>
    <w:unhideWhenUsed/>
    <w:qFormat/>
    <w:uiPriority w:val="99"/>
  </w:style>
  <w:style w:type="paragraph" w:styleId="8">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9">
    <w:name w:val="Plain Text"/>
    <w:basedOn w:val="1"/>
    <w:link w:val="31"/>
    <w:qFormat/>
    <w:uiPriority w:val="99"/>
    <w:pPr>
      <w:autoSpaceDE/>
      <w:autoSpaceDN/>
      <w:adjustRightInd/>
      <w:jc w:val="both"/>
    </w:pPr>
    <w:rPr>
      <w:rFonts w:hAnsi="Courier New"/>
      <w:kern w:val="2"/>
      <w:sz w:val="21"/>
      <w:szCs w:val="20"/>
    </w:rPr>
  </w:style>
  <w:style w:type="paragraph" w:styleId="10">
    <w:name w:val="Balloon Text"/>
    <w:basedOn w:val="1"/>
    <w:link w:val="29"/>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3"/>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46"/>
    <w:semiHidden/>
    <w:unhideWhenUsed/>
    <w:qFormat/>
    <w:uiPriority w:val="99"/>
    <w:rPr>
      <w:b/>
      <w:bC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文档正文"/>
    <w:basedOn w:val="1"/>
    <w:qFormat/>
    <w:uiPriority w:val="0"/>
    <w:pPr>
      <w:spacing w:line="360" w:lineRule="auto"/>
    </w:pPr>
    <w:rPr>
      <w:rFonts w:cs="Arial"/>
      <w:bCs/>
    </w:rPr>
  </w:style>
  <w:style w:type="character" w:customStyle="1" w:styleId="26">
    <w:name w:val="页眉 字符"/>
    <w:basedOn w:val="21"/>
    <w:link w:val="12"/>
    <w:qFormat/>
    <w:uiPriority w:val="99"/>
    <w:rPr>
      <w:sz w:val="18"/>
      <w:szCs w:val="18"/>
    </w:rPr>
  </w:style>
  <w:style w:type="character" w:customStyle="1" w:styleId="27">
    <w:name w:val="页脚 字符"/>
    <w:basedOn w:val="21"/>
    <w:link w:val="11"/>
    <w:qFormat/>
    <w:uiPriority w:val="99"/>
    <w:rPr>
      <w:sz w:val="18"/>
      <w:szCs w:val="18"/>
    </w:rPr>
  </w:style>
  <w:style w:type="character" w:customStyle="1" w:styleId="28">
    <w:name w:val="正文文本 字符"/>
    <w:basedOn w:val="21"/>
    <w:link w:val="3"/>
    <w:qFormat/>
    <w:uiPriority w:val="99"/>
    <w:rPr>
      <w:rFonts w:ascii="宋体" w:hAnsi="Times New Roman" w:eastAsia="宋体" w:cs="Times New Roman"/>
      <w:b/>
      <w:bCs/>
      <w:kern w:val="0"/>
      <w:sz w:val="84"/>
      <w:szCs w:val="84"/>
      <w:lang w:val="zh-CN"/>
    </w:rPr>
  </w:style>
  <w:style w:type="character" w:customStyle="1" w:styleId="29">
    <w:name w:val="批注框文本 字符"/>
    <w:basedOn w:val="21"/>
    <w:link w:val="10"/>
    <w:semiHidden/>
    <w:qFormat/>
    <w:uiPriority w:val="99"/>
    <w:rPr>
      <w:rFonts w:ascii="宋体" w:hAnsi="Times New Roman" w:eastAsia="宋体" w:cs="Times New Roman"/>
      <w:kern w:val="0"/>
      <w:sz w:val="18"/>
      <w:szCs w:val="18"/>
    </w:rPr>
  </w:style>
  <w:style w:type="character" w:customStyle="1" w:styleId="30">
    <w:name w:val="纯文本 字符"/>
    <w:basedOn w:val="21"/>
    <w:semiHidden/>
    <w:qFormat/>
    <w:uiPriority w:val="99"/>
    <w:rPr>
      <w:rFonts w:hAnsi="Courier New" w:cs="Courier New" w:asciiTheme="minorEastAsia"/>
      <w:kern w:val="0"/>
      <w:sz w:val="24"/>
      <w:szCs w:val="24"/>
    </w:rPr>
  </w:style>
  <w:style w:type="character" w:customStyle="1" w:styleId="31">
    <w:name w:val="纯文本 字符1"/>
    <w:link w:val="9"/>
    <w:qFormat/>
    <w:uiPriority w:val="99"/>
    <w:rPr>
      <w:rFonts w:ascii="宋体" w:hAnsi="Courier New" w:eastAsia="宋体" w:cs="Times New Roman"/>
      <w:szCs w:val="20"/>
    </w:rPr>
  </w:style>
  <w:style w:type="character" w:customStyle="1" w:styleId="32">
    <w:name w:val="标题 字符"/>
    <w:basedOn w:val="21"/>
    <w:qFormat/>
    <w:uiPriority w:val="10"/>
    <w:rPr>
      <w:rFonts w:asciiTheme="majorHAnsi" w:hAnsiTheme="majorHAnsi" w:eastAsiaTheme="majorEastAsia" w:cstheme="majorBidi"/>
      <w:b/>
      <w:bCs/>
      <w:kern w:val="0"/>
      <w:sz w:val="32"/>
      <w:szCs w:val="32"/>
    </w:rPr>
  </w:style>
  <w:style w:type="character" w:customStyle="1" w:styleId="33">
    <w:name w:val="标题 字符1"/>
    <w:link w:val="17"/>
    <w:qFormat/>
    <w:uiPriority w:val="10"/>
    <w:rPr>
      <w:rFonts w:ascii="Cambria" w:hAnsi="Cambria" w:eastAsia="宋体" w:cs="Times New Roman"/>
      <w:b/>
      <w:bCs/>
      <w:kern w:val="0"/>
      <w:sz w:val="32"/>
      <w:szCs w:val="32"/>
    </w:rPr>
  </w:style>
  <w:style w:type="character" w:customStyle="1" w:styleId="34">
    <w:name w:val="标题 2 字符"/>
    <w:basedOn w:val="21"/>
    <w:link w:val="5"/>
    <w:qFormat/>
    <w:uiPriority w:val="9"/>
    <w:rPr>
      <w:rFonts w:ascii="Arial" w:hAnsi="Arial" w:eastAsia="宋体" w:cs="Times New Roman"/>
      <w:b/>
      <w:sz w:val="24"/>
      <w:szCs w:val="20"/>
    </w:rPr>
  </w:style>
  <w:style w:type="character" w:customStyle="1" w:styleId="35">
    <w:name w:val="标题 3 字符"/>
    <w:basedOn w:val="21"/>
    <w:link w:val="6"/>
    <w:qFormat/>
    <w:uiPriority w:val="9"/>
    <w:rPr>
      <w:rFonts w:ascii="Times New Roman" w:hAnsi="Times New Roman" w:eastAsia="宋体" w:cs="Times New Roman"/>
      <w:b/>
      <w:sz w:val="28"/>
      <w:szCs w:val="20"/>
    </w:rPr>
  </w:style>
  <w:style w:type="character" w:customStyle="1" w:styleId="36">
    <w:name w:val="标题 1 字符"/>
    <w:basedOn w:val="21"/>
    <w:link w:val="4"/>
    <w:qFormat/>
    <w:uiPriority w:val="9"/>
    <w:rPr>
      <w:rFonts w:ascii="宋体" w:hAnsi="Times New Roman" w:eastAsia="宋体" w:cs="Times New Roman"/>
      <w:b/>
      <w:bCs/>
      <w:kern w:val="44"/>
      <w:sz w:val="32"/>
      <w:szCs w:val="44"/>
    </w:rPr>
  </w:style>
  <w:style w:type="paragraph" w:customStyle="1" w:styleId="37">
    <w:name w:val="TOC Heading"/>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8">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9">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正文文本首行缩进 字符"/>
    <w:basedOn w:val="28"/>
    <w:link w:val="2"/>
    <w:semiHidden/>
    <w:qFormat/>
    <w:uiPriority w:val="99"/>
    <w:rPr>
      <w:rFonts w:ascii="宋体" w:hAnsi="Times New Roman" w:eastAsia="宋体" w:cs="Times New Roman"/>
      <w:b w:val="0"/>
      <w:bCs w:val="0"/>
      <w:kern w:val="0"/>
      <w:sz w:val="24"/>
      <w:szCs w:val="24"/>
      <w:lang w:val="zh-CN"/>
    </w:rPr>
  </w:style>
  <w:style w:type="paragraph" w:customStyle="1" w:styleId="42">
    <w:name w:val="Table Paragraph"/>
    <w:basedOn w:val="1"/>
    <w:qFormat/>
    <w:uiPriority w:val="1"/>
    <w:pPr>
      <w:autoSpaceDE/>
      <w:autoSpaceDN/>
      <w:adjustRightInd/>
      <w:jc w:val="both"/>
    </w:pPr>
    <w:rPr>
      <w:rFonts w:ascii="Calibri" w:hAnsi="Calibri"/>
      <w:kern w:val="2"/>
      <w:sz w:val="21"/>
    </w:rPr>
  </w:style>
  <w:style w:type="paragraph" w:customStyle="1" w:styleId="43">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4">
    <w:name w:val="List Paragraph"/>
    <w:basedOn w:val="1"/>
    <w:qFormat/>
    <w:uiPriority w:val="99"/>
    <w:pPr>
      <w:ind w:firstLine="420" w:firstLineChars="200"/>
    </w:pPr>
  </w:style>
  <w:style w:type="character" w:customStyle="1" w:styleId="45">
    <w:name w:val="批注文字 字符"/>
    <w:basedOn w:val="21"/>
    <w:link w:val="7"/>
    <w:semiHidden/>
    <w:qFormat/>
    <w:uiPriority w:val="99"/>
    <w:rPr>
      <w:rFonts w:ascii="宋体" w:hAnsi="Times New Roman" w:eastAsia="宋体" w:cs="Times New Roman"/>
      <w:kern w:val="0"/>
      <w:sz w:val="24"/>
      <w:szCs w:val="24"/>
    </w:rPr>
  </w:style>
  <w:style w:type="character" w:customStyle="1" w:styleId="46">
    <w:name w:val="批注主题 字符"/>
    <w:basedOn w:val="45"/>
    <w:link w:val="18"/>
    <w:semiHidden/>
    <w:qFormat/>
    <w:uiPriority w:val="99"/>
    <w:rPr>
      <w:rFonts w:ascii="宋体" w:hAnsi="Times New Roman" w:eastAsia="宋体" w:cs="Times New Roman"/>
      <w:b/>
      <w:bCs/>
      <w:kern w:val="0"/>
      <w:sz w:val="24"/>
      <w:szCs w:val="24"/>
    </w:rPr>
  </w:style>
  <w:style w:type="character" w:customStyle="1" w:styleId="47">
    <w:name w:val="font141"/>
    <w:basedOn w:val="21"/>
    <w:qFormat/>
    <w:uiPriority w:val="0"/>
    <w:rPr>
      <w:rFonts w:ascii="宋体" w:hAnsi="宋体" w:eastAsia="宋体" w:cs="宋体"/>
      <w:color w:val="000000"/>
      <w:sz w:val="20"/>
      <w:szCs w:val="20"/>
      <w:u w:val="none"/>
    </w:rPr>
  </w:style>
  <w:style w:type="character" w:customStyle="1" w:styleId="48">
    <w:name w:val="font01"/>
    <w:basedOn w:val="21"/>
    <w:qFormat/>
    <w:uiPriority w:val="0"/>
    <w:rPr>
      <w:rFonts w:hint="eastAsia" w:ascii="宋体" w:hAnsi="宋体" w:eastAsia="宋体" w:cs="宋体"/>
      <w:color w:val="000000"/>
      <w:sz w:val="22"/>
      <w:szCs w:val="22"/>
      <w:u w:val="none"/>
    </w:rPr>
  </w:style>
  <w:style w:type="paragraph" w:customStyle="1" w:styleId="49">
    <w:name w:val="CM标题2"/>
    <w:basedOn w:val="5"/>
    <w:next w:val="50"/>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3">
    <w:name w:val="font11"/>
    <w:basedOn w:val="21"/>
    <w:qFormat/>
    <w:uiPriority w:val="0"/>
    <w:rPr>
      <w:rFonts w:hint="eastAsia" w:ascii="宋体" w:hAnsi="宋体" w:eastAsia="宋体" w:cs="宋体"/>
      <w:color w:val="000000"/>
      <w:sz w:val="30"/>
      <w:szCs w:val="30"/>
      <w:u w:val="none"/>
    </w:rPr>
  </w:style>
  <w:style w:type="character" w:customStyle="1" w:styleId="54">
    <w:name w:val="font21"/>
    <w:basedOn w:val="21"/>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_0"/>
    <w:semiHidden/>
    <w:unhideWhenUsed/>
    <w:qFormat/>
    <w:uiPriority w:val="0"/>
    <w:tblPr>
      <w:tblCellMar>
        <w:top w:w="0" w:type="dxa"/>
        <w:left w:w="0" w:type="dxa"/>
        <w:bottom w:w="0" w:type="dxa"/>
        <w:right w:w="0" w:type="dxa"/>
      </w:tblCellMar>
    </w:tblPr>
  </w:style>
  <w:style w:type="character" w:customStyle="1" w:styleId="57">
    <w:name w:val="font41"/>
    <w:basedOn w:val="21"/>
    <w:qFormat/>
    <w:uiPriority w:val="0"/>
    <w:rPr>
      <w:rFonts w:hint="default" w:ascii="Times New Roman" w:hAnsi="Times New Roman" w:cs="Times New Roman"/>
      <w:b/>
      <w:bCs/>
      <w:color w:val="000000"/>
      <w:sz w:val="22"/>
      <w:szCs w:val="22"/>
      <w:u w:val="none"/>
    </w:rPr>
  </w:style>
  <w:style w:type="character" w:customStyle="1" w:styleId="58">
    <w:name w:val="font31"/>
    <w:basedOn w:val="21"/>
    <w:qFormat/>
    <w:uiPriority w:val="0"/>
    <w:rPr>
      <w:rFonts w:hint="default" w:ascii="Times New Roman" w:hAnsi="Times New Roman" w:cs="Times New Roman"/>
      <w:b/>
      <w:bCs/>
      <w:color w:val="000000"/>
      <w:sz w:val="22"/>
      <w:szCs w:val="22"/>
      <w:u w:val="none"/>
    </w:rPr>
  </w:style>
  <w:style w:type="character" w:customStyle="1" w:styleId="59">
    <w:name w:val="font51"/>
    <w:basedOn w:val="21"/>
    <w:qFormat/>
    <w:uiPriority w:val="0"/>
    <w:rPr>
      <w:rFonts w:hint="eastAsia" w:ascii="仿宋_GB2312" w:eastAsia="仿宋_GB2312" w:cs="仿宋_GB2312"/>
      <w:color w:val="000000"/>
      <w:sz w:val="22"/>
      <w:szCs w:val="22"/>
      <w:u w:val="none"/>
    </w:rPr>
  </w:style>
  <w:style w:type="paragraph" w:customStyle="1" w:styleId="60">
    <w:name w:val="正文文本缩进 21"/>
    <w:basedOn w:val="1"/>
    <w:qFormat/>
    <w:uiPriority w:val="0"/>
    <w:pPr>
      <w:spacing w:line="480" w:lineRule="auto"/>
      <w:ind w:firstLine="540"/>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36</Pages>
  <Words>3439</Words>
  <Characters>3634</Characters>
  <Lines>114</Lines>
  <Paragraphs>32</Paragraphs>
  <TotalTime>18</TotalTime>
  <ScaleCrop>false</ScaleCrop>
  <LinksUpToDate>false</LinksUpToDate>
  <CharactersWithSpaces>3744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2021-04-27T18:40:00Z</dcterms:created>
  <dc:creator>政</dc:creator>
  <cp:lastModifiedBy>曹美玲</cp:lastModifiedBy>
  <cp:lastPrinted>2019-12-13T00:22:00Z</cp:lastPrinted>
  <dcterms:modified xsi:type="dcterms:W3CDTF">2026-01-13T09:42:07Z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122314D73FFE4AA780D5C21FBE804348_13</vt:lpwstr>
  </property>
  <property fmtid="{D5CDD505-2E9C-101B-9397-08002B2CF9AE}" pid="3" name="KSOProductBuildVer">
    <vt:lpwstr>2052-12.1.0.24034</vt:lpwstr>
  </property>
  <property fmtid="{D5CDD505-2E9C-101B-9397-08002B2CF9AE}" pid="4" name="KSOTemplateDocerSaveRecord">
    <vt:lpwstr>eyJoZGlkIjoiZGIyNWUzMTIwNTEyNTgyMWU1M2JjZDYyMjBmOWRkMTMiLCJ1c2VySWQiOiIxNjAyMjc1MjI3In0=</vt:lpwstr>
  </property>
</Properties>
</file>