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7"/>
          <w:rFonts w:hint="eastAsia" w:ascii="宋体" w:hAnsi="宋体" w:eastAsia="宋体" w:cs="宋体"/>
          <w:lang w:val="zh-CN"/>
          <w:woUserID w:val="0"/>
        </w:rPr>
      </w:pPr>
    </w:p>
    <w:p w14:paraId="7C23469C">
      <w:pPr>
        <w:spacing w:line="360" w:lineRule="auto"/>
        <w:ind w:right="-26"/>
        <w:jc w:val="center"/>
        <w:rPr>
          <w:rFonts w:hint="eastAsia" w:ascii="宋体" w:hAnsi="宋体" w:eastAsia="宋体" w:cs="宋体"/>
          <w:b/>
          <w:bCs/>
          <w:kern w:val="2"/>
          <w:sz w:val="48"/>
          <w:szCs w:val="48"/>
          <w:lang w:val="zh-CN"/>
        </w:rPr>
      </w:pPr>
    </w:p>
    <w:p w14:paraId="43B0C4B7">
      <w:pPr>
        <w:spacing w:line="360" w:lineRule="auto"/>
        <w:ind w:right="-26"/>
        <w:jc w:val="center"/>
        <w:rPr>
          <w:rFonts w:hint="eastAsia" w:ascii="宋体" w:hAnsi="宋体" w:eastAsia="宋体" w:cs="宋体"/>
          <w:b/>
          <w:bCs/>
          <w:kern w:val="2"/>
          <w:sz w:val="48"/>
          <w:szCs w:val="48"/>
          <w:lang w:val="zh-CN"/>
        </w:rPr>
      </w:pPr>
    </w:p>
    <w:p w14:paraId="51F4CCB9">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宋体" w:hAnsi="宋体" w:eastAsia="宋体" w:cs="宋体"/>
          <w:b/>
          <w:bCs/>
          <w:kern w:val="2"/>
          <w:sz w:val="48"/>
          <w:szCs w:val="48"/>
          <w:lang w:eastAsia="zh-CN"/>
        </w:rPr>
      </w:pPr>
      <w:r>
        <w:rPr>
          <w:rFonts w:hint="eastAsia" w:ascii="宋体" w:hAnsi="宋体" w:eastAsia="宋体" w:cs="宋体"/>
          <w:b/>
          <w:bCs/>
          <w:kern w:val="2"/>
          <w:sz w:val="48"/>
          <w:szCs w:val="48"/>
          <w:lang w:eastAsia="zh-CN"/>
        </w:rPr>
        <w:t>东莞市污泥集中处理处置项目调试期</w:t>
      </w:r>
    </w:p>
    <w:p w14:paraId="57CFDDF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宋体" w:hAnsi="宋体" w:eastAsia="宋体" w:cs="宋体"/>
          <w:b/>
          <w:bCs/>
          <w:kern w:val="2"/>
          <w:sz w:val="48"/>
          <w:szCs w:val="48"/>
          <w:lang w:eastAsia="zh-CN"/>
        </w:rPr>
      </w:pPr>
      <w:r>
        <w:rPr>
          <w:rFonts w:hint="eastAsia" w:ascii="宋体" w:hAnsi="宋体" w:eastAsia="宋体" w:cs="宋体"/>
          <w:b/>
          <w:bCs/>
          <w:kern w:val="2"/>
          <w:sz w:val="48"/>
          <w:szCs w:val="48"/>
          <w:lang w:eastAsia="zh-CN"/>
        </w:rPr>
        <w:t>污泥运输服务采购项目</w:t>
      </w:r>
    </w:p>
    <w:p w14:paraId="40D0A52B">
      <w:pPr>
        <w:spacing w:line="360" w:lineRule="auto"/>
        <w:ind w:right="-26"/>
        <w:jc w:val="center"/>
        <w:rPr>
          <w:rFonts w:hint="eastAsia" w:ascii="宋体" w:hAnsi="宋体" w:eastAsia="宋体" w:cs="宋体"/>
          <w:b/>
          <w:bCs/>
          <w:kern w:val="2"/>
          <w:sz w:val="48"/>
          <w:szCs w:val="48"/>
        </w:rPr>
      </w:pPr>
    </w:p>
    <w:p w14:paraId="4ACC9F80">
      <w:pPr>
        <w:spacing w:line="360" w:lineRule="auto"/>
        <w:ind w:right="-26"/>
        <w:jc w:val="center"/>
        <w:rPr>
          <w:rFonts w:hint="eastAsia" w:ascii="宋体" w:hAnsi="宋体" w:eastAsia="宋体" w:cs="宋体"/>
          <w:b/>
          <w:bCs/>
          <w:kern w:val="2"/>
          <w:sz w:val="48"/>
          <w:szCs w:val="48"/>
          <w:lang w:val="zh-CN"/>
        </w:rPr>
      </w:pPr>
      <w:r>
        <w:rPr>
          <w:rFonts w:hint="eastAsia" w:ascii="宋体" w:hAnsi="宋体" w:eastAsia="宋体" w:cs="宋体"/>
          <w:b/>
          <w:bCs/>
          <w:kern w:val="2"/>
          <w:sz w:val="48"/>
          <w:szCs w:val="48"/>
          <w:lang w:val="zh-CN"/>
        </w:rPr>
        <w:t>询价文件</w:t>
      </w:r>
    </w:p>
    <w:p w14:paraId="270FD575">
      <w:pPr>
        <w:spacing w:line="360" w:lineRule="auto"/>
        <w:ind w:right="-26"/>
        <w:jc w:val="center"/>
        <w:rPr>
          <w:rFonts w:hint="eastAsia" w:ascii="宋体" w:hAnsi="宋体" w:eastAsia="宋体" w:cs="宋体"/>
          <w:b/>
          <w:bCs/>
          <w:kern w:val="2"/>
          <w:sz w:val="48"/>
          <w:szCs w:val="48"/>
          <w:lang w:val="zh-CN"/>
        </w:rPr>
      </w:pPr>
    </w:p>
    <w:p w14:paraId="257CA8D2">
      <w:pPr>
        <w:spacing w:line="360" w:lineRule="auto"/>
        <w:ind w:right="-26"/>
        <w:jc w:val="center"/>
        <w:rPr>
          <w:rFonts w:hint="eastAsia" w:ascii="宋体" w:hAnsi="宋体" w:eastAsia="宋体" w:cs="宋体"/>
          <w:b/>
          <w:bCs/>
          <w:kern w:val="2"/>
          <w:sz w:val="48"/>
          <w:szCs w:val="48"/>
          <w:lang w:val="zh-CN"/>
        </w:rPr>
      </w:pPr>
    </w:p>
    <w:p w14:paraId="3A65466C">
      <w:pPr>
        <w:spacing w:line="360" w:lineRule="auto"/>
        <w:ind w:right="-26"/>
        <w:jc w:val="center"/>
        <w:rPr>
          <w:rFonts w:hint="eastAsia" w:ascii="宋体" w:hAnsi="宋体" w:eastAsia="宋体" w:cs="宋体"/>
          <w:b/>
          <w:bCs/>
          <w:kern w:val="2"/>
          <w:sz w:val="48"/>
          <w:szCs w:val="48"/>
          <w:lang w:val="zh-CN"/>
        </w:rPr>
      </w:pPr>
    </w:p>
    <w:p w14:paraId="5A4B77AC">
      <w:pPr>
        <w:spacing w:line="360" w:lineRule="auto"/>
        <w:ind w:right="-26"/>
        <w:jc w:val="center"/>
        <w:rPr>
          <w:rFonts w:hint="eastAsia" w:ascii="宋体" w:hAnsi="宋体" w:eastAsia="宋体" w:cs="宋体"/>
          <w:b/>
          <w:bCs/>
          <w:kern w:val="2"/>
          <w:sz w:val="48"/>
          <w:szCs w:val="48"/>
          <w:lang w:val="zh-CN"/>
        </w:rPr>
      </w:pPr>
    </w:p>
    <w:p w14:paraId="1C3AE48B">
      <w:pPr>
        <w:spacing w:line="360" w:lineRule="auto"/>
        <w:ind w:right="-26"/>
        <w:jc w:val="center"/>
        <w:rPr>
          <w:rFonts w:hint="eastAsia" w:ascii="宋体" w:hAnsi="宋体" w:eastAsia="宋体" w:cs="宋体"/>
          <w:b/>
          <w:bCs/>
          <w:kern w:val="2"/>
          <w:sz w:val="48"/>
          <w:szCs w:val="48"/>
          <w:lang w:val="zh-CN"/>
        </w:rPr>
      </w:pPr>
    </w:p>
    <w:p w14:paraId="1A5E60EB">
      <w:pPr>
        <w:spacing w:line="360" w:lineRule="auto"/>
        <w:ind w:right="-26"/>
        <w:jc w:val="center"/>
        <w:rPr>
          <w:rFonts w:hint="eastAsia" w:ascii="宋体" w:hAnsi="宋体" w:eastAsia="宋体" w:cs="宋体"/>
          <w:b/>
          <w:bCs/>
          <w:kern w:val="2"/>
          <w:sz w:val="48"/>
          <w:szCs w:val="48"/>
          <w:lang w:val="zh-CN"/>
        </w:rPr>
      </w:pPr>
    </w:p>
    <w:p w14:paraId="31B8E898">
      <w:pPr>
        <w:spacing w:line="360" w:lineRule="auto"/>
        <w:ind w:right="-26"/>
        <w:jc w:val="center"/>
        <w:rPr>
          <w:rFonts w:hint="eastAsia" w:ascii="宋体" w:hAnsi="宋体" w:eastAsia="宋体" w:cs="宋体"/>
          <w:b/>
          <w:bCs/>
          <w:kern w:val="2"/>
          <w:sz w:val="48"/>
          <w:szCs w:val="48"/>
          <w:lang w:val="zh-CN"/>
        </w:rPr>
      </w:pPr>
    </w:p>
    <w:p w14:paraId="0D3EAC6D">
      <w:pPr>
        <w:spacing w:after="156" w:line="360" w:lineRule="auto"/>
        <w:jc w:val="center"/>
        <w:rPr>
          <w:rFonts w:hint="eastAsia" w:ascii="宋体" w:hAnsi="宋体" w:eastAsia="宋体" w:cs="宋体"/>
          <w:b/>
          <w:bCs/>
          <w:spacing w:val="28"/>
          <w:sz w:val="32"/>
          <w:szCs w:val="32"/>
        </w:rPr>
      </w:pPr>
      <w:bookmarkStart w:id="0" w:name="_Hlk26971294"/>
    </w:p>
    <w:p w14:paraId="44062BD9">
      <w:pPr>
        <w:spacing w:after="156" w:line="360" w:lineRule="auto"/>
        <w:jc w:val="center"/>
        <w:rPr>
          <w:rFonts w:hint="eastAsia" w:ascii="宋体" w:hAnsi="宋体" w:eastAsia="宋体" w:cs="宋体"/>
          <w:b/>
          <w:bCs/>
          <w:spacing w:val="28"/>
          <w:sz w:val="32"/>
          <w:szCs w:val="32"/>
        </w:rPr>
      </w:pPr>
    </w:p>
    <w:p w14:paraId="1979439F">
      <w:pPr>
        <w:spacing w:after="156" w:line="360" w:lineRule="auto"/>
        <w:jc w:val="center"/>
        <w:rPr>
          <w:rFonts w:hint="eastAsia" w:ascii="宋体" w:hAnsi="宋体" w:eastAsia="宋体" w:cs="宋体"/>
          <w:b/>
          <w:bCs/>
          <w:spacing w:val="28"/>
          <w:sz w:val="32"/>
          <w:szCs w:val="32"/>
        </w:rPr>
      </w:pPr>
    </w:p>
    <w:p w14:paraId="358608B6">
      <w:pPr>
        <w:spacing w:after="156" w:line="360" w:lineRule="auto"/>
        <w:jc w:val="center"/>
        <w:rPr>
          <w:rFonts w:hint="eastAsia" w:ascii="宋体" w:hAnsi="宋体" w:eastAsia="宋体" w:cs="宋体"/>
          <w:b/>
          <w:bCs/>
          <w:sz w:val="32"/>
          <w:szCs w:val="32"/>
        </w:rPr>
      </w:pPr>
      <w:r>
        <w:rPr>
          <w:rFonts w:hint="eastAsia" w:ascii="宋体" w:hAnsi="宋体" w:eastAsia="宋体" w:cs="宋体"/>
          <w:b/>
          <w:bCs/>
          <w:spacing w:val="28"/>
          <w:sz w:val="32"/>
          <w:szCs w:val="32"/>
        </w:rPr>
        <w:t>东莞市水务环境投资控股集团净水有限公司</w:t>
      </w:r>
    </w:p>
    <w:bookmarkEnd w:id="0"/>
    <w:p w14:paraId="13783752">
      <w:pPr>
        <w:spacing w:after="156" w:line="360" w:lineRule="auto"/>
        <w:jc w:val="center"/>
        <w:rPr>
          <w:rFonts w:hint="eastAsia" w:ascii="宋体" w:hAnsi="宋体" w:eastAsia="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宋体" w:hAnsi="宋体" w:eastAsia="宋体" w:cs="宋体"/>
          <w:b/>
          <w:bCs/>
          <w:kern w:val="2"/>
          <w:sz w:val="32"/>
          <w:szCs w:val="32"/>
          <w:lang w:val="zh-CN"/>
        </w:rPr>
        <w:t>202</w:t>
      </w:r>
      <w:r>
        <w:rPr>
          <w:rFonts w:hint="eastAsia" w:ascii="宋体" w:hAnsi="宋体" w:eastAsia="宋体" w:cs="宋体"/>
          <w:b/>
          <w:bCs/>
          <w:kern w:val="2"/>
          <w:sz w:val="32"/>
          <w:szCs w:val="32"/>
          <w:lang w:val="en-US" w:eastAsia="zh-CN"/>
        </w:rPr>
        <w:t>6</w:t>
      </w:r>
      <w:r>
        <w:rPr>
          <w:rFonts w:hint="eastAsia" w:ascii="宋体" w:hAnsi="宋体" w:eastAsia="宋体" w:cs="宋体"/>
          <w:b/>
          <w:bCs/>
          <w:kern w:val="2"/>
          <w:sz w:val="32"/>
          <w:szCs w:val="32"/>
          <w:lang w:val="zh-CN"/>
        </w:rPr>
        <w:t>年</w:t>
      </w:r>
      <w:r>
        <w:rPr>
          <w:rFonts w:hint="eastAsia" w:hAnsi="宋体" w:cs="宋体"/>
          <w:b/>
          <w:bCs/>
          <w:kern w:val="2"/>
          <w:sz w:val="32"/>
          <w:szCs w:val="32"/>
          <w:lang w:val="en-US" w:eastAsia="zh-CN"/>
        </w:rPr>
        <w:t>1</w:t>
      </w:r>
      <w:r>
        <w:rPr>
          <w:rFonts w:hint="eastAsia" w:ascii="宋体" w:hAnsi="宋体" w:eastAsia="宋体" w:cs="宋体"/>
          <w:b/>
          <w:bCs/>
          <w:kern w:val="2"/>
          <w:sz w:val="32"/>
          <w:szCs w:val="32"/>
          <w:lang w:val="zh-CN"/>
        </w:rPr>
        <w:t>月</w:t>
      </w:r>
      <w:r>
        <w:rPr>
          <w:rFonts w:hint="eastAsia" w:hAnsi="宋体" w:cs="宋体"/>
          <w:b/>
          <w:bCs/>
          <w:kern w:val="2"/>
          <w:sz w:val="32"/>
          <w:szCs w:val="32"/>
          <w:lang w:val="en-US" w:eastAsia="zh-CN"/>
        </w:rPr>
        <w:t>15</w:t>
      </w:r>
      <w:r>
        <w:rPr>
          <w:rFonts w:hint="eastAsia" w:ascii="宋体" w:hAnsi="宋体" w:eastAsia="宋体" w:cs="宋体"/>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eastAsia" w:ascii="宋体" w:hAnsi="宋体" w:eastAsia="宋体" w:cs="宋体"/>
          <w:b/>
          <w:bCs/>
          <w:color w:val="auto"/>
          <w:sz w:val="24"/>
          <w:szCs w:val="24"/>
          <w:lang w:val="zh-CN"/>
        </w:rPr>
      </w:sdtEndPr>
      <w:sdtContent>
        <w:p w14:paraId="27761A57">
          <w:pPr>
            <w:pStyle w:val="30"/>
            <w:spacing w:before="0"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57217FDB">
          <w:pPr>
            <w:pStyle w:val="14"/>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 TOC \o "1-3" \h \z \u </w:instrText>
          </w:r>
          <w:r>
            <w:rPr>
              <w:rFonts w:hint="eastAsia" w:ascii="宋体" w:hAnsi="宋体" w:eastAsia="宋体" w:cs="宋体"/>
              <w:sz w:val="40"/>
              <w:szCs w:val="40"/>
            </w:rPr>
            <w:fldChar w:fldCharType="separate"/>
          </w:r>
          <w:r>
            <w:rPr>
              <w:rFonts w:hint="eastAsia" w:ascii="宋体" w:hAnsi="宋体" w:eastAsia="宋体" w:cs="宋体"/>
              <w:szCs w:val="40"/>
            </w:rPr>
            <w:fldChar w:fldCharType="begin"/>
          </w:r>
          <w:r>
            <w:rPr>
              <w:rFonts w:hint="eastAsia" w:ascii="宋体" w:hAnsi="宋体" w:eastAsia="宋体" w:cs="宋体"/>
              <w:szCs w:val="40"/>
            </w:rPr>
            <w:instrText xml:space="preserve"> HYPERLINK \l _Toc8874 </w:instrText>
          </w:r>
          <w:r>
            <w:rPr>
              <w:rFonts w:hint="eastAsia" w:ascii="宋体" w:hAnsi="宋体" w:eastAsia="宋体" w:cs="宋体"/>
              <w:szCs w:val="40"/>
            </w:rPr>
            <w:fldChar w:fldCharType="separate"/>
          </w:r>
          <w:r>
            <w:rPr>
              <w:rFonts w:hint="eastAsia" w:ascii="宋体" w:hAnsi="宋体" w:eastAsia="宋体" w:cs="宋体"/>
              <w:szCs w:val="32"/>
            </w:rPr>
            <w:t>第一章 询价邀请函</w:t>
          </w:r>
          <w:r>
            <w:tab/>
          </w:r>
          <w:r>
            <w:fldChar w:fldCharType="begin"/>
          </w:r>
          <w:r>
            <w:instrText xml:space="preserve"> PAGEREF _Toc8874 \h </w:instrText>
          </w:r>
          <w:r>
            <w:fldChar w:fldCharType="separate"/>
          </w:r>
          <w:r>
            <w:t>3</w:t>
          </w:r>
          <w:r>
            <w:fldChar w:fldCharType="end"/>
          </w:r>
          <w:r>
            <w:rPr>
              <w:rFonts w:hint="eastAsia" w:ascii="宋体" w:hAnsi="宋体" w:eastAsia="宋体" w:cs="宋体"/>
              <w:szCs w:val="40"/>
            </w:rPr>
            <w:fldChar w:fldCharType="end"/>
          </w:r>
        </w:p>
        <w:p w14:paraId="7D53D15B">
          <w:pPr>
            <w:pStyle w:val="14"/>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_Toc10513 </w:instrText>
          </w:r>
          <w:r>
            <w:rPr>
              <w:rFonts w:hint="eastAsia" w:ascii="宋体" w:hAnsi="宋体" w:eastAsia="宋体" w:cs="宋体"/>
              <w:szCs w:val="40"/>
              <w:lang w:val="zh-CN"/>
            </w:rPr>
            <w:fldChar w:fldCharType="separate"/>
          </w:r>
          <w:r>
            <w:rPr>
              <w:rFonts w:hint="eastAsia" w:ascii="宋体" w:hAnsi="宋体" w:eastAsia="宋体" w:cs="宋体"/>
              <w:szCs w:val="32"/>
            </w:rPr>
            <w:t>第二章 用户需求</w:t>
          </w:r>
          <w:r>
            <w:tab/>
          </w:r>
          <w:r>
            <w:fldChar w:fldCharType="begin"/>
          </w:r>
          <w:r>
            <w:instrText xml:space="preserve"> PAGEREF _Toc10513 \h </w:instrText>
          </w:r>
          <w:r>
            <w:fldChar w:fldCharType="separate"/>
          </w:r>
          <w:r>
            <w:t>4</w:t>
          </w:r>
          <w:r>
            <w:fldChar w:fldCharType="end"/>
          </w:r>
          <w:r>
            <w:rPr>
              <w:rFonts w:hint="eastAsia" w:ascii="宋体" w:hAnsi="宋体" w:eastAsia="宋体" w:cs="宋体"/>
              <w:szCs w:val="40"/>
              <w:lang w:val="zh-CN"/>
            </w:rPr>
            <w:fldChar w:fldCharType="end"/>
          </w:r>
        </w:p>
        <w:p w14:paraId="1EE29196">
          <w:pPr>
            <w:pStyle w:val="14"/>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_Toc19044 </w:instrText>
          </w:r>
          <w:r>
            <w:rPr>
              <w:rFonts w:hint="eastAsia" w:ascii="宋体" w:hAnsi="宋体" w:eastAsia="宋体" w:cs="宋体"/>
              <w:szCs w:val="40"/>
              <w:lang w:val="zh-CN"/>
            </w:rPr>
            <w:fldChar w:fldCharType="separate"/>
          </w:r>
          <w:r>
            <w:rPr>
              <w:rFonts w:hint="eastAsia" w:ascii="宋体" w:hAnsi="宋体" w:eastAsia="宋体" w:cs="宋体"/>
              <w:szCs w:val="32"/>
            </w:rPr>
            <w:t>第三章 合同条款</w:t>
          </w:r>
          <w:r>
            <w:tab/>
          </w:r>
          <w:r>
            <w:fldChar w:fldCharType="begin"/>
          </w:r>
          <w:r>
            <w:instrText xml:space="preserve"> PAGEREF _Toc19044 \h </w:instrText>
          </w:r>
          <w:r>
            <w:fldChar w:fldCharType="separate"/>
          </w:r>
          <w:r>
            <w:t>9</w:t>
          </w:r>
          <w:r>
            <w:fldChar w:fldCharType="end"/>
          </w:r>
          <w:r>
            <w:rPr>
              <w:rFonts w:hint="eastAsia" w:ascii="宋体" w:hAnsi="宋体" w:eastAsia="宋体" w:cs="宋体"/>
              <w:szCs w:val="40"/>
              <w:lang w:val="zh-CN"/>
            </w:rPr>
            <w:fldChar w:fldCharType="end"/>
          </w:r>
        </w:p>
        <w:p w14:paraId="288AD109">
          <w:pPr>
            <w:pStyle w:val="14"/>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_Toc19461 </w:instrText>
          </w:r>
          <w:r>
            <w:rPr>
              <w:rFonts w:hint="eastAsia" w:ascii="宋体" w:hAnsi="宋体" w:eastAsia="宋体" w:cs="宋体"/>
              <w:szCs w:val="40"/>
              <w:lang w:val="zh-CN"/>
            </w:rPr>
            <w:fldChar w:fldCharType="separate"/>
          </w:r>
          <w:r>
            <w:rPr>
              <w:rFonts w:hint="eastAsia" w:ascii="宋体" w:hAnsi="宋体" w:eastAsia="宋体" w:cs="宋体"/>
              <w:szCs w:val="32"/>
            </w:rPr>
            <w:t>第四章 报价须知</w:t>
          </w:r>
          <w:r>
            <w:tab/>
          </w:r>
          <w:r>
            <w:fldChar w:fldCharType="begin"/>
          </w:r>
          <w:r>
            <w:instrText xml:space="preserve"> PAGEREF _Toc19461 \h </w:instrText>
          </w:r>
          <w:r>
            <w:fldChar w:fldCharType="separate"/>
          </w:r>
          <w:r>
            <w:t>36</w:t>
          </w:r>
          <w:r>
            <w:fldChar w:fldCharType="end"/>
          </w:r>
          <w:r>
            <w:rPr>
              <w:rFonts w:hint="eastAsia" w:ascii="宋体" w:hAnsi="宋体" w:eastAsia="宋体" w:cs="宋体"/>
              <w:szCs w:val="40"/>
              <w:lang w:val="zh-CN"/>
            </w:rPr>
            <w:fldChar w:fldCharType="end"/>
          </w:r>
        </w:p>
        <w:p w14:paraId="5C7ABD8C">
          <w:pPr>
            <w:pStyle w:val="14"/>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_Toc19652 </w:instrText>
          </w:r>
          <w:r>
            <w:rPr>
              <w:rFonts w:hint="eastAsia" w:ascii="宋体" w:hAnsi="宋体" w:eastAsia="宋体" w:cs="宋体"/>
              <w:szCs w:val="40"/>
              <w:lang w:val="zh-CN"/>
            </w:rPr>
            <w:fldChar w:fldCharType="separate"/>
          </w:r>
          <w:r>
            <w:rPr>
              <w:rFonts w:hint="eastAsia" w:ascii="宋体" w:hAnsi="宋体" w:eastAsia="宋体" w:cs="宋体"/>
              <w:szCs w:val="32"/>
            </w:rPr>
            <w:t>第五章 报价文件（格式）</w:t>
          </w:r>
          <w:r>
            <w:tab/>
          </w:r>
          <w:r>
            <w:fldChar w:fldCharType="begin"/>
          </w:r>
          <w:r>
            <w:instrText xml:space="preserve"> PAGEREF _Toc19652 \h </w:instrText>
          </w:r>
          <w:r>
            <w:fldChar w:fldCharType="separate"/>
          </w:r>
          <w:r>
            <w:t>38</w:t>
          </w:r>
          <w:r>
            <w:fldChar w:fldCharType="end"/>
          </w:r>
          <w:r>
            <w:rPr>
              <w:rFonts w:hint="eastAsia" w:ascii="宋体" w:hAnsi="宋体" w:eastAsia="宋体" w:cs="宋体"/>
              <w:szCs w:val="40"/>
              <w:lang w:val="zh-CN"/>
            </w:rPr>
            <w:fldChar w:fldCharType="end"/>
          </w:r>
        </w:p>
        <w:p w14:paraId="2C5FCF5B">
          <w:pPr>
            <w:spacing w:line="360" w:lineRule="auto"/>
            <w:rPr>
              <w:rFonts w:hint="eastAsia" w:ascii="宋体" w:hAnsi="宋体" w:eastAsia="宋体" w:cs="宋体"/>
              <w:sz w:val="32"/>
              <w:szCs w:val="32"/>
            </w:rPr>
            <w:sectPr>
              <w:pgSz w:w="11906" w:h="16838"/>
              <w:pgMar w:top="1440" w:right="1803" w:bottom="1440" w:left="1803" w:header="851" w:footer="992" w:gutter="0"/>
              <w:cols w:space="0" w:num="1"/>
              <w:docGrid w:type="lines" w:linePitch="332" w:charSpace="0"/>
            </w:sectPr>
          </w:pPr>
          <w:r>
            <w:rPr>
              <w:rFonts w:hint="eastAsia" w:ascii="宋体" w:hAnsi="宋体" w:eastAsia="宋体" w:cs="宋体"/>
              <w:szCs w:val="40"/>
              <w:lang w:val="zh-CN"/>
            </w:rPr>
            <w:fldChar w:fldCharType="end"/>
          </w:r>
        </w:p>
      </w:sdtContent>
    </w:sdt>
    <w:p w14:paraId="3076CB0C">
      <w:pPr>
        <w:pStyle w:val="3"/>
        <w:spacing w:before="0" w:after="0"/>
        <w:jc w:val="center"/>
        <w:rPr>
          <w:rFonts w:hint="eastAsia" w:ascii="宋体" w:hAnsi="宋体" w:eastAsia="宋体" w:cs="宋体"/>
          <w:b w:val="0"/>
          <w:bCs w:val="0"/>
          <w:szCs w:val="32"/>
        </w:rPr>
      </w:pPr>
      <w:bookmarkStart w:id="1" w:name="_Toc8874"/>
      <w:r>
        <w:rPr>
          <w:rFonts w:hint="eastAsia" w:ascii="宋体" w:hAnsi="宋体" w:eastAsia="宋体" w:cs="宋体"/>
          <w:szCs w:val="32"/>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440" w:lineRule="exact"/>
        <w:textAlignment w:val="auto"/>
        <w:rPr>
          <w:rFonts w:hint="eastAsia" w:ascii="宋体" w:hAnsi="宋体" w:eastAsia="宋体" w:cs="宋体"/>
        </w:rPr>
      </w:pPr>
      <w:r>
        <w:rPr>
          <w:rFonts w:hint="eastAsia" w:ascii="宋体" w:hAnsi="宋体" w:eastAsia="宋体" w:cs="宋体"/>
        </w:rPr>
        <w:t>各供应商：</w:t>
      </w:r>
    </w:p>
    <w:p w14:paraId="50A2790C">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w:t>
      </w:r>
      <w:r>
        <w:rPr>
          <w:rFonts w:hint="eastAsia" w:ascii="宋体" w:hAnsi="宋体" w:eastAsia="宋体" w:cs="宋体"/>
          <w:u w:val="single"/>
          <w:lang w:eastAsia="zh-CN"/>
        </w:rPr>
        <w:t>东莞市污泥集中处理处置项目调试期污泥运输服务采购项目</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lang w:val="en-US" w:eastAsia="zh-CN"/>
        </w:rPr>
      </w:pPr>
      <w:r>
        <w:rPr>
          <w:rFonts w:hint="eastAsia" w:ascii="宋体" w:hAnsi="宋体" w:eastAsia="宋体" w:cs="宋体"/>
        </w:rPr>
        <w:t>一、采购项目编号</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JS-2026-007</w:t>
      </w:r>
    </w:p>
    <w:p w14:paraId="24DCD19E">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lang w:eastAsia="zh-CN"/>
        </w:rPr>
      </w:pPr>
      <w:r>
        <w:rPr>
          <w:rFonts w:hint="eastAsia" w:ascii="宋体" w:hAnsi="宋体" w:eastAsia="宋体" w:cs="宋体"/>
        </w:rPr>
        <w:t>二、采购项目名称：</w:t>
      </w:r>
      <w:r>
        <w:rPr>
          <w:rFonts w:hint="eastAsia" w:ascii="宋体" w:hAnsi="宋体" w:eastAsia="宋体" w:cs="宋体"/>
          <w:lang w:eastAsia="zh-CN"/>
        </w:rPr>
        <w:t>东莞市污泥集中处理处置项目调试期污泥运输服务采购项目</w:t>
      </w:r>
    </w:p>
    <w:p w14:paraId="4662596A">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lang w:eastAsia="zh-CN"/>
        </w:rPr>
      </w:pPr>
      <w:r>
        <w:rPr>
          <w:rFonts w:hint="eastAsia" w:ascii="宋体" w:hAnsi="宋体" w:eastAsia="宋体" w:cs="宋体"/>
        </w:rPr>
        <w:t>三、采购预算</w:t>
      </w:r>
      <w:r>
        <w:rPr>
          <w:rFonts w:hint="eastAsia" w:ascii="宋体" w:hAnsi="宋体" w:eastAsia="宋体" w:cs="宋体"/>
          <w:b/>
          <w:bCs/>
        </w:rPr>
        <w:t>：</w:t>
      </w:r>
      <w:r>
        <w:rPr>
          <w:rFonts w:hint="eastAsia" w:ascii="宋体" w:hAnsi="宋体" w:eastAsia="宋体" w:cs="宋体"/>
          <w:b/>
          <w:bCs w:val="0"/>
          <w:color w:val="000000"/>
          <w:szCs w:val="21"/>
        </w:rPr>
        <w:t>不含税的最高限价</w:t>
      </w:r>
      <w:r>
        <w:rPr>
          <w:rFonts w:hint="eastAsia" w:ascii="宋体" w:hAnsi="宋体" w:eastAsia="宋体" w:cs="宋体"/>
          <w:b/>
          <w:bCs w:val="0"/>
          <w:color w:val="000000"/>
          <w:szCs w:val="21"/>
          <w:lang w:val="en-US" w:eastAsia="zh-CN"/>
        </w:rPr>
        <w:t>为0.79元/（吨•公里）</w:t>
      </w:r>
      <w:r>
        <w:rPr>
          <w:rFonts w:hint="eastAsia" w:ascii="宋体" w:hAnsi="宋体" w:eastAsia="宋体" w:cs="宋体"/>
          <w:b/>
          <w:bCs w:val="0"/>
          <w:color w:val="000000"/>
          <w:szCs w:val="21"/>
          <w:lang w:eastAsia="zh-CN"/>
        </w:rPr>
        <w:t>。</w:t>
      </w:r>
    </w:p>
    <w:p w14:paraId="460D0821">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rPr>
      </w:pPr>
      <w:r>
        <w:rPr>
          <w:rFonts w:hint="eastAsia" w:ascii="宋体" w:hAnsi="宋体" w:eastAsia="宋体" w:cs="宋体"/>
        </w:rPr>
        <w:t>四、采购内容：</w:t>
      </w:r>
      <w:r>
        <w:rPr>
          <w:rFonts w:hint="eastAsia" w:ascii="宋体" w:hAnsi="宋体" w:eastAsia="宋体" w:cs="宋体"/>
          <w:u w:val="single"/>
        </w:rPr>
        <w:t>污泥</w:t>
      </w:r>
      <w:r>
        <w:rPr>
          <w:rFonts w:hint="eastAsia" w:ascii="宋体" w:hAnsi="宋体" w:eastAsia="宋体" w:cs="宋体"/>
          <w:u w:val="single"/>
          <w:lang w:val="en-US" w:eastAsia="zh-CN"/>
        </w:rPr>
        <w:t>运输服务</w:t>
      </w:r>
      <w:r>
        <w:rPr>
          <w:rFonts w:hint="eastAsia" w:ascii="宋体" w:hAnsi="宋体" w:eastAsia="宋体" w:cs="宋体"/>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rPr>
      </w:pPr>
      <w:r>
        <w:rPr>
          <w:rFonts w:hint="eastAsia" w:ascii="宋体" w:hAnsi="宋体" w:eastAsia="宋体" w:cs="宋体"/>
        </w:rPr>
        <w:t>五、资质要求：</w:t>
      </w:r>
    </w:p>
    <w:p w14:paraId="35AD0F7E">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jc w:val="left"/>
        <w:textAlignment w:val="auto"/>
        <w:rPr>
          <w:rFonts w:hint="eastAsia" w:ascii="宋体" w:hAnsi="宋体" w:eastAsia="宋体" w:cs="宋体"/>
        </w:rPr>
      </w:pPr>
      <w:r>
        <w:rPr>
          <w:rFonts w:hint="eastAsia" w:ascii="宋体" w:hAnsi="宋体" w:eastAsia="宋体" w:cs="宋体"/>
        </w:rPr>
        <w:t>1.报价人自</w:t>
      </w:r>
      <w:r>
        <w:rPr>
          <w:rFonts w:hint="eastAsia" w:ascii="宋体" w:hAnsi="宋体" w:eastAsia="宋体" w:cs="宋体"/>
          <w:lang w:eastAsia="zh-CN"/>
        </w:rPr>
        <w:t>2023年1月1日</w:t>
      </w:r>
      <w:r>
        <w:rPr>
          <w:rFonts w:hint="eastAsia" w:ascii="宋体" w:hAnsi="宋体" w:eastAsia="宋体" w:cs="宋体"/>
        </w:rPr>
        <w:t>以来，至少具备一</w:t>
      </w:r>
      <w:r>
        <w:rPr>
          <w:rFonts w:hint="eastAsia" w:ascii="宋体" w:hAnsi="宋体" w:eastAsia="宋体" w:cs="宋体"/>
          <w:lang w:val="en-US" w:eastAsia="zh-CN"/>
        </w:rPr>
        <w:t>份运输服务项目</w:t>
      </w:r>
      <w:r>
        <w:rPr>
          <w:rFonts w:hint="eastAsia" w:ascii="宋体" w:hAnsi="宋体" w:eastAsia="宋体" w:cs="宋体"/>
        </w:rPr>
        <w:t>业绩（合同签订日期为</w:t>
      </w:r>
      <w:r>
        <w:rPr>
          <w:rFonts w:hint="eastAsia" w:ascii="宋体" w:hAnsi="宋体" w:eastAsia="宋体" w:cs="宋体"/>
          <w:lang w:eastAsia="zh-CN"/>
        </w:rPr>
        <w:t>2023年1月1日</w:t>
      </w:r>
      <w:r>
        <w:rPr>
          <w:rFonts w:hint="eastAsia" w:ascii="宋体" w:hAnsi="宋体" w:eastAsia="宋体" w:cs="宋体"/>
        </w:rPr>
        <w:t>或以后）；</w:t>
      </w:r>
    </w:p>
    <w:p w14:paraId="603EF5DB">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rPr>
      </w:pPr>
      <w:r>
        <w:rPr>
          <w:rFonts w:hint="eastAsia" w:ascii="宋体" w:hAnsi="宋体" w:eastAsia="宋体" w:cs="宋体"/>
        </w:rPr>
        <w:t>2.报价人未被列入“信用中国”网站（www.creditchina.gov.cn）失信被执行人、重大税收违法失信主体、政府采购严重违法失信行为记录名单（处罚期限届满的除外）。</w:t>
      </w:r>
    </w:p>
    <w:p w14:paraId="7CFDC4E8">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、成交原则：</w:t>
      </w:r>
      <w:r>
        <w:rPr>
          <w:rFonts w:hint="eastAsia" w:ascii="宋体" w:hAnsi="宋体" w:eastAsia="宋体" w:cs="宋体"/>
          <w:b/>
        </w:rPr>
        <w:t>从实质性满足采购需求的供应商中，按不含税</w:t>
      </w:r>
      <w:r>
        <w:rPr>
          <w:rFonts w:hint="eastAsia" w:ascii="宋体" w:hAnsi="宋体" w:eastAsia="宋体" w:cs="宋体"/>
          <w:b/>
          <w:lang w:val="en-US" w:eastAsia="zh-CN"/>
        </w:rPr>
        <w:t>综合单价</w:t>
      </w:r>
      <w:r>
        <w:rPr>
          <w:rFonts w:hint="eastAsia" w:ascii="宋体" w:hAnsi="宋体" w:eastAsia="宋体" w:cs="宋体"/>
          <w:b/>
        </w:rPr>
        <w:t>最低成交原则确定成交供应商</w:t>
      </w:r>
      <w:r>
        <w:rPr>
          <w:rFonts w:hint="eastAsia" w:ascii="宋体" w:hAnsi="宋体" w:eastAsia="宋体" w:cs="宋体"/>
        </w:rPr>
        <w:t>。</w:t>
      </w:r>
    </w:p>
    <w:p w14:paraId="2E780034">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、报价文件递交截止时间：</w:t>
      </w:r>
      <w:bookmarkStart w:id="2" w:name="_Hlk27138379"/>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16</w:t>
      </w:r>
      <w:r>
        <w:rPr>
          <w:rFonts w:hint="eastAsia" w:ascii="宋体" w:hAnsi="宋体" w:eastAsia="宋体" w:cs="宋体"/>
          <w:color w:val="000000" w:themeColor="text1"/>
          <w14:textFill>
            <w14:solidFill>
              <w14:schemeClr w14:val="tx1"/>
            </w14:solidFill>
          </w14:textFill>
        </w:rPr>
        <w:t>日</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eastAsia="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分</w:t>
      </w:r>
      <w:bookmarkEnd w:id="2"/>
      <w:r>
        <w:rPr>
          <w:rFonts w:hint="eastAsia" w:ascii="宋体" w:hAnsi="宋体" w:eastAsia="宋体" w:cs="宋体"/>
          <w:color w:val="000000" w:themeColor="text1"/>
          <w14:textFill>
            <w14:solidFill>
              <w14:schemeClr w14:val="tx1"/>
            </w14:solidFill>
          </w14:textFill>
        </w:rPr>
        <w:t>。</w:t>
      </w:r>
    </w:p>
    <w:p w14:paraId="4CAC918C">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、报价文件递交地点：东莞市水务环境投资控股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w:t>
      </w:r>
      <w:r>
        <w:rPr>
          <w:rFonts w:hint="eastAsia" w:ascii="宋体" w:hAnsi="宋体" w:eastAsia="宋体" w:cs="宋体"/>
          <w:color w:val="000000" w:themeColor="text1"/>
          <w:lang w:val="en-US" w:eastAsia="zh-CN"/>
          <w14:textFill>
            <w14:solidFill>
              <w14:schemeClr w14:val="tx1"/>
            </w14:solidFill>
          </w14:textFill>
        </w:rPr>
        <w:t>招标成本部</w:t>
      </w:r>
      <w:r>
        <w:rPr>
          <w:rFonts w:hint="eastAsia" w:ascii="宋体" w:hAnsi="宋体" w:eastAsia="宋体" w:cs="宋体"/>
          <w:color w:val="000000" w:themeColor="text1"/>
          <w14:textFill>
            <w14:solidFill>
              <w14:schemeClr w14:val="tx1"/>
            </w14:solidFill>
          </w14:textFill>
        </w:rPr>
        <w:t>。</w:t>
      </w:r>
    </w:p>
    <w:p w14:paraId="13588CB7">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、报价文件开封时间：202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16</w:t>
      </w:r>
      <w:r>
        <w:rPr>
          <w:rFonts w:hint="eastAsia" w:ascii="宋体" w:hAnsi="宋体" w:eastAsia="宋体" w:cs="宋体"/>
          <w:color w:val="000000" w:themeColor="text1"/>
          <w14:textFill>
            <w14:solidFill>
              <w14:schemeClr w14:val="tx1"/>
            </w14:solidFill>
          </w14:textFill>
        </w:rPr>
        <w:t>日</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eastAsia="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分。</w:t>
      </w:r>
    </w:p>
    <w:p w14:paraId="471B0EB0">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、开封地点：东莞市水务环境投资控股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司4楼开标室。</w:t>
      </w:r>
    </w:p>
    <w:p w14:paraId="740F5757">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w:t>
      </w:r>
      <w:r>
        <w:rPr>
          <w:rFonts w:hint="eastAsia" w:ascii="宋体" w:hAnsi="宋体" w:eastAsia="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14:textFill>
            <w14:solidFill>
              <w14:schemeClr w14:val="tx1"/>
            </w14:solidFill>
          </w14:textFill>
        </w:rPr>
        <w:t>、采购人联系方式：</w:t>
      </w:r>
    </w:p>
    <w:p w14:paraId="0B96A9E8">
      <w:pPr>
        <w:keepNext w:val="0"/>
        <w:keepLines w:val="0"/>
        <w:pageBreakBefore w:val="0"/>
        <w:widowControl w:val="0"/>
        <w:kinsoku/>
        <w:overflowPunct/>
        <w:topLinePunct w:val="0"/>
        <w:autoSpaceDE w:val="0"/>
        <w:autoSpaceDN w:val="0"/>
        <w:bidi w:val="0"/>
        <w:adjustRightInd w:val="0"/>
        <w:snapToGrid/>
        <w:spacing w:line="440" w:lineRule="exact"/>
        <w:ind w:left="566" w:leftChars="236" w:firstLine="285"/>
        <w:textAlignment w:val="auto"/>
        <w:rPr>
          <w:rFonts w:hint="eastAsia" w:ascii="宋体" w:hAnsi="宋体" w:eastAsia="宋体" w:cs="宋体"/>
          <w:color w:val="000000" w:themeColor="text1"/>
          <w:lang w:val="en-US" w:eastAsia="zh-CN"/>
          <w14:textFill>
            <w14:solidFill>
              <w14:schemeClr w14:val="tx1"/>
            </w14:solidFill>
          </w14:textFill>
        </w:rPr>
      </w:pPr>
      <w:bookmarkStart w:id="3" w:name="_Hlk27138405"/>
      <w:r>
        <w:rPr>
          <w:rFonts w:hint="eastAsia" w:ascii="宋体" w:hAnsi="宋体" w:eastAsia="宋体" w:cs="宋体"/>
          <w:color w:val="000000" w:themeColor="text1"/>
          <w14:textFill>
            <w14:solidFill>
              <w14:schemeClr w14:val="tx1"/>
            </w14:solidFill>
          </w14:textFill>
        </w:rPr>
        <w:t>采购联系人：</w:t>
      </w:r>
      <w:r>
        <w:rPr>
          <w:rFonts w:hint="eastAsia" w:ascii="宋体" w:hAnsi="宋体" w:eastAsia="宋体" w:cs="宋体"/>
          <w:color w:val="000000" w:themeColor="text1"/>
          <w:lang w:val="en-US" w:eastAsia="zh-CN"/>
          <w14:textFill>
            <w14:solidFill>
              <w14:schemeClr w14:val="tx1"/>
            </w14:solidFill>
          </w14:textFill>
        </w:rPr>
        <w:t>莫佩欣</w:t>
      </w:r>
    </w:p>
    <w:p w14:paraId="2E00E227">
      <w:pPr>
        <w:keepNext w:val="0"/>
        <w:keepLines w:val="0"/>
        <w:pageBreakBefore w:val="0"/>
        <w:widowControl w:val="0"/>
        <w:kinsoku/>
        <w:overflowPunct/>
        <w:topLinePunct w:val="0"/>
        <w:autoSpaceDE w:val="0"/>
        <w:autoSpaceDN w:val="0"/>
        <w:bidi w:val="0"/>
        <w:adjustRightInd w:val="0"/>
        <w:snapToGrid/>
        <w:spacing w:line="440" w:lineRule="exact"/>
        <w:ind w:left="566" w:leftChars="236" w:firstLine="285"/>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r>
        <w:rPr>
          <w:rFonts w:hint="eastAsia" w:ascii="宋体" w:hAnsi="宋体" w:eastAsia="宋体" w:cs="宋体"/>
          <w:color w:val="000000" w:themeColor="text1"/>
          <w:lang w:val="en-US" w:eastAsia="zh-CN"/>
          <w14:textFill>
            <w14:solidFill>
              <w14:schemeClr w14:val="tx1"/>
            </w14:solidFill>
          </w14:textFill>
        </w:rPr>
        <w:t>0769-2328 6160</w:t>
      </w:r>
    </w:p>
    <w:p w14:paraId="5E4E917E">
      <w:pPr>
        <w:keepNext w:val="0"/>
        <w:keepLines w:val="0"/>
        <w:pageBreakBefore w:val="0"/>
        <w:widowControl w:val="0"/>
        <w:kinsoku/>
        <w:overflowPunct/>
        <w:topLinePunct w:val="0"/>
        <w:autoSpaceDE w:val="0"/>
        <w:autoSpaceDN w:val="0"/>
        <w:bidi w:val="0"/>
        <w:adjustRightInd w:val="0"/>
        <w:snapToGrid/>
        <w:spacing w:line="440" w:lineRule="exact"/>
        <w:ind w:left="566" w:leftChars="236" w:firstLine="285"/>
        <w:textAlignment w:val="auto"/>
        <w:rPr>
          <w:rFonts w:hint="eastAsia" w:ascii="宋体" w:hAnsi="宋体" w:eastAsia="宋体" w:cs="宋体"/>
          <w:lang w:val="en-US" w:eastAsia="zh-CN"/>
        </w:rPr>
      </w:pPr>
      <w:r>
        <w:rPr>
          <w:rFonts w:hint="eastAsia" w:ascii="宋体" w:hAnsi="宋体" w:eastAsia="宋体" w:cs="宋体"/>
          <w:color w:val="000000" w:themeColor="text1"/>
          <w14:textFill>
            <w14:solidFill>
              <w14:schemeClr w14:val="tx1"/>
            </w14:solidFill>
          </w14:textFill>
        </w:rPr>
        <w:t>联系地址：东莞市南城街道滨河路100号（东莞市水务环境投资控股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w:t>
      </w:r>
      <w:bookmarkEnd w:id="3"/>
      <w:r>
        <w:rPr>
          <w:rFonts w:hint="eastAsia" w:ascii="宋体" w:hAnsi="宋体" w:eastAsia="宋体" w:cs="宋体"/>
          <w:color w:val="000000" w:themeColor="text1"/>
          <w:lang w:val="en-US" w:eastAsia="zh-CN"/>
          <w14:textFill>
            <w14:solidFill>
              <w14:schemeClr w14:val="tx1"/>
            </w14:solidFill>
          </w14:textFill>
        </w:rPr>
        <w:tab/>
      </w:r>
    </w:p>
    <w:p w14:paraId="2C3B7999">
      <w:pPr>
        <w:keepNext w:val="0"/>
        <w:keepLines w:val="0"/>
        <w:pageBreakBefore w:val="0"/>
        <w:widowControl w:val="0"/>
        <w:kinsoku/>
        <w:overflowPunct/>
        <w:topLinePunct w:val="0"/>
        <w:autoSpaceDE w:val="0"/>
        <w:autoSpaceDN w:val="0"/>
        <w:bidi w:val="0"/>
        <w:adjustRightInd w:val="0"/>
        <w:snapToGrid/>
        <w:spacing w:line="440" w:lineRule="exact"/>
        <w:jc w:val="right"/>
        <w:textAlignment w:val="auto"/>
        <w:rPr>
          <w:rFonts w:hint="eastAsia" w:ascii="宋体" w:hAnsi="宋体" w:eastAsia="宋体" w:cs="宋体"/>
          <w:color w:val="000000" w:themeColor="text1"/>
          <w14:textFill>
            <w14:solidFill>
              <w14:schemeClr w14:val="tx1"/>
            </w14:solidFill>
          </w14:textFill>
        </w:rPr>
      </w:pPr>
      <w:bookmarkStart w:id="4" w:name="_Hlk27138410"/>
      <w:r>
        <w:rPr>
          <w:rFonts w:hint="eastAsia" w:ascii="宋体" w:hAnsi="宋体" w:eastAsia="宋体" w:cs="宋体"/>
          <w:color w:val="000000" w:themeColor="text1"/>
          <w14:textFill>
            <w14:solidFill>
              <w14:schemeClr w14:val="tx1"/>
            </w14:solidFill>
          </w14:textFill>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1</w:t>
      </w:r>
      <w:bookmarkStart w:id="14" w:name="_GoBack"/>
      <w:bookmarkEnd w:id="14"/>
      <w:r>
        <w:rPr>
          <w:rFonts w:hint="eastAsia" w:ascii="宋体" w:hAnsi="宋体" w:eastAsia="宋体" w:cs="宋体"/>
          <w:color w:val="000000" w:themeColor="text1"/>
          <w:lang w:val="en-US" w:eastAsia="zh-CN"/>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 xml:space="preserve">日      </w:t>
      </w:r>
      <w:bookmarkEnd w:id="4"/>
    </w:p>
    <w:p w14:paraId="3F2D2CB8">
      <w:pPr>
        <w:spacing w:line="360" w:lineRule="auto"/>
        <w:rPr>
          <w:rFonts w:hint="eastAsia" w:ascii="宋体" w:hAnsi="宋体" w:eastAsia="宋体" w:cs="宋体"/>
        </w:rPr>
        <w:sectPr>
          <w:pgSz w:w="11906" w:h="16838"/>
          <w:pgMar w:top="1440" w:right="1803" w:bottom="1440" w:left="1803" w:header="851" w:footer="992" w:gutter="0"/>
          <w:cols w:space="0" w:num="1"/>
          <w:docGrid w:type="lines" w:linePitch="332" w:charSpace="0"/>
        </w:sectPr>
      </w:pPr>
    </w:p>
    <w:p w14:paraId="2F5152C0">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5" w:name="_Toc10513"/>
      <w:r>
        <w:rPr>
          <w:rFonts w:hint="eastAsia" w:ascii="宋体" w:hAnsi="宋体" w:eastAsia="宋体" w:cs="宋体"/>
          <w:szCs w:val="32"/>
        </w:rPr>
        <w:t>第二章 用户需求</w:t>
      </w:r>
      <w:bookmarkEnd w:id="5"/>
    </w:p>
    <w:p w14:paraId="2B07832F">
      <w:pPr>
        <w:bidi w:val="0"/>
        <w:rPr>
          <w:rFonts w:hint="eastAsia" w:ascii="宋体" w:hAnsi="宋体" w:eastAsia="宋体" w:cs="宋体"/>
        </w:rPr>
      </w:pPr>
    </w:p>
    <w:p w14:paraId="7EE4A68A">
      <w:pPr>
        <w:bidi w:val="0"/>
        <w:jc w:val="center"/>
        <w:rPr>
          <w:rFonts w:hint="eastAsia" w:ascii="宋体" w:hAnsi="宋体" w:eastAsia="宋体" w:cs="宋体"/>
          <w:b/>
          <w:bCs/>
          <w:spacing w:val="-11"/>
          <w:sz w:val="32"/>
          <w:szCs w:val="32"/>
          <w:lang w:val="en-US" w:eastAsia="zh-CN"/>
        </w:rPr>
      </w:pPr>
      <w:r>
        <w:rPr>
          <w:rFonts w:hint="eastAsia" w:ascii="宋体" w:hAnsi="宋体" w:eastAsia="宋体" w:cs="宋体"/>
          <w:b/>
          <w:bCs/>
          <w:spacing w:val="-11"/>
          <w:sz w:val="32"/>
          <w:szCs w:val="32"/>
          <w:lang w:val="en-US" w:eastAsia="zh-CN"/>
        </w:rPr>
        <w:t>东莞市污泥集中处理处置项目调试期污泥运输服务采购项目</w:t>
      </w:r>
    </w:p>
    <w:p w14:paraId="198A2F6B">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用户需求书</w:t>
      </w:r>
    </w:p>
    <w:p w14:paraId="4EBD2EB0">
      <w:pPr>
        <w:bidi w:val="0"/>
        <w:rPr>
          <w:rFonts w:hint="eastAsia" w:ascii="宋体" w:hAnsi="宋体" w:eastAsia="宋体" w:cs="宋体"/>
          <w:sz w:val="24"/>
          <w:szCs w:val="24"/>
          <w:lang w:val="en-US" w:eastAsia="zh-CN" w:bidi="ar-SA"/>
        </w:rPr>
      </w:pPr>
    </w:p>
    <w:p w14:paraId="0B21C0BC">
      <w:pPr>
        <w:bidi w:val="0"/>
        <w:rPr>
          <w:rFonts w:hint="eastAsia" w:ascii="宋体" w:hAnsi="宋体" w:eastAsia="宋体" w:cs="宋体"/>
          <w:lang w:val="en-US" w:eastAsia="zh-CN"/>
        </w:rPr>
      </w:pPr>
    </w:p>
    <w:p w14:paraId="2AC1B2CD">
      <w:pPr>
        <w:keepNext w:val="0"/>
        <w:keepLines w:val="0"/>
        <w:widowControl/>
        <w:numPr>
          <w:ilvl w:val="0"/>
          <w:numId w:val="1"/>
        </w:numPr>
        <w:suppressLineNumbers w:val="0"/>
        <w:kinsoku w:val="0"/>
        <w:autoSpaceDE w:val="0"/>
        <w:autoSpaceDN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bCs/>
          <w:color w:val="000000"/>
          <w:kern w:val="0"/>
          <w:sz w:val="21"/>
          <w:szCs w:val="21"/>
          <w:vertAlign w:val="baseline"/>
        </w:rPr>
      </w:pPr>
      <w:r>
        <w:rPr>
          <w:rFonts w:hint="eastAsia" w:ascii="宋体" w:hAnsi="宋体" w:eastAsia="宋体" w:cs="宋体"/>
          <w:b/>
          <w:bCs/>
          <w:snapToGrid/>
          <w:color w:val="000000"/>
          <w:kern w:val="0"/>
          <w:sz w:val="21"/>
          <w:szCs w:val="21"/>
          <w:vertAlign w:val="baseline"/>
          <w:lang w:val="en-US" w:eastAsia="zh-CN" w:bidi="ar"/>
        </w:rPr>
        <w:t>项目概况</w:t>
      </w:r>
    </w:p>
    <w:p w14:paraId="44C0AB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由东莞市尚源环能科技有限公司负责投资建设的东莞市污泥集中处理处置项目（下称“污泥项目”，地址是广东省东莞市沙田镇立沙中路（东莞市丰业固体废物处理中心北面））将于2026年上半年进行调试，因此计划取部分污水处理厂运营过程中产生的含水率约60%污泥（下称“半干污泥”）转运至污泥项目现场进行测试，并将完成测试的半干污泥运回污水处理厂，以保障污泥妥善处理处置。</w:t>
      </w:r>
    </w:p>
    <w:p w14:paraId="5D5483A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2、调试需求量暂定为800吨，根据实际测试进度安排进行运输。列入调试范围的污水处理厂清单如下：</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2"/>
        <w:gridCol w:w="3804"/>
        <w:gridCol w:w="1479"/>
        <w:gridCol w:w="1306"/>
        <w:gridCol w:w="1311"/>
        <w:gridCol w:w="1040"/>
      </w:tblGrid>
      <w:tr w14:paraId="6900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58" w:type="pct"/>
            <w:tcBorders>
              <w:top w:val="single" w:color="auto" w:sz="8" w:space="0"/>
              <w:left w:val="single" w:color="auto" w:sz="8" w:space="0"/>
              <w:bottom w:val="single" w:color="auto" w:sz="4" w:space="0"/>
              <w:right w:val="single" w:color="auto" w:sz="4" w:space="0"/>
            </w:tcBorders>
            <w:shd w:val="clear" w:color="auto" w:fill="auto"/>
            <w:noWrap/>
            <w:vAlign w:val="center"/>
          </w:tcPr>
          <w:p w14:paraId="49912C1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序号</w:t>
            </w:r>
          </w:p>
        </w:tc>
        <w:tc>
          <w:tcPr>
            <w:tcW w:w="1932" w:type="pct"/>
            <w:tcBorders>
              <w:top w:val="single" w:color="auto" w:sz="8" w:space="0"/>
              <w:left w:val="nil"/>
              <w:bottom w:val="single" w:color="auto" w:sz="4" w:space="0"/>
              <w:right w:val="single" w:color="auto" w:sz="4" w:space="0"/>
            </w:tcBorders>
            <w:shd w:val="clear" w:color="auto" w:fill="auto"/>
            <w:vAlign w:val="center"/>
          </w:tcPr>
          <w:p w14:paraId="09197F9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污水厂名称</w:t>
            </w:r>
          </w:p>
        </w:tc>
        <w:tc>
          <w:tcPr>
            <w:tcW w:w="751" w:type="pct"/>
            <w:tcBorders>
              <w:top w:val="single" w:color="auto" w:sz="8" w:space="0"/>
              <w:left w:val="nil"/>
              <w:bottom w:val="single" w:color="auto" w:sz="4" w:space="0"/>
              <w:right w:val="single" w:color="auto" w:sz="4" w:space="0"/>
            </w:tcBorders>
            <w:shd w:val="clear" w:color="auto" w:fill="auto"/>
            <w:vAlign w:val="center"/>
          </w:tcPr>
          <w:p w14:paraId="3E7C82C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污泥日产量t/d</w:t>
            </w:r>
          </w:p>
        </w:tc>
        <w:tc>
          <w:tcPr>
            <w:tcW w:w="663" w:type="pct"/>
            <w:tcBorders>
              <w:top w:val="single" w:color="auto" w:sz="8" w:space="0"/>
              <w:left w:val="nil"/>
              <w:bottom w:val="single" w:color="auto" w:sz="4" w:space="0"/>
              <w:right w:val="single" w:color="auto" w:sz="4" w:space="0"/>
            </w:tcBorders>
            <w:shd w:val="clear" w:color="auto" w:fill="auto"/>
            <w:vAlign w:val="center"/>
          </w:tcPr>
          <w:p w14:paraId="6DA2771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平均含水率%</w:t>
            </w:r>
          </w:p>
        </w:tc>
        <w:tc>
          <w:tcPr>
            <w:tcW w:w="666" w:type="pct"/>
            <w:tcBorders>
              <w:top w:val="single" w:color="auto" w:sz="8" w:space="0"/>
              <w:left w:val="nil"/>
              <w:bottom w:val="single" w:color="auto" w:sz="4" w:space="0"/>
              <w:right w:val="single" w:color="auto" w:sz="4" w:space="0"/>
            </w:tcBorders>
            <w:shd w:val="clear" w:color="auto" w:fill="auto"/>
            <w:vAlign w:val="center"/>
          </w:tcPr>
          <w:p w14:paraId="4A34C32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运输距离（Km）</w:t>
            </w:r>
          </w:p>
        </w:tc>
        <w:tc>
          <w:tcPr>
            <w:tcW w:w="528" w:type="pct"/>
            <w:tcBorders>
              <w:top w:val="single" w:color="auto" w:sz="8" w:space="0"/>
              <w:left w:val="nil"/>
              <w:bottom w:val="single" w:color="auto" w:sz="4" w:space="0"/>
              <w:right w:val="single" w:color="auto" w:sz="8" w:space="0"/>
            </w:tcBorders>
            <w:shd w:val="clear" w:color="auto" w:fill="auto"/>
            <w:vAlign w:val="center"/>
          </w:tcPr>
          <w:p w14:paraId="5DCB9EA8">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备注</w:t>
            </w:r>
          </w:p>
        </w:tc>
      </w:tr>
      <w:tr w14:paraId="4DED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4AAD5CB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1</w:t>
            </w:r>
          </w:p>
        </w:tc>
        <w:tc>
          <w:tcPr>
            <w:tcW w:w="1932" w:type="pct"/>
            <w:tcBorders>
              <w:top w:val="nil"/>
              <w:left w:val="nil"/>
              <w:bottom w:val="single" w:color="auto" w:sz="4" w:space="0"/>
              <w:right w:val="single" w:color="auto" w:sz="4" w:space="0"/>
            </w:tcBorders>
            <w:shd w:val="clear" w:color="auto" w:fill="auto"/>
            <w:noWrap/>
            <w:vAlign w:val="center"/>
          </w:tcPr>
          <w:p w14:paraId="0AFBB83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东莞市凤岗镇雁田污水处理厂</w:t>
            </w:r>
          </w:p>
        </w:tc>
        <w:tc>
          <w:tcPr>
            <w:tcW w:w="751" w:type="pct"/>
            <w:tcBorders>
              <w:top w:val="nil"/>
              <w:left w:val="nil"/>
              <w:bottom w:val="single" w:color="auto" w:sz="4" w:space="0"/>
              <w:right w:val="single" w:color="auto" w:sz="4" w:space="0"/>
            </w:tcBorders>
            <w:shd w:val="clear" w:color="auto" w:fill="auto"/>
            <w:noWrap/>
            <w:vAlign w:val="center"/>
          </w:tcPr>
          <w:p w14:paraId="6547A78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22</w:t>
            </w:r>
          </w:p>
        </w:tc>
        <w:tc>
          <w:tcPr>
            <w:tcW w:w="663" w:type="pct"/>
            <w:tcBorders>
              <w:top w:val="nil"/>
              <w:left w:val="nil"/>
              <w:bottom w:val="single" w:color="auto" w:sz="4" w:space="0"/>
              <w:right w:val="single" w:color="auto" w:sz="4" w:space="0"/>
            </w:tcBorders>
            <w:shd w:val="clear" w:color="auto" w:fill="auto"/>
            <w:noWrap/>
            <w:vAlign w:val="center"/>
          </w:tcPr>
          <w:p w14:paraId="17D3851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00474F0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83.30</w:t>
            </w:r>
          </w:p>
        </w:tc>
        <w:tc>
          <w:tcPr>
            <w:tcW w:w="528" w:type="pct"/>
            <w:tcBorders>
              <w:top w:val="nil"/>
              <w:left w:val="nil"/>
              <w:bottom w:val="single" w:color="auto" w:sz="4" w:space="0"/>
              <w:right w:val="single" w:color="auto" w:sz="8" w:space="0"/>
            </w:tcBorders>
            <w:shd w:val="clear" w:color="auto" w:fill="auto"/>
            <w:noWrap/>
            <w:vAlign w:val="center"/>
          </w:tcPr>
          <w:p w14:paraId="03A27AB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2EBF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6F1350D8">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w:t>
            </w:r>
          </w:p>
        </w:tc>
        <w:tc>
          <w:tcPr>
            <w:tcW w:w="1932" w:type="pct"/>
            <w:tcBorders>
              <w:top w:val="nil"/>
              <w:left w:val="nil"/>
              <w:bottom w:val="single" w:color="auto" w:sz="4" w:space="0"/>
              <w:right w:val="single" w:color="auto" w:sz="4" w:space="0"/>
            </w:tcBorders>
            <w:shd w:val="clear" w:color="auto" w:fill="auto"/>
            <w:noWrap/>
            <w:vAlign w:val="center"/>
          </w:tcPr>
          <w:p w14:paraId="64A4311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东莞市塘厦镇林村污水处理厂</w:t>
            </w:r>
          </w:p>
        </w:tc>
        <w:tc>
          <w:tcPr>
            <w:tcW w:w="751" w:type="pct"/>
            <w:tcBorders>
              <w:top w:val="nil"/>
              <w:left w:val="nil"/>
              <w:bottom w:val="single" w:color="auto" w:sz="4" w:space="0"/>
              <w:right w:val="single" w:color="auto" w:sz="4" w:space="0"/>
            </w:tcBorders>
            <w:shd w:val="clear" w:color="auto" w:fill="auto"/>
            <w:noWrap/>
            <w:vAlign w:val="center"/>
          </w:tcPr>
          <w:p w14:paraId="6DB7BFF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58</w:t>
            </w:r>
          </w:p>
        </w:tc>
        <w:tc>
          <w:tcPr>
            <w:tcW w:w="663" w:type="pct"/>
            <w:tcBorders>
              <w:top w:val="nil"/>
              <w:left w:val="nil"/>
              <w:bottom w:val="single" w:color="auto" w:sz="4" w:space="0"/>
              <w:right w:val="single" w:color="auto" w:sz="4" w:space="0"/>
            </w:tcBorders>
            <w:shd w:val="clear" w:color="auto" w:fill="auto"/>
            <w:noWrap/>
            <w:vAlign w:val="center"/>
          </w:tcPr>
          <w:p w14:paraId="400782A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6BBA21D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70.10</w:t>
            </w:r>
          </w:p>
        </w:tc>
        <w:tc>
          <w:tcPr>
            <w:tcW w:w="528" w:type="pct"/>
            <w:tcBorders>
              <w:top w:val="nil"/>
              <w:left w:val="nil"/>
              <w:bottom w:val="single" w:color="auto" w:sz="4" w:space="0"/>
              <w:right w:val="single" w:color="auto" w:sz="8" w:space="0"/>
            </w:tcBorders>
            <w:shd w:val="clear" w:color="auto" w:fill="auto"/>
            <w:noWrap/>
            <w:vAlign w:val="bottom"/>
          </w:tcPr>
          <w:p w14:paraId="1F0C65A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5A61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0A90A0D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3</w:t>
            </w:r>
          </w:p>
        </w:tc>
        <w:tc>
          <w:tcPr>
            <w:tcW w:w="1932" w:type="pct"/>
            <w:tcBorders>
              <w:top w:val="nil"/>
              <w:left w:val="nil"/>
              <w:bottom w:val="single" w:color="auto" w:sz="4" w:space="0"/>
              <w:right w:val="single" w:color="auto" w:sz="4" w:space="0"/>
            </w:tcBorders>
            <w:shd w:val="clear" w:color="auto" w:fill="auto"/>
            <w:noWrap/>
            <w:vAlign w:val="center"/>
          </w:tcPr>
          <w:p w14:paraId="2EFB97E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东莞市塘厦镇石桥头污水处理厂</w:t>
            </w:r>
          </w:p>
        </w:tc>
        <w:tc>
          <w:tcPr>
            <w:tcW w:w="751" w:type="pct"/>
            <w:tcBorders>
              <w:top w:val="nil"/>
              <w:left w:val="nil"/>
              <w:bottom w:val="single" w:color="auto" w:sz="4" w:space="0"/>
              <w:right w:val="single" w:color="auto" w:sz="4" w:space="0"/>
            </w:tcBorders>
            <w:shd w:val="clear" w:color="auto" w:fill="auto"/>
            <w:noWrap/>
            <w:vAlign w:val="center"/>
          </w:tcPr>
          <w:p w14:paraId="230E2B1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21</w:t>
            </w:r>
          </w:p>
        </w:tc>
        <w:tc>
          <w:tcPr>
            <w:tcW w:w="663" w:type="pct"/>
            <w:tcBorders>
              <w:top w:val="nil"/>
              <w:left w:val="nil"/>
              <w:bottom w:val="single" w:color="auto" w:sz="4" w:space="0"/>
              <w:right w:val="single" w:color="auto" w:sz="4" w:space="0"/>
            </w:tcBorders>
            <w:shd w:val="clear" w:color="auto" w:fill="auto"/>
            <w:noWrap/>
            <w:vAlign w:val="center"/>
          </w:tcPr>
          <w:p w14:paraId="3F46D94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23F854B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73.50</w:t>
            </w:r>
          </w:p>
        </w:tc>
        <w:tc>
          <w:tcPr>
            <w:tcW w:w="528" w:type="pct"/>
            <w:tcBorders>
              <w:top w:val="nil"/>
              <w:left w:val="nil"/>
              <w:bottom w:val="single" w:color="auto" w:sz="4" w:space="0"/>
              <w:right w:val="single" w:color="auto" w:sz="8" w:space="0"/>
            </w:tcBorders>
            <w:shd w:val="clear" w:color="auto" w:fill="auto"/>
            <w:noWrap/>
            <w:vAlign w:val="bottom"/>
          </w:tcPr>
          <w:p w14:paraId="567CEF5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0B51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52F2FD1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4</w:t>
            </w:r>
          </w:p>
        </w:tc>
        <w:tc>
          <w:tcPr>
            <w:tcW w:w="1932" w:type="pct"/>
            <w:tcBorders>
              <w:top w:val="nil"/>
              <w:left w:val="nil"/>
              <w:bottom w:val="single" w:color="auto" w:sz="4" w:space="0"/>
              <w:right w:val="single" w:color="auto" w:sz="4" w:space="0"/>
            </w:tcBorders>
            <w:shd w:val="clear" w:color="auto" w:fill="auto"/>
            <w:noWrap/>
            <w:vAlign w:val="center"/>
          </w:tcPr>
          <w:p w14:paraId="2D37973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东莞市南畲朗污水处理厂</w:t>
            </w:r>
          </w:p>
        </w:tc>
        <w:tc>
          <w:tcPr>
            <w:tcW w:w="751" w:type="pct"/>
            <w:tcBorders>
              <w:top w:val="nil"/>
              <w:left w:val="nil"/>
              <w:bottom w:val="single" w:color="auto" w:sz="4" w:space="0"/>
              <w:right w:val="single" w:color="auto" w:sz="4" w:space="0"/>
            </w:tcBorders>
            <w:shd w:val="clear" w:color="auto" w:fill="auto"/>
            <w:noWrap/>
            <w:vAlign w:val="center"/>
          </w:tcPr>
          <w:p w14:paraId="2F6E510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42</w:t>
            </w:r>
          </w:p>
        </w:tc>
        <w:tc>
          <w:tcPr>
            <w:tcW w:w="663" w:type="pct"/>
            <w:tcBorders>
              <w:top w:val="nil"/>
              <w:left w:val="nil"/>
              <w:bottom w:val="single" w:color="auto" w:sz="4" w:space="0"/>
              <w:right w:val="single" w:color="auto" w:sz="4" w:space="0"/>
            </w:tcBorders>
            <w:shd w:val="clear" w:color="auto" w:fill="auto"/>
            <w:noWrap/>
            <w:vAlign w:val="center"/>
          </w:tcPr>
          <w:p w14:paraId="2044A25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4C95405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46.00</w:t>
            </w:r>
          </w:p>
        </w:tc>
        <w:tc>
          <w:tcPr>
            <w:tcW w:w="528" w:type="pct"/>
            <w:tcBorders>
              <w:top w:val="nil"/>
              <w:left w:val="nil"/>
              <w:bottom w:val="single" w:color="auto" w:sz="4" w:space="0"/>
              <w:right w:val="single" w:color="auto" w:sz="8" w:space="0"/>
            </w:tcBorders>
            <w:shd w:val="clear" w:color="auto" w:fill="auto"/>
            <w:noWrap/>
            <w:vAlign w:val="bottom"/>
          </w:tcPr>
          <w:p w14:paraId="66648798">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3290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6C1952C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5</w:t>
            </w:r>
          </w:p>
        </w:tc>
        <w:tc>
          <w:tcPr>
            <w:tcW w:w="1932" w:type="pct"/>
            <w:tcBorders>
              <w:top w:val="nil"/>
              <w:left w:val="nil"/>
              <w:bottom w:val="single" w:color="auto" w:sz="4" w:space="0"/>
              <w:right w:val="single" w:color="auto" w:sz="4" w:space="0"/>
            </w:tcBorders>
            <w:shd w:val="clear" w:color="auto" w:fill="auto"/>
            <w:noWrap/>
            <w:vAlign w:val="center"/>
          </w:tcPr>
          <w:p w14:paraId="2D3E3F7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东莞市大岭山连马污水处理厂</w:t>
            </w:r>
          </w:p>
        </w:tc>
        <w:tc>
          <w:tcPr>
            <w:tcW w:w="751" w:type="pct"/>
            <w:tcBorders>
              <w:top w:val="nil"/>
              <w:left w:val="nil"/>
              <w:bottom w:val="single" w:color="auto" w:sz="4" w:space="0"/>
              <w:right w:val="single" w:color="auto" w:sz="4" w:space="0"/>
            </w:tcBorders>
            <w:shd w:val="clear" w:color="auto" w:fill="auto"/>
            <w:noWrap/>
            <w:vAlign w:val="center"/>
          </w:tcPr>
          <w:p w14:paraId="3B0B6E8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27</w:t>
            </w:r>
          </w:p>
        </w:tc>
        <w:tc>
          <w:tcPr>
            <w:tcW w:w="663" w:type="pct"/>
            <w:tcBorders>
              <w:top w:val="nil"/>
              <w:left w:val="nil"/>
              <w:bottom w:val="single" w:color="auto" w:sz="4" w:space="0"/>
              <w:right w:val="single" w:color="auto" w:sz="4" w:space="0"/>
            </w:tcBorders>
            <w:shd w:val="clear" w:color="auto" w:fill="auto"/>
            <w:noWrap/>
            <w:vAlign w:val="center"/>
          </w:tcPr>
          <w:p w14:paraId="6E0604F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477B90D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40.00</w:t>
            </w:r>
          </w:p>
        </w:tc>
        <w:tc>
          <w:tcPr>
            <w:tcW w:w="528" w:type="pct"/>
            <w:tcBorders>
              <w:top w:val="nil"/>
              <w:left w:val="nil"/>
              <w:bottom w:val="single" w:color="auto" w:sz="4" w:space="0"/>
              <w:right w:val="single" w:color="auto" w:sz="8" w:space="0"/>
            </w:tcBorders>
            <w:shd w:val="clear" w:color="auto" w:fill="auto"/>
            <w:noWrap/>
            <w:vAlign w:val="bottom"/>
          </w:tcPr>
          <w:p w14:paraId="20755F6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4F69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018792C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6</w:t>
            </w:r>
          </w:p>
        </w:tc>
        <w:tc>
          <w:tcPr>
            <w:tcW w:w="1932" w:type="pct"/>
            <w:tcBorders>
              <w:top w:val="nil"/>
              <w:left w:val="nil"/>
              <w:bottom w:val="single" w:color="auto" w:sz="4" w:space="0"/>
              <w:right w:val="single" w:color="auto" w:sz="4" w:space="0"/>
            </w:tcBorders>
            <w:shd w:val="clear" w:color="auto" w:fill="auto"/>
            <w:noWrap/>
            <w:vAlign w:val="center"/>
          </w:tcPr>
          <w:p w14:paraId="79840A0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东莞市黄江污水处理厂二期</w:t>
            </w:r>
          </w:p>
        </w:tc>
        <w:tc>
          <w:tcPr>
            <w:tcW w:w="751" w:type="pct"/>
            <w:tcBorders>
              <w:top w:val="nil"/>
              <w:left w:val="nil"/>
              <w:bottom w:val="single" w:color="auto" w:sz="4" w:space="0"/>
              <w:right w:val="single" w:color="auto" w:sz="4" w:space="0"/>
            </w:tcBorders>
            <w:shd w:val="clear" w:color="auto" w:fill="auto"/>
            <w:noWrap/>
            <w:vAlign w:val="center"/>
          </w:tcPr>
          <w:p w14:paraId="6841857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25</w:t>
            </w:r>
          </w:p>
        </w:tc>
        <w:tc>
          <w:tcPr>
            <w:tcW w:w="663" w:type="pct"/>
            <w:tcBorders>
              <w:top w:val="nil"/>
              <w:left w:val="nil"/>
              <w:bottom w:val="single" w:color="auto" w:sz="4" w:space="0"/>
              <w:right w:val="single" w:color="auto" w:sz="4" w:space="0"/>
            </w:tcBorders>
            <w:shd w:val="clear" w:color="auto" w:fill="auto"/>
            <w:noWrap/>
            <w:vAlign w:val="center"/>
          </w:tcPr>
          <w:p w14:paraId="0A1621A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6ADCE71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54.50</w:t>
            </w:r>
          </w:p>
        </w:tc>
        <w:tc>
          <w:tcPr>
            <w:tcW w:w="528" w:type="pct"/>
            <w:tcBorders>
              <w:top w:val="nil"/>
              <w:left w:val="nil"/>
              <w:bottom w:val="single" w:color="auto" w:sz="4" w:space="0"/>
              <w:right w:val="single" w:color="auto" w:sz="8" w:space="0"/>
            </w:tcBorders>
            <w:shd w:val="clear" w:color="auto" w:fill="auto"/>
            <w:noWrap/>
            <w:vAlign w:val="bottom"/>
          </w:tcPr>
          <w:p w14:paraId="2C643DF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035D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6A4ECB8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7</w:t>
            </w:r>
          </w:p>
        </w:tc>
        <w:tc>
          <w:tcPr>
            <w:tcW w:w="1932" w:type="pct"/>
            <w:tcBorders>
              <w:top w:val="nil"/>
              <w:left w:val="nil"/>
              <w:bottom w:val="single" w:color="auto" w:sz="4" w:space="0"/>
              <w:right w:val="single" w:color="auto" w:sz="4" w:space="0"/>
            </w:tcBorders>
            <w:shd w:val="clear" w:color="auto" w:fill="auto"/>
            <w:vAlign w:val="center"/>
          </w:tcPr>
          <w:p w14:paraId="14BC6F7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东莞市长安新区污水处理厂</w:t>
            </w:r>
          </w:p>
        </w:tc>
        <w:tc>
          <w:tcPr>
            <w:tcW w:w="751" w:type="pct"/>
            <w:tcBorders>
              <w:top w:val="nil"/>
              <w:left w:val="nil"/>
              <w:bottom w:val="single" w:color="auto" w:sz="4" w:space="0"/>
              <w:right w:val="single" w:color="auto" w:sz="4" w:space="0"/>
            </w:tcBorders>
            <w:shd w:val="clear" w:color="auto" w:fill="auto"/>
            <w:noWrap/>
            <w:vAlign w:val="center"/>
          </w:tcPr>
          <w:p w14:paraId="534A1DA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48</w:t>
            </w:r>
          </w:p>
        </w:tc>
        <w:tc>
          <w:tcPr>
            <w:tcW w:w="663" w:type="pct"/>
            <w:tcBorders>
              <w:top w:val="nil"/>
              <w:left w:val="nil"/>
              <w:bottom w:val="single" w:color="auto" w:sz="4" w:space="0"/>
              <w:right w:val="single" w:color="auto" w:sz="4" w:space="0"/>
            </w:tcBorders>
            <w:shd w:val="clear" w:color="auto" w:fill="auto"/>
            <w:noWrap/>
            <w:vAlign w:val="center"/>
          </w:tcPr>
          <w:p w14:paraId="0757A61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5DE069F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37.40</w:t>
            </w:r>
          </w:p>
        </w:tc>
        <w:tc>
          <w:tcPr>
            <w:tcW w:w="528" w:type="pct"/>
            <w:tcBorders>
              <w:top w:val="nil"/>
              <w:left w:val="nil"/>
              <w:bottom w:val="single" w:color="auto" w:sz="4" w:space="0"/>
              <w:right w:val="single" w:color="auto" w:sz="8" w:space="0"/>
            </w:tcBorders>
            <w:shd w:val="clear" w:color="auto" w:fill="auto"/>
            <w:noWrap/>
            <w:vAlign w:val="bottom"/>
          </w:tcPr>
          <w:p w14:paraId="36651B5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0EB4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2F6AF54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8</w:t>
            </w:r>
          </w:p>
        </w:tc>
        <w:tc>
          <w:tcPr>
            <w:tcW w:w="1932" w:type="pct"/>
            <w:tcBorders>
              <w:top w:val="nil"/>
              <w:left w:val="nil"/>
              <w:bottom w:val="single" w:color="auto" w:sz="4" w:space="0"/>
              <w:right w:val="single" w:color="auto" w:sz="4" w:space="0"/>
            </w:tcBorders>
            <w:shd w:val="clear" w:color="auto" w:fill="auto"/>
            <w:vAlign w:val="center"/>
          </w:tcPr>
          <w:p w14:paraId="65AA304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东莞市市区污水处理厂</w:t>
            </w:r>
          </w:p>
        </w:tc>
        <w:tc>
          <w:tcPr>
            <w:tcW w:w="751" w:type="pct"/>
            <w:tcBorders>
              <w:top w:val="nil"/>
              <w:left w:val="nil"/>
              <w:bottom w:val="single" w:color="auto" w:sz="4" w:space="0"/>
              <w:right w:val="single" w:color="auto" w:sz="4" w:space="0"/>
            </w:tcBorders>
            <w:shd w:val="clear" w:color="auto" w:fill="auto"/>
            <w:noWrap/>
            <w:vAlign w:val="center"/>
          </w:tcPr>
          <w:p w14:paraId="30724DB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70</w:t>
            </w:r>
          </w:p>
        </w:tc>
        <w:tc>
          <w:tcPr>
            <w:tcW w:w="663" w:type="pct"/>
            <w:tcBorders>
              <w:top w:val="nil"/>
              <w:left w:val="nil"/>
              <w:bottom w:val="single" w:color="auto" w:sz="4" w:space="0"/>
              <w:right w:val="single" w:color="auto" w:sz="4" w:space="0"/>
            </w:tcBorders>
            <w:shd w:val="clear" w:color="auto" w:fill="auto"/>
            <w:noWrap/>
            <w:vAlign w:val="center"/>
          </w:tcPr>
          <w:p w14:paraId="5396A78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1A55516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20.60</w:t>
            </w:r>
          </w:p>
        </w:tc>
        <w:tc>
          <w:tcPr>
            <w:tcW w:w="528" w:type="pct"/>
            <w:tcBorders>
              <w:top w:val="nil"/>
              <w:left w:val="nil"/>
              <w:bottom w:val="single" w:color="auto" w:sz="4" w:space="0"/>
              <w:right w:val="single" w:color="auto" w:sz="8" w:space="0"/>
            </w:tcBorders>
            <w:shd w:val="clear" w:color="auto" w:fill="auto"/>
            <w:noWrap/>
            <w:vAlign w:val="center"/>
          </w:tcPr>
          <w:p w14:paraId="601798C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7DB9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779B579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9</w:t>
            </w:r>
          </w:p>
        </w:tc>
        <w:tc>
          <w:tcPr>
            <w:tcW w:w="1932" w:type="pct"/>
            <w:tcBorders>
              <w:top w:val="nil"/>
              <w:left w:val="nil"/>
              <w:bottom w:val="single" w:color="auto" w:sz="4" w:space="0"/>
              <w:right w:val="single" w:color="auto" w:sz="4" w:space="0"/>
            </w:tcBorders>
            <w:shd w:val="clear" w:color="auto" w:fill="auto"/>
            <w:vAlign w:val="center"/>
          </w:tcPr>
          <w:p w14:paraId="3B4C577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凤岗竹塘二、三期</w:t>
            </w:r>
          </w:p>
        </w:tc>
        <w:tc>
          <w:tcPr>
            <w:tcW w:w="751" w:type="pct"/>
            <w:tcBorders>
              <w:top w:val="nil"/>
              <w:left w:val="nil"/>
              <w:bottom w:val="single" w:color="auto" w:sz="4" w:space="0"/>
              <w:right w:val="single" w:color="auto" w:sz="4" w:space="0"/>
            </w:tcBorders>
            <w:shd w:val="clear" w:color="auto" w:fill="auto"/>
            <w:noWrap/>
            <w:vAlign w:val="center"/>
          </w:tcPr>
          <w:p w14:paraId="50631E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34</w:t>
            </w:r>
          </w:p>
        </w:tc>
        <w:tc>
          <w:tcPr>
            <w:tcW w:w="663" w:type="pct"/>
            <w:tcBorders>
              <w:top w:val="nil"/>
              <w:left w:val="nil"/>
              <w:bottom w:val="single" w:color="auto" w:sz="4" w:space="0"/>
              <w:right w:val="single" w:color="auto" w:sz="4" w:space="0"/>
            </w:tcBorders>
            <w:shd w:val="clear" w:color="auto" w:fill="auto"/>
            <w:noWrap/>
            <w:vAlign w:val="center"/>
          </w:tcPr>
          <w:p w14:paraId="7AF9A30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4A29ADD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78.6</w:t>
            </w:r>
          </w:p>
        </w:tc>
        <w:tc>
          <w:tcPr>
            <w:tcW w:w="528" w:type="pct"/>
            <w:tcBorders>
              <w:top w:val="nil"/>
              <w:left w:val="nil"/>
              <w:bottom w:val="single" w:color="auto" w:sz="4" w:space="0"/>
              <w:right w:val="single" w:color="auto" w:sz="8" w:space="0"/>
            </w:tcBorders>
            <w:shd w:val="clear" w:color="auto" w:fill="auto"/>
            <w:noWrap/>
            <w:vAlign w:val="center"/>
          </w:tcPr>
          <w:p w14:paraId="0775A55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653C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color="auto" w:fill="auto"/>
            <w:noWrap/>
            <w:vAlign w:val="center"/>
          </w:tcPr>
          <w:p w14:paraId="2007CE98">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10</w:t>
            </w:r>
          </w:p>
        </w:tc>
        <w:tc>
          <w:tcPr>
            <w:tcW w:w="1932" w:type="pct"/>
            <w:tcBorders>
              <w:top w:val="nil"/>
              <w:left w:val="nil"/>
              <w:bottom w:val="single" w:color="auto" w:sz="4" w:space="0"/>
              <w:right w:val="single" w:color="auto" w:sz="4" w:space="0"/>
            </w:tcBorders>
            <w:shd w:val="clear" w:color="auto" w:fill="auto"/>
            <w:vAlign w:val="center"/>
          </w:tcPr>
          <w:p w14:paraId="308FD0F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寮步竹园二、三期</w:t>
            </w:r>
          </w:p>
        </w:tc>
        <w:tc>
          <w:tcPr>
            <w:tcW w:w="751" w:type="pct"/>
            <w:tcBorders>
              <w:top w:val="nil"/>
              <w:left w:val="nil"/>
              <w:bottom w:val="single" w:color="auto" w:sz="4" w:space="0"/>
              <w:right w:val="single" w:color="auto" w:sz="4" w:space="0"/>
            </w:tcBorders>
            <w:shd w:val="clear" w:color="auto" w:fill="auto"/>
            <w:noWrap/>
            <w:vAlign w:val="center"/>
          </w:tcPr>
          <w:p w14:paraId="6832AAA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24</w:t>
            </w:r>
          </w:p>
        </w:tc>
        <w:tc>
          <w:tcPr>
            <w:tcW w:w="663" w:type="pct"/>
            <w:tcBorders>
              <w:top w:val="nil"/>
              <w:left w:val="nil"/>
              <w:bottom w:val="single" w:color="auto" w:sz="4" w:space="0"/>
              <w:right w:val="single" w:color="auto" w:sz="4" w:space="0"/>
            </w:tcBorders>
            <w:shd w:val="clear" w:color="auto" w:fill="auto"/>
            <w:noWrap/>
            <w:vAlign w:val="center"/>
          </w:tcPr>
          <w:p w14:paraId="0809AFE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4" w:space="0"/>
              <w:right w:val="single" w:color="auto" w:sz="4" w:space="0"/>
            </w:tcBorders>
            <w:shd w:val="clear" w:color="auto" w:fill="auto"/>
            <w:noWrap/>
            <w:vAlign w:val="center"/>
          </w:tcPr>
          <w:p w14:paraId="0CFD9B7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r>
              <w:rPr>
                <w:rFonts w:hint="eastAsia" w:ascii="宋体" w:hAnsi="宋体" w:eastAsia="宋体" w:cs="宋体"/>
                <w:snapToGrid/>
                <w:color w:val="000000"/>
                <w:kern w:val="0"/>
                <w:sz w:val="20"/>
                <w:szCs w:val="20"/>
                <w:lang w:val="en-US" w:eastAsia="zh-CN" w:bidi="ar"/>
              </w:rPr>
              <w:t>33.4</w:t>
            </w:r>
          </w:p>
        </w:tc>
        <w:tc>
          <w:tcPr>
            <w:tcW w:w="528" w:type="pct"/>
            <w:tcBorders>
              <w:top w:val="nil"/>
              <w:left w:val="nil"/>
              <w:bottom w:val="single" w:color="auto" w:sz="4" w:space="0"/>
              <w:right w:val="single" w:color="auto" w:sz="8" w:space="0"/>
            </w:tcBorders>
            <w:shd w:val="clear" w:color="auto" w:fill="auto"/>
            <w:noWrap/>
            <w:vAlign w:val="center"/>
          </w:tcPr>
          <w:p w14:paraId="387AB47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rPr>
            </w:pPr>
          </w:p>
        </w:tc>
      </w:tr>
      <w:tr w14:paraId="03F6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58" w:type="pct"/>
            <w:tcBorders>
              <w:top w:val="nil"/>
              <w:left w:val="single" w:color="auto" w:sz="8" w:space="0"/>
              <w:bottom w:val="single" w:color="auto" w:sz="8" w:space="0"/>
              <w:right w:val="single" w:color="auto" w:sz="4" w:space="0"/>
            </w:tcBorders>
            <w:shd w:val="clear" w:color="auto" w:fill="auto"/>
            <w:noWrap/>
            <w:vAlign w:val="center"/>
          </w:tcPr>
          <w:p w14:paraId="6504446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rPr>
            </w:pPr>
            <w:r>
              <w:rPr>
                <w:rFonts w:hint="eastAsia" w:ascii="宋体" w:hAnsi="宋体" w:eastAsia="宋体" w:cs="宋体"/>
                <w:snapToGrid/>
                <w:color w:val="000000"/>
                <w:kern w:val="0"/>
                <w:sz w:val="20"/>
                <w:szCs w:val="20"/>
                <w:lang w:val="en-US" w:eastAsia="zh-CN" w:bidi="ar"/>
              </w:rPr>
              <w:t>11</w:t>
            </w:r>
          </w:p>
        </w:tc>
        <w:tc>
          <w:tcPr>
            <w:tcW w:w="1932" w:type="pct"/>
            <w:tcBorders>
              <w:top w:val="nil"/>
              <w:left w:val="nil"/>
              <w:bottom w:val="single" w:color="auto" w:sz="8" w:space="0"/>
              <w:right w:val="single" w:color="auto" w:sz="4" w:space="0"/>
            </w:tcBorders>
            <w:shd w:val="clear" w:color="auto" w:fill="auto"/>
            <w:noWrap/>
            <w:vAlign w:val="center"/>
          </w:tcPr>
          <w:p w14:paraId="319A2318">
            <w:pPr>
              <w:keepNext w:val="0"/>
              <w:keepLines w:val="0"/>
              <w:widowControl/>
              <w:suppressLineNumbers w:val="0"/>
              <w:kinsoku w:val="0"/>
              <w:autoSpaceDE w:val="0"/>
              <w:autoSpaceDN w:val="0"/>
              <w:adjustRightInd w:val="0"/>
              <w:snapToGrid w:val="0"/>
              <w:spacing w:before="0" w:beforeAutospacing="0" w:after="0" w:afterAutospacing="0"/>
              <w:ind w:left="0" w:right="840"/>
              <w:jc w:val="both"/>
              <w:textAlignment w:val="baseline"/>
              <w:rPr>
                <w:rFonts w:hint="eastAsia" w:ascii="宋体" w:hAnsi="宋体" w:eastAsia="宋体" w:cs="宋体"/>
                <w:b/>
                <w:bCs/>
                <w:color w:val="000000"/>
                <w:kern w:val="0"/>
                <w:sz w:val="20"/>
                <w:szCs w:val="20"/>
              </w:rPr>
            </w:pPr>
            <w:r>
              <w:rPr>
                <w:rFonts w:hint="eastAsia" w:ascii="宋体" w:hAnsi="宋体" w:eastAsia="宋体" w:cs="宋体"/>
                <w:snapToGrid/>
                <w:color w:val="000000"/>
                <w:kern w:val="0"/>
                <w:sz w:val="20"/>
                <w:szCs w:val="20"/>
                <w:lang w:val="en-US" w:eastAsia="zh-CN" w:bidi="ar"/>
              </w:rPr>
              <w:t>东城温塘一二期</w:t>
            </w:r>
          </w:p>
        </w:tc>
        <w:tc>
          <w:tcPr>
            <w:tcW w:w="751" w:type="pct"/>
            <w:tcBorders>
              <w:top w:val="nil"/>
              <w:left w:val="nil"/>
              <w:bottom w:val="single" w:color="auto" w:sz="8" w:space="0"/>
              <w:right w:val="single" w:color="auto" w:sz="4" w:space="0"/>
            </w:tcBorders>
            <w:shd w:val="clear" w:color="auto" w:fill="auto"/>
            <w:noWrap/>
            <w:vAlign w:val="center"/>
          </w:tcPr>
          <w:p w14:paraId="6095858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rPr>
            </w:pPr>
            <w:r>
              <w:rPr>
                <w:rFonts w:hint="eastAsia" w:ascii="宋体" w:hAnsi="宋体" w:eastAsia="宋体" w:cs="宋体"/>
                <w:b w:val="0"/>
                <w:bCs w:val="0"/>
                <w:snapToGrid/>
                <w:color w:val="000000"/>
                <w:kern w:val="0"/>
                <w:sz w:val="20"/>
                <w:szCs w:val="20"/>
                <w:lang w:val="en-US" w:eastAsia="zh-CN" w:bidi="ar"/>
              </w:rPr>
              <w:t>14</w:t>
            </w:r>
          </w:p>
        </w:tc>
        <w:tc>
          <w:tcPr>
            <w:tcW w:w="663" w:type="pct"/>
            <w:tcBorders>
              <w:top w:val="nil"/>
              <w:left w:val="nil"/>
              <w:bottom w:val="single" w:color="auto" w:sz="8" w:space="0"/>
              <w:right w:val="single" w:color="auto" w:sz="4" w:space="0"/>
            </w:tcBorders>
            <w:shd w:val="clear" w:color="auto" w:fill="auto"/>
            <w:noWrap/>
            <w:vAlign w:val="center"/>
          </w:tcPr>
          <w:p w14:paraId="1EF2AC8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rPr>
            </w:pPr>
            <w:r>
              <w:rPr>
                <w:rFonts w:hint="eastAsia" w:ascii="宋体" w:hAnsi="宋体" w:eastAsia="宋体" w:cs="宋体"/>
                <w:snapToGrid/>
                <w:color w:val="000000"/>
                <w:kern w:val="0"/>
                <w:sz w:val="20"/>
                <w:szCs w:val="20"/>
                <w:lang w:val="en-US" w:eastAsia="zh-CN" w:bidi="ar"/>
              </w:rPr>
              <w:t>不超过60</w:t>
            </w:r>
          </w:p>
        </w:tc>
        <w:tc>
          <w:tcPr>
            <w:tcW w:w="666" w:type="pct"/>
            <w:tcBorders>
              <w:top w:val="nil"/>
              <w:left w:val="nil"/>
              <w:bottom w:val="single" w:color="auto" w:sz="8" w:space="0"/>
              <w:right w:val="single" w:color="auto" w:sz="4" w:space="0"/>
            </w:tcBorders>
            <w:shd w:val="clear" w:color="auto" w:fill="auto"/>
            <w:noWrap/>
            <w:vAlign w:val="center"/>
          </w:tcPr>
          <w:p w14:paraId="57AE3BA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rPr>
            </w:pPr>
            <w:r>
              <w:rPr>
                <w:rFonts w:hint="eastAsia" w:ascii="宋体" w:hAnsi="宋体" w:eastAsia="宋体" w:cs="宋体"/>
                <w:snapToGrid/>
                <w:color w:val="000000"/>
                <w:kern w:val="0"/>
                <w:sz w:val="20"/>
                <w:szCs w:val="20"/>
                <w:lang w:val="en-US" w:eastAsia="zh-CN" w:bidi="ar"/>
              </w:rPr>
              <w:t>35.1</w:t>
            </w:r>
          </w:p>
        </w:tc>
        <w:tc>
          <w:tcPr>
            <w:tcW w:w="528" w:type="pct"/>
            <w:tcBorders>
              <w:top w:val="nil"/>
              <w:left w:val="nil"/>
              <w:bottom w:val="single" w:color="auto" w:sz="8" w:space="0"/>
              <w:right w:val="single" w:color="auto" w:sz="8" w:space="0"/>
            </w:tcBorders>
            <w:shd w:val="clear" w:color="auto" w:fill="auto"/>
            <w:noWrap/>
            <w:vAlign w:val="bottom"/>
          </w:tcPr>
          <w:p w14:paraId="132591C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rPr>
            </w:pPr>
          </w:p>
        </w:tc>
      </w:tr>
    </w:tbl>
    <w:p w14:paraId="41224DB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 xml:space="preserve"> </w:t>
      </w:r>
    </w:p>
    <w:p w14:paraId="5B5EAC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上述半干污泥量为暂估值，不作为实际转运量，采购人有权根据调试需求进行调整，包括扩大或者缩小污水处理厂范围，污水处理厂位置均在东莞市辖区内。最终需要运输的污水处理厂以及每座污水处理厂需要运输的污泥量，以采购人具体需求为准，服务单位应积极响应。</w:t>
      </w:r>
    </w:p>
    <w:p w14:paraId="42B2C16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3、运输服务期自合同签订之日起两个月。</w:t>
      </w:r>
    </w:p>
    <w:p w14:paraId="767FB9F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contextualSpacing/>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4、本项目共确定1家运输服务单位。</w:t>
      </w:r>
    </w:p>
    <w:p w14:paraId="6E4E105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contextualSpacing/>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5、本概况介绍的各污水处理厂（处理站）情况，以及预计的半干污泥量为暂定量，仅为便于服务单位了解项目情况使用，不作为采购人最终委托运输量的保证。在服务期内，当需要转运半干污泥时，采购人通知服务单位到指定污水厂或污泥项目现场进行运输。服务单位不得因未获得具体半干污泥转运量，或因半干污泥转运量的减少或增加而要求提供任何形式的补偿或赔偿。</w:t>
      </w:r>
    </w:p>
    <w:p w14:paraId="491EA07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contextualSpacing/>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6、服务单位必须清楚理解：采购人采购文件中介绍的各污水处理厂规模以及预计的产泥量为暂定量仅供服务单位了解项目情况使用，不作为采购人最终委托运输量的保证。不得因实际污泥运输量增减而要求采购人提供任何形式的补偿或赔偿。</w:t>
      </w:r>
    </w:p>
    <w:p w14:paraId="00CB9C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2" w:firstLineChars="200"/>
        <w:contextualSpacing/>
        <w:jc w:val="both"/>
        <w:textAlignment w:val="baseline"/>
        <w:rPr>
          <w:rFonts w:hint="eastAsia" w:ascii="宋体" w:hAnsi="宋体" w:eastAsia="宋体" w:cs="宋体"/>
          <w:b/>
          <w:bCs w:val="0"/>
          <w:color w:val="000000"/>
          <w:kern w:val="0"/>
          <w:sz w:val="21"/>
          <w:szCs w:val="21"/>
        </w:rPr>
      </w:pPr>
      <w:r>
        <w:rPr>
          <w:rFonts w:hint="eastAsia" w:ascii="宋体" w:hAnsi="宋体" w:eastAsia="宋体" w:cs="宋体"/>
          <w:b/>
          <w:bCs w:val="0"/>
          <w:snapToGrid/>
          <w:color w:val="000000"/>
          <w:kern w:val="0"/>
          <w:sz w:val="21"/>
          <w:szCs w:val="21"/>
          <w:lang w:val="en-US" w:eastAsia="zh-CN" w:bidi="ar"/>
        </w:rPr>
        <w:t>二、服务范围及运输服务费</w:t>
      </w:r>
    </w:p>
    <w:p w14:paraId="7F9031B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1、采购范围：</w:t>
      </w:r>
    </w:p>
    <w:p w14:paraId="6A21D8A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从采购人东莞市区域内的污水处理厂将半干污泥运输至东莞市污泥集中处理处置项目现场，并将污泥运回污水处理厂。</w:t>
      </w:r>
    </w:p>
    <w:p w14:paraId="6889351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2、本项目运输服务费。</w:t>
      </w:r>
    </w:p>
    <w:p w14:paraId="57AFB11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 xml:space="preserve">（1）（不含税）运输服务费=不含税运输服务费单价[单位：元/（吨·公里）]×运输距离（公里）×运输半干污泥重量（吨）。 </w:t>
      </w:r>
    </w:p>
    <w:p w14:paraId="53FA4D9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（2）运输路线和运输距离由服务单位转移运输半干污泥前向采购人报审，经采购人审核确认后确定行驶路线和运输距离，经采购人、服务单位双方签字确定后作为单次运输距离的计费依据。</w:t>
      </w:r>
    </w:p>
    <w:p w14:paraId="0E8202D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3）运输费按单程运输距离计算，不计算运输车辆返程路程。运输距离根据百度地图APP对应类型货车行驶路线最短距离计算，按四舍五入保留到个位数（公里）。百度地图推荐多条路线时，以距离最短方案载明的路线里程为准，不考虑躲避拥堵、红绿灯少等偏好。因公安及交通等管理部门规定限行，以及根据实际情况存在限重确实需要绕行的，需经采购人审核同意后以调整后的运输路线距离作为计费的运输距离。</w:t>
      </w:r>
    </w:p>
    <w:p w14:paraId="316EF54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（4）半干污泥重量以采购人指定的第三方过磅数量为准，称重的过磅费用由采购人承担。服务单位对过磅重量有异议的，由双方共同指定的第三方过磅复核重量，费用由服务单位承担。</w:t>
      </w:r>
    </w:p>
    <w:p w14:paraId="5A8E598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3、在本项目履行过程中，运输服务费单价（即销售额，不含服务单位销项税额）不随法律法规政策、物价人工、油价、路桥费等调整而进行调整（合同明确约定可调整的除外），未经采购人书面确认，服务单位（包括但不限于服务单位指定的第三方）无权增加任何费用。</w:t>
      </w:r>
    </w:p>
    <w:p w14:paraId="55C5235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4、本项目不含税运输服务费单价包括了服务单位成交后为完成询价文件和合同规定的全部工作所需支付的一切费用，运输服务费单价为包干价，包括但不限于服务单位履行本合同所发生的运输服务范围内所需的人工费（含加班和节假日补贴）、车辆使用及燃油费、作业现场除尘及场地清洗费、半干污泥运输过路桥费（含高速路）、提供运输服务人员的工资、食宿、保险费（包括运输车辆交强险、第三者责任险等商业保险，服务单位及其雇员社会保障资金、保险、第三者责任险，环境污染责任险等）、服务单位复核半干污泥重量的称重费（如有）、因部分半干污泥贮存点现场条件限制只能安排小型运输车辆而增加的成本、日常配合服务费、</w:t>
      </w:r>
      <w:r>
        <w:rPr>
          <w:rFonts w:hint="eastAsia" w:ascii="宋体" w:hAnsi="宋体" w:eastAsia="宋体" w:cs="宋体"/>
          <w:bCs/>
          <w:snapToGrid/>
          <w:color w:val="000000"/>
          <w:kern w:val="0"/>
          <w:sz w:val="21"/>
          <w:szCs w:val="21"/>
          <w:lang w:val="en-US" w:eastAsia="zh-CN" w:bidi="ar"/>
        </w:rPr>
        <w:t>服务单位销项税额以外的税费等合同实施过程中产生的全部直接和间接费用</w:t>
      </w:r>
      <w:r>
        <w:rPr>
          <w:rFonts w:hint="eastAsia" w:ascii="宋体" w:hAnsi="宋体" w:eastAsia="宋体" w:cs="宋体"/>
          <w:snapToGrid/>
          <w:color w:val="000000"/>
          <w:kern w:val="0"/>
          <w:sz w:val="21"/>
          <w:szCs w:val="21"/>
          <w:lang w:val="en-US" w:eastAsia="zh-CN" w:bidi="ar"/>
        </w:rPr>
        <w:t>。依法计得并根据采购项目合同约定确定的销项税额由采购人承担。</w:t>
      </w:r>
    </w:p>
    <w:p w14:paraId="65B45A4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2" w:firstLineChars="200"/>
        <w:contextualSpacing/>
        <w:jc w:val="both"/>
        <w:textAlignment w:val="baseline"/>
        <w:rPr>
          <w:rFonts w:hint="eastAsia" w:ascii="宋体" w:hAnsi="宋体" w:eastAsia="宋体" w:cs="宋体"/>
          <w:b/>
          <w:bCs w:val="0"/>
          <w:color w:val="000000"/>
          <w:kern w:val="0"/>
          <w:sz w:val="21"/>
          <w:szCs w:val="21"/>
        </w:rPr>
      </w:pPr>
      <w:r>
        <w:rPr>
          <w:rFonts w:hint="eastAsia" w:ascii="宋体" w:hAnsi="宋体" w:eastAsia="宋体" w:cs="宋体"/>
          <w:b/>
          <w:bCs w:val="0"/>
          <w:snapToGrid/>
          <w:color w:val="000000"/>
          <w:kern w:val="0"/>
          <w:sz w:val="21"/>
          <w:szCs w:val="21"/>
          <w:lang w:val="en-US" w:eastAsia="zh-CN" w:bidi="ar"/>
        </w:rPr>
        <w:t>三、服务要求</w:t>
      </w:r>
    </w:p>
    <w:p w14:paraId="4FB88F2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1、为保证调试顺利，在采购人通知半干污泥转运的时间内，必须保证安排足够的车辆及司机。半干污泥采用吨袋进行包装，半干污泥的包装及上下车作业由采购人负责。</w:t>
      </w:r>
    </w:p>
    <w:p w14:paraId="59BC778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★2、在服务期内，除采购人分配量不足或不可抗力的情况外，服务单位应承诺日均（月外运量/外运天数）外运半干污泥不少于100吨/日。</w:t>
      </w:r>
    </w:p>
    <w:p w14:paraId="74A12C5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3、在本项目有效期内，服务单位应当保持相应资质的有效性，且具备在东莞市提供运输服务工作的资格条件。</w:t>
      </w:r>
    </w:p>
    <w:p w14:paraId="3056847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4、半干污泥运输应参照执行《危险货物道路运输规则》(JT/T 617-2018)、《中华人民共和国道路运输条例》和《道路危险货物运输管理规定》的相关要求。半干污泥运输采用陆路运输，禁止采用水路运输。</w:t>
      </w:r>
    </w:p>
    <w:p w14:paraId="78510D4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5、服务单位半干污泥运输车辆必须符合公安、道路交通运输、环保等相关职能部门的相关要求，证照齐全、符合半干污泥运输的要求。服务单位取得运输服务后，应将半干污泥运输车辆的行驶证、营运证及司机等信息向采购人备案。</w:t>
      </w:r>
    </w:p>
    <w:p w14:paraId="04E1493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6、服务单位必须采用密闭车辆运输半干污泥，要求密封、防水、不渗漏，四周槽帮牢固可靠、无破损、挡板严密，在驶出装载现场前，应将车辆槽帮和车轮冲洗干净，不得车轮带泥行驶、不得沿途泄漏，运输时发现自身有泄漏的，应及时采取有效措施清扫干净。车辆哎运输过程中，服务单位应采取必要的管控措施，避免在半干污泥中混入杂物影响测试设备的正常运转。</w:t>
      </w:r>
    </w:p>
    <w:p w14:paraId="3EBB679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7、服务单位承诺使用的车辆必须安装GPS，符合《道路运输车辆卫星定位系统平台技术要求》《道路运输车辆卫星定位系统车载终端技术要求》的要求，以防止偷排偷倒，或违约使用车辆。在运输过程中，服务单位应保证GPS 定位系统能正常接收信号，运输全程纳入定位管理，若运输过程中出现信号无法正常连接或中断的，期间发生交通运输事故或运输过程中导致环境污染的，服务单位须负主要责任，并承担由此产生的一切行政和经济法律责任。</w:t>
      </w:r>
    </w:p>
    <w:p w14:paraId="6B48C95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8、服务单位最终运输车辆的GPS定位系统应直接与采购人在线监管平台对接，实时显示半干污泥运输轨迹等信息。</w:t>
      </w:r>
    </w:p>
    <w:p w14:paraId="14DC705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9、服务单位在半干污泥运输过程中不得进行中间装卸操作，严禁将半干污泥在污水处理厂外进行中转存放或堆放，严禁将半干污泥向环境中倾倒、丢弃、遗洒，发生以上事件所产生的一切行政和经济法律责任由服务单位承担。</w:t>
      </w:r>
    </w:p>
    <w:p w14:paraId="79A56DF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10、服务单位应严格按照交通运输及相关法律、法规操作，安全、合法地运输，在任何情况下都不得进行任何形式的超载运输，否则造成的一切后果由服务单位承担。</w:t>
      </w:r>
    </w:p>
    <w:p w14:paraId="5A99A58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11、服务单位必须提供符合各污水处理厂（处理站）道路及转泥点场地设施使用要求的车辆，并应根据通知转运半干污泥量的变化调整车辆数量，保证半干污泥能及时清运。服务单位应按通知转运量安排车辆及时到达采购人指定厂区收运半干污泥，若采购人通知转运量变更时，服务单位应尽力完成合理安排车次。</w:t>
      </w:r>
    </w:p>
    <w:p w14:paraId="7A7AA14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12、半干污泥转移前，服务单位应提供运输司机资料、制定运输车辆的运输路线、核实运输距离，并向采购人报审，经采购人审核确认后确定行驶路线和运输距离，经采购人、服务单位双方签字确定后作为单次运输距离的计费依据。行驶路线一经确定，未经采购人同意，服务单位不得擅自调整已确定的运输行驶路线。</w:t>
      </w:r>
    </w:p>
    <w:p w14:paraId="3A2CD52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13、服务单位必须在半干污泥到达采购人指定卸货点的次日10:00前，向采购人提供该车半干污泥装卸货过程中的相关资料。</w:t>
      </w:r>
    </w:p>
    <w:p w14:paraId="635C16C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资料制作要求：（1）运输车辆到达半干污泥装车地点，拍摄装车过程照片，装车照片应清晰显示车牌号码及车辆正在进行半干污泥装车；（2）装车完成后上锁封条，拍摄封条照片，封条照片应清晰显示封条编号及封条未拆卸；（3）填写一式两份派车单并由运输司机及现场负责人签名，提交给半干污泥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采购人指定卸泥点后拍摄卸货前封条照片，照片应清晰显示封条编号及封条未拆封；（7）卸货过程应拍摄照片及视频，照片应清晰显示车牌号码、正在起斗的过程，以及车后的泥仓；视频应按采购人提供的视频模板拍摄，视频时长约15秒，从车头车牌开始录制，缓慢移步至车辆一侧录制卸泥过程，要求显示起斗过程及泥仓；（8）卸货完成后，磅单拍照，照片应清晰显示各项信息，包括出厂日期、过磅时间、重量等；（9）上述照片、视频务必使用“今日水印相机”软件拍摄、录制，定位信息能清晰显示地点及日期。</w:t>
      </w:r>
    </w:p>
    <w:p w14:paraId="5219B8A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资料提交要求：（1）服务单位按照本条款的要求进行拍摄、整理每日运输影像资料后，以压缩文件形式在次日上午10:00前发送至采购人指定邮箱：swjt_dsyhn@163.com（邮箱如有变化以采购人通知为准）；邮件及影像资料附件名称为“运输单位+卸泥地点+日期（年月日）+半干污泥运输资料”；（2）服务单位以“送+半干污泥产生单位+日期+磅单”或“回+半干污泥接收单位+日期+磅单”为一级文件夹名称，将过程资料放入该文件夹中，通过邮件提交给采购人。</w:t>
      </w:r>
    </w:p>
    <w:p w14:paraId="4168F61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14、服务单位应当配合采购人或采购人指定接卸地点现场人员调度，遵守装车、卸车现场安全作业行为规范。在接收半干污泥时必须严格遵守采购人或采购人指定接卸地点的现场安全、环境、质量管理要求以及相关管理规定，根据采购人安全管理要求做好相关防护措施，维护好采购人或采购人指定接卸地点场地卫生环境现象，每车离场前必须清扫干净装车、卸车区域地面，保持该区域卫生情况良好。</w:t>
      </w:r>
    </w:p>
    <w:p w14:paraId="3FAD30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15、服务单位对运输过程的环境、安全负全责。运输过程中，服务单位应进行全过程监控和管理，防止因裸露、散落、泄漏、随意丢弃或倾倒等造成二次污染，服务单位负责做好半干污泥运输及装卸过程的安全、卫生及防止半干污泥污染扩散工作。运输过程中导致环境污染的，由服务单位承担相应的行政责任及经济责任，并承担由此产生的一切行政和经济法律责任。</w:t>
      </w:r>
    </w:p>
    <w:p w14:paraId="4F93EEC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16、服务单位在采购人或采购人指定装卸地点厂区内按指定路线完成半干污泥运输工作，服务单位车辆在采购人或采购人指定接卸地点厂区内的安全由服务单位自行负责，在行驶过程中如对采购人或采购人指定接卸地点的构筑物及设备或人员造成侵害的，或对第三方人身或财产造成损害的，负责修复或赔偿。</w:t>
      </w:r>
    </w:p>
    <w:p w14:paraId="01E89A9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17、在运输过程中发生燃烧、爆炸、污染、中毒或者被盗、丢失、流散、泄漏等事故，服务单位应当立即采取紧急处理措施，运输驾驶员、押运人员应当立即向公安部门、服务单位、采购人、环境保护行政主管部门报告，说明事故情况，并采取一切可能的警示措施和应急措施，积极配合有关部门进行处置。</w:t>
      </w:r>
    </w:p>
    <w:p w14:paraId="65EB831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18、采购人有权监督、查阅半干污泥运输车辆的行车记录或数据，若发现服务单位存在中间装卸操作、偷排偷倒等问题，采购人有权终止合同并追究服务单位的违约责任，因此导致的法律及相关责任由服务单位承担。</w:t>
      </w:r>
    </w:p>
    <w:p w14:paraId="44D0E26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19、服务单位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14:paraId="050AF1D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20、服务单位应按照采购人通知的时间、转运量安排车辆到指定的地点将半干污泥及时运输至采购人指定的处理处置地点，如果服务单位不能按采购人通知的时间前来收运，应至少提前6小时先向采购人告知，并取得采购人同意后才能更改收运时间，如服务单位未能及时告知或未取得采购人同意擅自更改收运时间，则应承担因此造成的后果并赔偿采购人所遭受的损失。服务单位服务期内累计出现3次或以上前述事件的，采购人有权单方面解除合同，并有权启动其他运输服务单位，因此对采购人产生的经济损失，采购人将根据合同约定追究服务单位的违约责任。</w:t>
      </w:r>
    </w:p>
    <w:p w14:paraId="344B893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21、服务单位不得借故拒绝接受委托。服务单位如因车辆维修、年检等原因导致预定运输车辆无法调配的，在取得采购人同意后应及时更换运输车辆。若确实无法调配运输车辆，不能对采购人该批次半干污泥等进行运输的，应在当天出具书面通知函告知采购人，获得采购人同意后方可暂停运输。除非因外部环境或不可抗力因素影响，服务单位已无法再对采购人半干污泥等进行运输服务的，否则视为服务单位违约。</w:t>
      </w:r>
    </w:p>
    <w:p w14:paraId="63EFB75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22、服务单位安排人员负责本项目管理，调度运输车辆，在转移运输半干污泥前向采购人报审运输司机资料、运输路线和运输距离（经采购人、服务单位双方签字确定后作为单次运输距离的计费依据）。收集每车外运半干污泥的电子地磅的称重单（含载泥前的称重单和载泥时的称重单），建立半干污泥运输台账，详细、如实记录半干污泥接收量、装车地点、卸车地点、运输距离等情况，并接受采购人的监督、管理，并如实向采购人反映半干污泥收运情况。</w:t>
      </w:r>
    </w:p>
    <w:p w14:paraId="11187FC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23、服务单位按7天/次的频次，根据初次核对确认的半干污泥外运数量和资料填报要求，向采购人提交经服务单位确认的运输台账（含电子文档）、磅单等资料。采购人对接收的资料复核后，发现资料有误的，服务单位必须在3日内按要求重新提交。采购人将复核后的资料送半干污泥产生单位盖章确认，经服务单位、半干污泥产生单位、采购人共同签字/盖章确认后，确定该批次半干污泥实际转移数量，并由采购人留存备查。</w:t>
      </w:r>
    </w:p>
    <w:p w14:paraId="7F827DF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24、服务单位不得将采购人交付的半干污泥交由第三方运输，禁止转包，否则，由此导致的一切责任和风险全部由服务单位承担，并根据合同的约定承担违约责任，赔偿由此给采购人造成的损失。</w:t>
      </w:r>
    </w:p>
    <w:p w14:paraId="690A3B1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★25、要求服务单位承诺在采购人书面通知启动污泥运输之日起，3日内按采购人要求的运力实施本项目半干污泥转移提供运输服务。</w:t>
      </w:r>
    </w:p>
    <w:p w14:paraId="44FD534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2" w:firstLineChars="200"/>
        <w:contextualSpacing/>
        <w:jc w:val="both"/>
        <w:textAlignment w:val="baseline"/>
        <w:rPr>
          <w:rFonts w:hint="eastAsia" w:ascii="宋体" w:hAnsi="宋体" w:eastAsia="宋体" w:cs="宋体"/>
          <w:b/>
          <w:bCs/>
          <w:color w:val="000000"/>
          <w:kern w:val="0"/>
          <w:sz w:val="21"/>
          <w:szCs w:val="21"/>
        </w:rPr>
      </w:pPr>
      <w:r>
        <w:rPr>
          <w:rFonts w:hint="eastAsia" w:ascii="宋体" w:hAnsi="宋体" w:eastAsia="宋体" w:cs="宋体"/>
          <w:b/>
          <w:bCs/>
          <w:snapToGrid/>
          <w:color w:val="000000"/>
          <w:kern w:val="0"/>
          <w:sz w:val="21"/>
          <w:szCs w:val="21"/>
          <w:lang w:val="en-US" w:eastAsia="zh-CN" w:bidi="ar"/>
        </w:rPr>
        <w:t>四、其他说明</w:t>
      </w:r>
    </w:p>
    <w:p w14:paraId="4935FFC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服务单位承诺成交后，将严格遵守采购人（或采购人上级单位）提出或调整的日常管理制度或相关管理要求。服务单位服务期间，出现不服从采购人（或采购人上级单位）提出或调整的日常管理制度或相关管理要求，采购人有权取消其服务资格。</w:t>
      </w:r>
    </w:p>
    <w:p w14:paraId="6471874B">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6" w:name="_Toc27990830"/>
      <w:bookmarkStart w:id="7" w:name="_Toc19044"/>
      <w:r>
        <w:rPr>
          <w:rFonts w:hint="eastAsia" w:ascii="宋体" w:hAnsi="宋体" w:eastAsia="宋体" w:cs="宋体"/>
          <w:szCs w:val="32"/>
        </w:rPr>
        <w:t>第三章 合同条款</w:t>
      </w:r>
      <w:bookmarkEnd w:id="6"/>
      <w:bookmarkEnd w:id="7"/>
    </w:p>
    <w:p w14:paraId="0CC6C8F4">
      <w:pPr>
        <w:bidi w:val="0"/>
        <w:rPr>
          <w:rFonts w:hint="eastAsia" w:ascii="宋体" w:hAnsi="宋体" w:eastAsia="宋体" w:cs="宋体"/>
        </w:rPr>
      </w:pPr>
    </w:p>
    <w:p w14:paraId="1094455D">
      <w:pPr>
        <w:bidi w:val="0"/>
        <w:rPr>
          <w:rFonts w:hint="eastAsia"/>
        </w:rPr>
      </w:pPr>
    </w:p>
    <w:p w14:paraId="5436BC11">
      <w:pPr>
        <w:bidi w:val="0"/>
        <w:rPr>
          <w:rFonts w:hint="eastAsia"/>
          <w:lang w:val="en-US" w:eastAsia="zh-CN"/>
        </w:rPr>
      </w:pPr>
    </w:p>
    <w:p w14:paraId="6C6E52BB">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lang w:val="en-US" w:eastAsia="zh-CN"/>
        </w:rPr>
      </w:pPr>
    </w:p>
    <w:p w14:paraId="0845EB31">
      <w:pPr>
        <w:keepNext w:val="0"/>
        <w:keepLines w:val="0"/>
        <w:pageBreakBefore w:val="0"/>
        <w:widowControl/>
        <w:suppressLineNumbers w:val="0"/>
        <w:kinsoku w:val="0"/>
        <w:wordWrap/>
        <w:overflowPunct/>
        <w:topLinePunct w:val="0"/>
        <w:autoSpaceDE w:val="0"/>
        <w:autoSpaceDN w:val="0"/>
        <w:bidi/>
        <w:adjustRightInd w:val="0"/>
        <w:snapToGrid w:val="0"/>
        <w:spacing w:before="136" w:beforeAutospacing="0" w:after="0" w:afterAutospacing="0"/>
        <w:ind w:right="0"/>
        <w:jc w:val="center"/>
        <w:textAlignment w:val="baseline"/>
        <w:outlineLvl w:val="9"/>
        <w:rPr>
          <w:rFonts w:hint="eastAsia" w:ascii="宋体" w:hAnsi="宋体" w:eastAsia="宋体" w:cs="宋体"/>
          <w:b/>
          <w:bCs/>
          <w:snapToGrid/>
          <w:color w:val="000000"/>
          <w:spacing w:val="-2"/>
          <w:kern w:val="0"/>
          <w:sz w:val="42"/>
          <w:szCs w:val="42"/>
          <w:lang w:val="en-US" w:eastAsia="zh-CN" w:bidi="ar"/>
        </w:rPr>
      </w:pPr>
      <w:r>
        <w:rPr>
          <w:rFonts w:hint="eastAsia" w:ascii="宋体" w:hAnsi="宋体" w:eastAsia="宋体" w:cs="宋体"/>
          <w:b/>
          <w:bCs/>
          <w:snapToGrid/>
          <w:color w:val="000000"/>
          <w:spacing w:val="-2"/>
          <w:kern w:val="0"/>
          <w:sz w:val="42"/>
          <w:szCs w:val="42"/>
          <w:lang w:val="en-US" w:eastAsia="zh-CN" w:bidi="ar"/>
        </w:rPr>
        <w:t>东莞市污泥集中处理处置项目调试期</w:t>
      </w:r>
    </w:p>
    <w:p w14:paraId="3B0ED20F">
      <w:pPr>
        <w:keepNext w:val="0"/>
        <w:keepLines w:val="0"/>
        <w:pageBreakBefore w:val="0"/>
        <w:widowControl/>
        <w:suppressLineNumbers w:val="0"/>
        <w:kinsoku w:val="0"/>
        <w:wordWrap/>
        <w:overflowPunct/>
        <w:topLinePunct w:val="0"/>
        <w:autoSpaceDE w:val="0"/>
        <w:autoSpaceDN w:val="0"/>
        <w:bidi/>
        <w:adjustRightInd w:val="0"/>
        <w:snapToGrid w:val="0"/>
        <w:spacing w:before="136" w:beforeAutospacing="0" w:after="0" w:afterAutospacing="0"/>
        <w:ind w:right="0"/>
        <w:jc w:val="center"/>
        <w:textAlignment w:val="baseline"/>
        <w:outlineLvl w:val="9"/>
        <w:rPr>
          <w:rFonts w:hint="default" w:ascii="Times New Roman" w:hAnsi="Times New Roman" w:eastAsia="宋体" w:cs="Times New Roman"/>
          <w:color w:val="000000"/>
          <w:kern w:val="0"/>
          <w:sz w:val="42"/>
          <w:szCs w:val="42"/>
        </w:rPr>
      </w:pPr>
      <w:r>
        <w:rPr>
          <w:rFonts w:hint="eastAsia" w:ascii="宋体" w:hAnsi="宋体" w:eastAsia="宋体" w:cs="宋体"/>
          <w:b/>
          <w:bCs/>
          <w:snapToGrid/>
          <w:color w:val="000000"/>
          <w:spacing w:val="-2"/>
          <w:kern w:val="0"/>
          <w:sz w:val="42"/>
          <w:szCs w:val="42"/>
          <w:lang w:val="en-US" w:eastAsia="zh-CN" w:bidi="ar"/>
        </w:rPr>
        <w:t>污泥运输服务采购合同</w:t>
      </w:r>
    </w:p>
    <w:p w14:paraId="6B3B6CB6">
      <w:pPr>
        <w:pStyle w:val="18"/>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center"/>
        <w:textAlignment w:val="baseline"/>
        <w:rPr>
          <w:rFonts w:hint="default" w:ascii="Times New Roman" w:hAnsi="Times New Roman" w:eastAsia="Arial" w:cs="Times New Roman"/>
          <w:color w:val="000000"/>
          <w:kern w:val="0"/>
          <w:sz w:val="21"/>
          <w:szCs w:val="21"/>
        </w:rPr>
      </w:pPr>
    </w:p>
    <w:p w14:paraId="1EE86E32">
      <w:pPr>
        <w:pStyle w:val="18"/>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321E58CE">
      <w:pPr>
        <w:keepNext w:val="0"/>
        <w:keepLines w:val="0"/>
        <w:widowControl/>
        <w:suppressLineNumbers w:val="0"/>
        <w:kinsoku w:val="0"/>
        <w:autoSpaceDE w:val="0"/>
        <w:autoSpaceDN w:val="0"/>
        <w:adjustRightInd w:val="0"/>
        <w:snapToGrid w:val="0"/>
        <w:spacing w:before="1" w:beforeAutospacing="0" w:after="0" w:afterAutospacing="0" w:line="1810" w:lineRule="exact"/>
        <w:ind w:left="0" w:right="0" w:firstLine="9851"/>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2339E7AF">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5D757A22">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16BCA535">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50857580">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6D27DF29">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4A12E809">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211B3F33">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3D7C73EB">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snapToGrid/>
          <w:color w:val="000000"/>
          <w:kern w:val="0"/>
          <w:sz w:val="21"/>
          <w:szCs w:val="21"/>
          <w:lang w:val="en-US" w:eastAsia="zh-CN" w:bidi="ar"/>
        </w:rPr>
      </w:pPr>
      <w:r>
        <w:rPr>
          <w:rFonts w:hint="default" w:ascii="Times New Roman" w:hAnsi="Times New Roman" w:eastAsia="Arial" w:cs="Times New Roman"/>
          <w:snapToGrid/>
          <w:color w:val="000000"/>
          <w:kern w:val="0"/>
          <w:sz w:val="21"/>
          <w:szCs w:val="21"/>
          <w:lang w:val="en-US" w:eastAsia="zh-CN" w:bidi="ar"/>
        </w:rPr>
        <w:t xml:space="preserve"> </w:t>
      </w:r>
    </w:p>
    <w:p w14:paraId="7147C58E">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snapToGrid/>
          <w:color w:val="000000"/>
          <w:kern w:val="0"/>
          <w:sz w:val="21"/>
          <w:szCs w:val="21"/>
          <w:lang w:val="en-US" w:eastAsia="zh-CN" w:bidi="ar"/>
        </w:rPr>
      </w:pPr>
    </w:p>
    <w:p w14:paraId="11C613D3">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snapToGrid/>
          <w:color w:val="000000"/>
          <w:kern w:val="0"/>
          <w:sz w:val="21"/>
          <w:szCs w:val="21"/>
          <w:lang w:val="en-US" w:eastAsia="zh-CN" w:bidi="ar"/>
        </w:rPr>
      </w:pPr>
    </w:p>
    <w:p w14:paraId="02820CDC">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snapToGrid/>
          <w:color w:val="000000"/>
          <w:kern w:val="0"/>
          <w:sz w:val="21"/>
          <w:szCs w:val="21"/>
          <w:lang w:val="en-US" w:eastAsia="zh-CN" w:bidi="ar"/>
        </w:rPr>
      </w:pPr>
    </w:p>
    <w:p w14:paraId="11114D96">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42BE9E56">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366C797A">
      <w:pPr>
        <w:pStyle w:val="18"/>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1C05E60E">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3" w:lineRule="auto"/>
        <w:ind w:left="0" w:right="0"/>
        <w:jc w:val="left"/>
        <w:textAlignment w:val="baseline"/>
        <w:rPr>
          <w:rFonts w:hint="eastAsia" w:ascii="Times New Roman" w:hAnsi="Times New Roman" w:eastAsia="Arial" w:cs="Times New Roman"/>
          <w:snapToGrid/>
          <w:color w:val="000000"/>
          <w:kern w:val="0"/>
          <w:sz w:val="21"/>
          <w:szCs w:val="21"/>
          <w:lang w:val="en-US" w:eastAsia="zh-CN" w:bidi="ar"/>
        </w:rPr>
      </w:pPr>
      <w:r>
        <w:rPr>
          <w:rFonts w:hint="default" w:ascii="Times New Roman" w:hAnsi="Times New Roman" w:eastAsia="Arial" w:cs="Times New Roman"/>
          <w:snapToGrid/>
          <w:color w:val="000000"/>
          <w:kern w:val="0"/>
          <w:sz w:val="21"/>
          <w:szCs w:val="21"/>
          <w:lang w:val="en-US" w:eastAsia="zh-CN" w:bidi="ar"/>
        </w:rPr>
        <w:t xml:space="preserve"> </w:t>
      </w:r>
      <w:r>
        <w:rPr>
          <w:rFonts w:hint="eastAsia" w:ascii="Times New Roman" w:hAnsi="Times New Roman" w:eastAsia="Arial" w:cs="Times New Roman"/>
          <w:snapToGrid/>
          <w:color w:val="000000"/>
          <w:kern w:val="0"/>
          <w:sz w:val="21"/>
          <w:szCs w:val="21"/>
          <w:lang w:val="en-US" w:eastAsia="zh-CN" w:bidi="ar"/>
        </w:rPr>
        <w:t xml:space="preserve">               </w:t>
      </w:r>
    </w:p>
    <w:p w14:paraId="281FF6D1">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3" w:lineRule="auto"/>
        <w:ind w:left="0" w:right="0" w:firstLine="1752" w:firstLineChars="600"/>
        <w:jc w:val="left"/>
        <w:textAlignment w:val="baseline"/>
        <w:rPr>
          <w:rFonts w:hint="default" w:ascii="Times New Roman" w:hAnsi="Times New Roman" w:eastAsia="宋体" w:cs="Times New Roman"/>
          <w:color w:val="000000"/>
          <w:kern w:val="0"/>
          <w:sz w:val="27"/>
          <w:szCs w:val="27"/>
        </w:rPr>
      </w:pPr>
      <w:r>
        <w:rPr>
          <w:rFonts w:hint="eastAsia" w:ascii="宋体" w:hAnsi="宋体" w:eastAsia="宋体" w:cs="宋体"/>
          <w:snapToGrid/>
          <w:color w:val="000000"/>
          <w:spacing w:val="11"/>
          <w:kern w:val="0"/>
          <w:sz w:val="27"/>
          <w:szCs w:val="27"/>
          <w:lang w:val="en-US" w:eastAsia="zh-CN" w:bidi="ar"/>
        </w:rPr>
        <w:t>合同编号</w:t>
      </w:r>
      <w:r>
        <w:rPr>
          <w:rFonts w:hint="eastAsia" w:ascii="宋体" w:hAnsi="宋体" w:eastAsia="宋体" w:cs="宋体"/>
          <w:snapToGrid/>
          <w:color w:val="000000"/>
          <w:spacing w:val="-3"/>
          <w:kern w:val="0"/>
          <w:sz w:val="27"/>
          <w:szCs w:val="27"/>
          <w:lang w:val="en-US" w:eastAsia="zh-CN" w:bidi="ar"/>
        </w:rPr>
        <w:t>：</w:t>
      </w:r>
      <w:r>
        <w:rPr>
          <w:rFonts w:hint="default" w:ascii="Times New Roman" w:hAnsi="Times New Roman" w:eastAsia="宋体" w:cs="Times New Roman"/>
          <w:snapToGrid/>
          <w:color w:val="000000"/>
          <w:spacing w:val="-3"/>
          <w:kern w:val="0"/>
          <w:sz w:val="27"/>
          <w:szCs w:val="27"/>
          <w:u w:val="single"/>
          <w:lang w:val="en-US" w:eastAsia="zh-CN" w:bidi="ar"/>
        </w:rPr>
        <w:t xml:space="preserve">                         </w:t>
      </w:r>
    </w:p>
    <w:p w14:paraId="10BE0AFD">
      <w:pPr>
        <w:keepNext w:val="0"/>
        <w:keepLines w:val="0"/>
        <w:widowControl/>
        <w:suppressLineNumbers w:val="0"/>
        <w:kinsoku w:val="0"/>
        <w:autoSpaceDE w:val="0"/>
        <w:autoSpaceDN w:val="0"/>
        <w:adjustRightInd w:val="0"/>
        <w:snapToGrid w:val="0"/>
        <w:spacing w:before="219" w:beforeAutospacing="0" w:after="0" w:afterAutospacing="0"/>
        <w:ind w:right="0" w:firstLine="1752" w:firstLineChars="600"/>
        <w:jc w:val="left"/>
        <w:textAlignment w:val="baseline"/>
        <w:rPr>
          <w:rFonts w:hint="default" w:ascii="Times New Roman" w:hAnsi="Times New Roman" w:eastAsia="宋体" w:cs="Times New Roman"/>
          <w:color w:val="000000"/>
          <w:kern w:val="0"/>
          <w:sz w:val="27"/>
          <w:szCs w:val="27"/>
        </w:rPr>
      </w:pPr>
      <w:r>
        <w:rPr>
          <w:rFonts w:hint="eastAsia" w:ascii="宋体" w:hAnsi="宋体" w:eastAsia="宋体" w:cs="宋体"/>
          <w:snapToGrid/>
          <w:color w:val="000000"/>
          <w:spacing w:val="11"/>
          <w:kern w:val="0"/>
          <w:sz w:val="27"/>
          <w:szCs w:val="27"/>
          <w:lang w:val="en-US" w:eastAsia="zh-CN" w:bidi="ar"/>
        </w:rPr>
        <w:t>甲方</w:t>
      </w:r>
      <w:r>
        <w:rPr>
          <w:rFonts w:hint="default" w:ascii="Times New Roman" w:hAnsi="Times New Roman" w:eastAsia="宋体" w:cs="Times New Roman"/>
          <w:snapToGrid/>
          <w:color w:val="000000"/>
          <w:spacing w:val="11"/>
          <w:kern w:val="0"/>
          <w:sz w:val="27"/>
          <w:szCs w:val="27"/>
          <w:lang w:val="en-US" w:eastAsia="zh-CN" w:bidi="ar"/>
        </w:rPr>
        <w:t>：</w:t>
      </w:r>
      <w:r>
        <w:rPr>
          <w:rFonts w:hint="eastAsia" w:ascii="宋体" w:hAnsi="宋体" w:eastAsia="宋体" w:cs="宋体"/>
          <w:snapToGrid/>
          <w:color w:val="000000"/>
          <w:spacing w:val="11"/>
          <w:kern w:val="0"/>
          <w:sz w:val="27"/>
          <w:szCs w:val="27"/>
          <w:u w:val="single"/>
          <w:lang w:val="en-US" w:eastAsia="zh-CN" w:bidi="ar"/>
        </w:rPr>
        <w:t>东莞市尚源环能科技有限公司</w:t>
      </w:r>
    </w:p>
    <w:p w14:paraId="7C2C7A75">
      <w:pPr>
        <w:keepNext w:val="0"/>
        <w:keepLines w:val="0"/>
        <w:widowControl/>
        <w:suppressLineNumbers w:val="0"/>
        <w:kinsoku w:val="0"/>
        <w:autoSpaceDE w:val="0"/>
        <w:autoSpaceDN w:val="0"/>
        <w:adjustRightInd w:val="0"/>
        <w:snapToGrid w:val="0"/>
        <w:spacing w:before="189" w:beforeAutospacing="0" w:after="0" w:afterAutospacing="0"/>
        <w:ind w:left="531" w:right="0" w:firstLine="1184" w:firstLineChars="400"/>
        <w:jc w:val="left"/>
        <w:textAlignment w:val="baseline"/>
        <w:rPr>
          <w:rFonts w:hint="default" w:ascii="Times New Roman" w:hAnsi="Times New Roman" w:eastAsia="宋体" w:cs="Times New Roman"/>
          <w:color w:val="000000"/>
          <w:kern w:val="0"/>
          <w:sz w:val="27"/>
          <w:szCs w:val="27"/>
        </w:rPr>
      </w:pPr>
      <w:r>
        <w:rPr>
          <w:rFonts w:hint="eastAsia" w:ascii="宋体" w:hAnsi="宋体" w:eastAsia="宋体" w:cs="宋体"/>
          <w:snapToGrid/>
          <w:color w:val="000000"/>
          <w:spacing w:val="13"/>
          <w:kern w:val="0"/>
          <w:sz w:val="27"/>
          <w:szCs w:val="27"/>
          <w:lang w:val="en-US" w:eastAsia="zh-CN" w:bidi="ar"/>
        </w:rPr>
        <w:t>乙方</w:t>
      </w:r>
      <w:r>
        <w:rPr>
          <w:rFonts w:hint="default" w:ascii="Times New Roman" w:hAnsi="Times New Roman" w:eastAsia="宋体" w:cs="Times New Roman"/>
          <w:snapToGrid/>
          <w:color w:val="000000"/>
          <w:spacing w:val="13"/>
          <w:kern w:val="0"/>
          <w:sz w:val="27"/>
          <w:szCs w:val="27"/>
          <w:lang w:val="en-US" w:eastAsia="zh-CN" w:bidi="ar"/>
        </w:rPr>
        <w:t>：</w:t>
      </w:r>
      <w:r>
        <w:rPr>
          <w:rFonts w:hint="default" w:ascii="Times New Roman" w:hAnsi="Times New Roman" w:eastAsia="宋体" w:cs="Times New Roman"/>
          <w:snapToGrid/>
          <w:color w:val="000000"/>
          <w:spacing w:val="-20"/>
          <w:kern w:val="0"/>
          <w:sz w:val="27"/>
          <w:szCs w:val="27"/>
          <w:u w:val="single"/>
          <w:lang w:val="en-US" w:eastAsia="zh-CN" w:bidi="ar"/>
        </w:rPr>
        <w:t xml:space="preserve">                          </w:t>
      </w:r>
      <w:r>
        <w:rPr>
          <w:rFonts w:hint="eastAsia" w:ascii="Times New Roman" w:hAnsi="Times New Roman" w:eastAsia="宋体" w:cs="Times New Roman"/>
          <w:snapToGrid/>
          <w:color w:val="000000"/>
          <w:spacing w:val="-20"/>
          <w:kern w:val="0"/>
          <w:sz w:val="27"/>
          <w:szCs w:val="27"/>
          <w:u w:val="single"/>
          <w:lang w:val="en-US" w:eastAsia="zh-CN" w:bidi="ar"/>
        </w:rPr>
        <w:t xml:space="preserve">   </w:t>
      </w:r>
      <w:r>
        <w:rPr>
          <w:rFonts w:hint="default" w:ascii="Times New Roman" w:hAnsi="Times New Roman" w:eastAsia="宋体" w:cs="Times New Roman"/>
          <w:snapToGrid/>
          <w:color w:val="000000"/>
          <w:spacing w:val="-20"/>
          <w:kern w:val="0"/>
          <w:sz w:val="27"/>
          <w:szCs w:val="27"/>
          <w:u w:val="single"/>
          <w:lang w:val="en-US" w:eastAsia="zh-CN" w:bidi="ar"/>
        </w:rPr>
        <w:t xml:space="preserve">   </w:t>
      </w:r>
      <w:r>
        <w:rPr>
          <w:rFonts w:hint="eastAsia" w:ascii="Times New Roman" w:hAnsi="Times New Roman" w:eastAsia="宋体" w:cs="Times New Roman"/>
          <w:snapToGrid/>
          <w:color w:val="000000"/>
          <w:spacing w:val="-20"/>
          <w:kern w:val="0"/>
          <w:sz w:val="27"/>
          <w:szCs w:val="27"/>
          <w:u w:val="single"/>
          <w:lang w:val="en-US" w:eastAsia="zh-CN" w:bidi="ar"/>
        </w:rPr>
        <w:t xml:space="preserve">      </w:t>
      </w:r>
      <w:r>
        <w:rPr>
          <w:rFonts w:hint="default" w:ascii="Times New Roman" w:hAnsi="Times New Roman" w:eastAsia="宋体" w:cs="Times New Roman"/>
          <w:snapToGrid/>
          <w:color w:val="000000"/>
          <w:spacing w:val="-20"/>
          <w:kern w:val="0"/>
          <w:sz w:val="27"/>
          <w:szCs w:val="27"/>
          <w:u w:val="single"/>
          <w:lang w:val="en-US" w:eastAsia="zh-CN" w:bidi="ar"/>
        </w:rPr>
        <w:t xml:space="preserve"> </w:t>
      </w:r>
    </w:p>
    <w:p w14:paraId="209D4D22">
      <w:pPr>
        <w:pStyle w:val="18"/>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63FC4449">
      <w:pPr>
        <w:pStyle w:val="18"/>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0FE45509">
      <w:pPr>
        <w:pStyle w:val="18"/>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4DC511A7">
      <w:pPr>
        <w:pStyle w:val="18"/>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Arial" w:cs="Times New Roman"/>
          <w:snapToGrid/>
          <w:color w:val="000000"/>
          <w:kern w:val="0"/>
          <w:sz w:val="21"/>
          <w:szCs w:val="21"/>
          <w:lang w:val="en-US" w:eastAsia="zh-CN" w:bidi="ar"/>
        </w:rPr>
        <w:t xml:space="preserve"> </w:t>
      </w:r>
    </w:p>
    <w:p w14:paraId="5BC3BC99">
      <w:pPr>
        <w:keepNext w:val="0"/>
        <w:keepLines w:val="0"/>
        <w:widowControl/>
        <w:suppressLineNumbers w:val="0"/>
        <w:kinsoku w:val="0"/>
        <w:autoSpaceDE w:val="0"/>
        <w:autoSpaceDN w:val="0"/>
        <w:adjustRightInd w:val="0"/>
        <w:snapToGrid w:val="0"/>
        <w:spacing w:before="88" w:beforeAutospacing="0" w:after="0" w:afterAutospacing="0"/>
        <w:ind w:left="535" w:right="0" w:firstLine="1405" w:firstLineChars="500"/>
        <w:jc w:val="left"/>
        <w:textAlignment w:val="baseline"/>
        <w:rPr>
          <w:rFonts w:hint="default" w:ascii="Times New Roman" w:hAnsi="Times New Roman" w:eastAsia="宋体" w:cs="Times New Roman"/>
          <w:color w:val="000000"/>
          <w:kern w:val="0"/>
          <w:sz w:val="27"/>
          <w:szCs w:val="27"/>
        </w:rPr>
      </w:pPr>
      <w:r>
        <w:rPr>
          <w:rFonts w:hint="eastAsia" w:ascii="宋体" w:hAnsi="宋体" w:eastAsia="宋体" w:cs="宋体"/>
          <w:b/>
          <w:bCs/>
          <w:snapToGrid/>
          <w:color w:val="000000"/>
          <w:spacing w:val="5"/>
          <w:kern w:val="0"/>
          <w:sz w:val="27"/>
          <w:szCs w:val="27"/>
          <w:lang w:val="en-US" w:eastAsia="zh-CN" w:bidi="ar"/>
        </w:rPr>
        <w:t>签订日期：</w:t>
      </w:r>
      <w:r>
        <w:rPr>
          <w:rFonts w:hint="default" w:ascii="Times New Roman" w:hAnsi="Times New Roman" w:eastAsia="宋体" w:cs="Times New Roman"/>
          <w:b/>
          <w:bCs/>
          <w:snapToGrid/>
          <w:color w:val="000000"/>
          <w:spacing w:val="5"/>
          <w:kern w:val="0"/>
          <w:sz w:val="27"/>
          <w:szCs w:val="27"/>
          <w:lang w:val="en-US" w:eastAsia="zh-CN" w:bidi="ar"/>
        </w:rPr>
        <w:t xml:space="preserve">    </w:t>
      </w:r>
      <w:r>
        <w:rPr>
          <w:rFonts w:hint="eastAsia" w:ascii="宋体" w:hAnsi="宋体" w:eastAsia="宋体" w:cs="宋体"/>
          <w:b/>
          <w:bCs/>
          <w:snapToGrid/>
          <w:color w:val="000000"/>
          <w:spacing w:val="5"/>
          <w:kern w:val="0"/>
          <w:sz w:val="27"/>
          <w:szCs w:val="27"/>
          <w:lang w:val="en-US" w:eastAsia="zh-CN" w:bidi="ar"/>
        </w:rPr>
        <w:t>年</w:t>
      </w:r>
      <w:r>
        <w:rPr>
          <w:rFonts w:hint="default" w:ascii="Times New Roman" w:hAnsi="Times New Roman" w:eastAsia="宋体" w:cs="Times New Roman"/>
          <w:b/>
          <w:bCs/>
          <w:snapToGrid/>
          <w:color w:val="000000"/>
          <w:spacing w:val="5"/>
          <w:kern w:val="0"/>
          <w:sz w:val="27"/>
          <w:szCs w:val="27"/>
          <w:lang w:val="en-US" w:eastAsia="zh-CN" w:bidi="ar"/>
        </w:rPr>
        <w:t xml:space="preserve">  </w:t>
      </w:r>
      <w:r>
        <w:rPr>
          <w:rFonts w:hint="eastAsia" w:ascii="宋体" w:hAnsi="宋体" w:eastAsia="宋体" w:cs="宋体"/>
          <w:b/>
          <w:bCs/>
          <w:snapToGrid/>
          <w:color w:val="000000"/>
          <w:spacing w:val="5"/>
          <w:kern w:val="0"/>
          <w:sz w:val="27"/>
          <w:szCs w:val="27"/>
          <w:lang w:val="en-US" w:eastAsia="zh-CN" w:bidi="ar"/>
        </w:rPr>
        <w:t>月</w:t>
      </w:r>
      <w:r>
        <w:rPr>
          <w:rFonts w:hint="default" w:ascii="Times New Roman" w:hAnsi="Times New Roman" w:eastAsia="宋体" w:cs="Times New Roman"/>
          <w:b/>
          <w:bCs/>
          <w:snapToGrid/>
          <w:color w:val="000000"/>
          <w:spacing w:val="5"/>
          <w:kern w:val="0"/>
          <w:sz w:val="27"/>
          <w:szCs w:val="27"/>
          <w:lang w:val="en-US" w:eastAsia="zh-CN" w:bidi="ar"/>
        </w:rPr>
        <w:t xml:space="preserve">  </w:t>
      </w:r>
      <w:r>
        <w:rPr>
          <w:rFonts w:hint="eastAsia" w:ascii="宋体" w:hAnsi="宋体" w:eastAsia="宋体" w:cs="宋体"/>
          <w:b/>
          <w:bCs/>
          <w:snapToGrid/>
          <w:color w:val="000000"/>
          <w:spacing w:val="5"/>
          <w:kern w:val="0"/>
          <w:sz w:val="27"/>
          <w:szCs w:val="27"/>
          <w:lang w:val="en-US" w:eastAsia="zh-CN" w:bidi="ar"/>
        </w:rPr>
        <w:t>日</w:t>
      </w:r>
    </w:p>
    <w:p w14:paraId="7A33E88B">
      <w:pPr>
        <w:rPr>
          <w:rFonts w:hint="default" w:ascii="Times New Roman" w:hAnsi="Times New Roman" w:eastAsia="宋体" w:cs="Times New Roman"/>
          <w:color w:val="000000"/>
          <w:kern w:val="0"/>
          <w:sz w:val="27"/>
          <w:szCs w:val="27"/>
        </w:rPr>
        <w:sectPr>
          <w:footerReference r:id="rId4" w:type="default"/>
          <w:pgSz w:w="12120" w:h="16800"/>
          <w:pgMar w:top="1428" w:right="1247" w:bottom="1409" w:left="1247" w:header="1" w:footer="1291" w:gutter="0"/>
          <w:cols w:space="0" w:num="1"/>
          <w:docGrid w:type="lines" w:linePitch="332" w:charSpace="0"/>
        </w:sectPr>
      </w:pPr>
    </w:p>
    <w:p w14:paraId="0E13723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 xml:space="preserve">甲方：东莞市尚源环能科技有限公司 </w:t>
      </w:r>
    </w:p>
    <w:p w14:paraId="2DA92F6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统一社会信用代码：91441900MAC16PYL99</w:t>
      </w:r>
    </w:p>
    <w:p w14:paraId="7249504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住所：广东省东莞市沙田镇立沙中路76号</w:t>
      </w:r>
    </w:p>
    <w:p w14:paraId="72CAE1F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法定代表人：罗锋</w:t>
      </w:r>
    </w:p>
    <w:p w14:paraId="5C569F1B">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 </w:t>
      </w:r>
    </w:p>
    <w:p w14:paraId="7F47E9F2">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 </w:t>
      </w:r>
    </w:p>
    <w:p w14:paraId="0A2A806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乙方：</w:t>
      </w:r>
    </w:p>
    <w:p w14:paraId="1512AEF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统一社会信用代码：</w:t>
      </w:r>
    </w:p>
    <w:p w14:paraId="539E96A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住所：</w:t>
      </w:r>
    </w:p>
    <w:p w14:paraId="08E325E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uto"/>
        <w:ind w:left="0" w:right="0" w:firstLine="0"/>
        <w:jc w:val="left"/>
        <w:textAlignment w:val="baseline"/>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法定代表人：</w:t>
      </w:r>
    </w:p>
    <w:p w14:paraId="00ACBF44">
      <w:pPr>
        <w:pStyle w:val="18"/>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 </w:t>
      </w:r>
    </w:p>
    <w:p w14:paraId="6DF7EE2A">
      <w:pPr>
        <w:pStyle w:val="18"/>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 xml:space="preserve"> </w:t>
      </w:r>
    </w:p>
    <w:p w14:paraId="7D63E862">
      <w:pPr>
        <w:pStyle w:val="18"/>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snapToGrid/>
          <w:color w:val="000000"/>
          <w:kern w:val="0"/>
          <w:sz w:val="21"/>
          <w:szCs w:val="21"/>
          <w:lang w:val="en-US" w:eastAsia="zh-CN" w:bidi="ar"/>
        </w:rPr>
      </w:pPr>
    </w:p>
    <w:p w14:paraId="628D1265">
      <w:pPr>
        <w:keepNext w:val="0"/>
        <w:keepLines w:val="0"/>
        <w:pageBreakBefore w:val="0"/>
        <w:widowControl/>
        <w:suppressLineNumbers w:val="0"/>
        <w:kinsoku w:val="0"/>
        <w:wordWrap/>
        <w:overflowPunct/>
        <w:topLinePunct w:val="0"/>
        <w:autoSpaceDE w:val="0"/>
        <w:autoSpaceDN w:val="0"/>
        <w:bidi w:val="0"/>
        <w:adjustRightInd w:val="0"/>
        <w:snapToGrid w:val="0"/>
        <w:spacing w:before="251" w:beforeAutospacing="0" w:after="0" w:afterAutospacing="0"/>
        <w:ind w:left="412" w:right="0"/>
        <w:jc w:val="both"/>
        <w:textAlignment w:val="baseline"/>
        <w:outlineLvl w:val="9"/>
        <w:rPr>
          <w:rFonts w:hint="eastAsia" w:ascii="宋体" w:hAnsi="宋体" w:eastAsia="宋体" w:cs="宋体"/>
          <w:color w:val="000000"/>
          <w:kern w:val="0"/>
          <w:sz w:val="21"/>
          <w:szCs w:val="21"/>
        </w:rPr>
      </w:pPr>
      <w:r>
        <w:rPr>
          <w:rFonts w:hint="eastAsia" w:ascii="宋体" w:hAnsi="宋体" w:eastAsia="宋体" w:cs="宋体"/>
          <w:b/>
          <w:bCs/>
          <w:snapToGrid/>
          <w:color w:val="000000"/>
          <w:spacing w:val="16"/>
          <w:kern w:val="0"/>
          <w:sz w:val="21"/>
          <w:szCs w:val="21"/>
          <w:lang w:val="en-US" w:eastAsia="zh-CN" w:bidi="ar"/>
        </w:rPr>
        <w:t>第一条合同范围</w:t>
      </w:r>
    </w:p>
    <w:p w14:paraId="2FD82522">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5"/>
          <w:kern w:val="0"/>
          <w:sz w:val="21"/>
          <w:szCs w:val="21"/>
          <w:lang w:val="en-US" w:eastAsia="zh-CN" w:bidi="ar"/>
        </w:rPr>
        <w:t>1.1 服务范围包括：从甲方东莞市区域内的污水处理厂将半干污泥运输至东莞市污泥集中处理处置项目现场，并将污泥运回污水处理厂</w:t>
      </w:r>
      <w:r>
        <w:rPr>
          <w:rFonts w:hint="eastAsia" w:ascii="宋体" w:hAnsi="宋体" w:eastAsia="宋体" w:cs="宋体"/>
          <w:snapToGrid/>
          <w:color w:val="000000"/>
          <w:kern w:val="0"/>
          <w:sz w:val="21"/>
          <w:szCs w:val="21"/>
          <w:lang w:val="en-US" w:eastAsia="zh-CN" w:bidi="ar"/>
        </w:rPr>
        <w:t>。</w:t>
      </w:r>
    </w:p>
    <w:p w14:paraId="3332792B">
      <w:pPr>
        <w:keepNext w:val="0"/>
        <w:keepLines w:val="0"/>
        <w:pageBreakBefore w:val="0"/>
        <w:widowControl/>
        <w:suppressLineNumbers w:val="0"/>
        <w:kinsoku w:val="0"/>
        <w:wordWrap/>
        <w:overflowPunct/>
        <w:topLinePunct w:val="0"/>
        <w:autoSpaceDE w:val="0"/>
        <w:autoSpaceDN w:val="0"/>
        <w:bidi w:val="0"/>
        <w:adjustRightInd w:val="0"/>
        <w:snapToGrid w:val="0"/>
        <w:spacing w:before="174" w:beforeAutospacing="0" w:after="0" w:afterAutospacing="0" w:line="304" w:lineRule="auto"/>
        <w:ind w:left="0" w:right="1656" w:firstLine="436" w:firstLineChars="200"/>
        <w:jc w:val="both"/>
        <w:textAlignment w:val="baseline"/>
        <w:outlineLvl w:val="9"/>
        <w:rPr>
          <w:rFonts w:hint="eastAsia" w:ascii="宋体" w:hAnsi="宋体" w:eastAsia="宋体" w:cs="宋体"/>
          <w:color w:val="000000"/>
          <w:kern w:val="0"/>
          <w:sz w:val="21"/>
          <w:szCs w:val="21"/>
        </w:rPr>
      </w:pPr>
      <w:r>
        <w:rPr>
          <w:rFonts w:hint="eastAsia" w:ascii="宋体" w:hAnsi="宋体" w:eastAsia="宋体" w:cs="宋体"/>
          <w:snapToGrid/>
          <w:color w:val="000000"/>
          <w:spacing w:val="4"/>
          <w:kern w:val="0"/>
          <w:sz w:val="21"/>
          <w:szCs w:val="21"/>
          <w:lang w:val="en-US" w:eastAsia="zh-CN" w:bidi="ar"/>
        </w:rPr>
        <w:t>1.2 服务期限：自本合同签订之日起两个月</w:t>
      </w:r>
      <w:r>
        <w:rPr>
          <w:rFonts w:hint="eastAsia" w:ascii="宋体" w:hAnsi="宋体" w:eastAsia="宋体" w:cs="宋体"/>
          <w:snapToGrid/>
          <w:color w:val="000000"/>
          <w:spacing w:val="3"/>
          <w:kern w:val="0"/>
          <w:sz w:val="21"/>
          <w:szCs w:val="21"/>
          <w:lang w:val="en-US" w:eastAsia="zh-CN" w:bidi="ar"/>
        </w:rPr>
        <w:t>。</w:t>
      </w:r>
    </w:p>
    <w:p w14:paraId="440D0EB3">
      <w:pPr>
        <w:keepNext w:val="0"/>
        <w:keepLines w:val="0"/>
        <w:pageBreakBefore w:val="0"/>
        <w:widowControl/>
        <w:suppressLineNumbers w:val="0"/>
        <w:kinsoku w:val="0"/>
        <w:wordWrap/>
        <w:overflowPunct/>
        <w:topLinePunct w:val="0"/>
        <w:autoSpaceDE w:val="0"/>
        <w:autoSpaceDN w:val="0"/>
        <w:bidi w:val="0"/>
        <w:adjustRightInd w:val="0"/>
        <w:snapToGrid w:val="0"/>
        <w:spacing w:before="251" w:beforeAutospacing="0" w:after="0" w:afterAutospacing="0"/>
        <w:ind w:left="412" w:right="0"/>
        <w:jc w:val="both"/>
        <w:textAlignment w:val="baseline"/>
        <w:outlineLvl w:val="9"/>
        <w:rPr>
          <w:rFonts w:hint="eastAsia" w:ascii="宋体" w:hAnsi="宋体" w:eastAsia="宋体" w:cs="宋体"/>
          <w:color w:val="000000"/>
          <w:kern w:val="0"/>
          <w:sz w:val="21"/>
          <w:szCs w:val="21"/>
        </w:rPr>
      </w:pPr>
      <w:r>
        <w:rPr>
          <w:rFonts w:hint="eastAsia" w:ascii="宋体" w:hAnsi="宋体" w:eastAsia="宋体" w:cs="宋体"/>
          <w:b/>
          <w:bCs/>
          <w:snapToGrid/>
          <w:color w:val="000000"/>
          <w:spacing w:val="10"/>
          <w:kern w:val="0"/>
          <w:sz w:val="21"/>
          <w:szCs w:val="21"/>
          <w:lang w:val="en-US" w:eastAsia="zh-CN" w:bidi="ar"/>
        </w:rPr>
        <w:t>第二条运输距离及合同价款</w:t>
      </w:r>
    </w:p>
    <w:p w14:paraId="65AD18EF">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5"/>
          <w:kern w:val="0"/>
          <w:sz w:val="21"/>
          <w:szCs w:val="21"/>
          <w:lang w:val="en-US" w:eastAsia="zh-CN" w:bidi="ar"/>
        </w:rPr>
        <w:t>2.1 运输服务费不含税合同单价为</w:t>
      </w:r>
      <w:r>
        <w:rPr>
          <w:rFonts w:hint="eastAsia" w:ascii="宋体" w:hAnsi="宋体" w:eastAsia="宋体" w:cs="宋体"/>
          <w:snapToGrid/>
          <w:color w:val="000000"/>
          <w:spacing w:val="5"/>
          <w:kern w:val="0"/>
          <w:sz w:val="21"/>
          <w:szCs w:val="21"/>
          <w:u w:val="single"/>
          <w:lang w:val="en-US" w:eastAsia="zh-CN" w:bidi="ar"/>
        </w:rPr>
        <w:t xml:space="preserve">         </w:t>
      </w:r>
      <w:r>
        <w:rPr>
          <w:rFonts w:hint="eastAsia" w:ascii="宋体" w:hAnsi="宋体" w:eastAsia="宋体" w:cs="宋体"/>
          <w:snapToGrid/>
          <w:color w:val="000000"/>
          <w:spacing w:val="-40"/>
          <w:kern w:val="0"/>
          <w:sz w:val="21"/>
          <w:szCs w:val="21"/>
          <w:lang w:val="en-US" w:eastAsia="zh-CN" w:bidi="ar"/>
        </w:rPr>
        <w:t xml:space="preserve"> </w:t>
      </w:r>
      <w:r>
        <w:rPr>
          <w:rFonts w:hint="eastAsia" w:ascii="宋体" w:hAnsi="宋体" w:eastAsia="宋体" w:cs="宋体"/>
          <w:snapToGrid/>
          <w:color w:val="000000"/>
          <w:spacing w:val="5"/>
          <w:kern w:val="0"/>
          <w:sz w:val="21"/>
          <w:szCs w:val="21"/>
          <w:lang w:val="en-US" w:eastAsia="zh-CN" w:bidi="ar"/>
        </w:rPr>
        <w:t>元/(吨·</w:t>
      </w:r>
      <w:r>
        <w:rPr>
          <w:rFonts w:hint="eastAsia" w:ascii="宋体" w:hAnsi="宋体" w:eastAsia="宋体" w:cs="宋体"/>
          <w:snapToGrid/>
          <w:color w:val="000000"/>
          <w:spacing w:val="-74"/>
          <w:kern w:val="0"/>
          <w:sz w:val="21"/>
          <w:szCs w:val="21"/>
          <w:lang w:val="en-US" w:eastAsia="zh-CN" w:bidi="ar"/>
        </w:rPr>
        <w:t xml:space="preserve"> </w:t>
      </w:r>
      <w:r>
        <w:rPr>
          <w:rFonts w:hint="eastAsia" w:ascii="宋体" w:hAnsi="宋体" w:eastAsia="宋体" w:cs="宋体"/>
          <w:snapToGrid/>
          <w:color w:val="000000"/>
          <w:spacing w:val="5"/>
          <w:kern w:val="0"/>
          <w:sz w:val="21"/>
          <w:szCs w:val="21"/>
          <w:lang w:val="en-US" w:eastAsia="zh-CN" w:bidi="ar"/>
        </w:rPr>
        <w:t>公里),即从甲方东莞市区域内</w:t>
      </w:r>
      <w:r>
        <w:rPr>
          <w:rFonts w:hint="eastAsia" w:ascii="宋体" w:hAnsi="宋体" w:eastAsia="宋体" w:cs="宋体"/>
          <w:snapToGrid/>
          <w:color w:val="000000"/>
          <w:spacing w:val="4"/>
          <w:kern w:val="0"/>
          <w:sz w:val="21"/>
          <w:szCs w:val="21"/>
          <w:lang w:val="en-US" w:eastAsia="zh-CN" w:bidi="ar"/>
        </w:rPr>
        <w:t>的污水处</w:t>
      </w:r>
      <w:r>
        <w:rPr>
          <w:rFonts w:hint="eastAsia" w:ascii="宋体" w:hAnsi="宋体" w:eastAsia="宋体" w:cs="宋体"/>
          <w:snapToGrid/>
          <w:color w:val="000000"/>
          <w:spacing w:val="9"/>
          <w:kern w:val="0"/>
          <w:sz w:val="21"/>
          <w:szCs w:val="21"/>
          <w:lang w:val="en-US" w:eastAsia="zh-CN" w:bidi="ar"/>
        </w:rPr>
        <w:t>理厂将污泥(</w:t>
      </w:r>
      <w:r>
        <w:rPr>
          <w:rFonts w:hint="eastAsia" w:ascii="宋体" w:hAnsi="宋体" w:eastAsia="宋体" w:cs="宋体"/>
          <w:snapToGrid/>
          <w:color w:val="000000"/>
          <w:spacing w:val="1"/>
          <w:kern w:val="0"/>
          <w:sz w:val="21"/>
          <w:szCs w:val="21"/>
          <w:lang w:val="en-US" w:eastAsia="zh-CN" w:bidi="ar"/>
        </w:rPr>
        <w:t>含</w:t>
      </w:r>
      <w:r>
        <w:rPr>
          <w:rFonts w:hint="eastAsia" w:ascii="宋体" w:hAnsi="宋体" w:eastAsia="宋体" w:cs="宋体"/>
          <w:snapToGrid/>
          <w:color w:val="000000"/>
          <w:spacing w:val="9"/>
          <w:kern w:val="0"/>
          <w:sz w:val="21"/>
          <w:szCs w:val="21"/>
          <w:lang w:val="en-US" w:eastAsia="zh-CN" w:bidi="ar"/>
        </w:rPr>
        <w:t>水率不超过60%)运输至东莞市污泥处理处置项目 或 从东莞市污泥处理处置项目运输至东莞市区域内的污水处理厂的不含税运输服务费</w:t>
      </w:r>
      <w:r>
        <w:rPr>
          <w:rFonts w:hint="eastAsia" w:ascii="宋体" w:hAnsi="宋体" w:eastAsia="宋体" w:cs="宋体"/>
          <w:snapToGrid/>
          <w:color w:val="000000"/>
          <w:spacing w:val="7"/>
          <w:kern w:val="0"/>
          <w:sz w:val="21"/>
          <w:szCs w:val="21"/>
          <w:lang w:val="en-US" w:eastAsia="zh-CN" w:bidi="ar"/>
        </w:rPr>
        <w:t>单价。在本合同履行过程中，合同单价(即销售额，不含乙方销项税额)不随法律法规政策、物价</w:t>
      </w:r>
      <w:r>
        <w:rPr>
          <w:rFonts w:hint="eastAsia" w:ascii="宋体" w:hAnsi="宋体" w:eastAsia="宋体" w:cs="宋体"/>
          <w:snapToGrid/>
          <w:color w:val="000000"/>
          <w:spacing w:val="6"/>
          <w:kern w:val="0"/>
          <w:sz w:val="21"/>
          <w:szCs w:val="21"/>
          <w:lang w:val="en-US" w:eastAsia="zh-CN" w:bidi="ar"/>
        </w:rPr>
        <w:t xml:space="preserve"> </w:t>
      </w:r>
      <w:r>
        <w:rPr>
          <w:rFonts w:hint="eastAsia" w:ascii="宋体" w:hAnsi="宋体" w:eastAsia="宋体" w:cs="宋体"/>
          <w:snapToGrid/>
          <w:color w:val="000000"/>
          <w:spacing w:val="1"/>
          <w:kern w:val="0"/>
          <w:sz w:val="21"/>
          <w:szCs w:val="21"/>
          <w:lang w:val="en-US" w:eastAsia="zh-CN" w:bidi="ar"/>
        </w:rPr>
        <w:t>人工、油价、路桥费等调整而进行调整，未经甲方书面确认，乙</w:t>
      </w:r>
      <w:r>
        <w:rPr>
          <w:rFonts w:hint="eastAsia" w:ascii="宋体" w:hAnsi="宋体" w:eastAsia="宋体" w:cs="宋体"/>
          <w:snapToGrid/>
          <w:color w:val="000000"/>
          <w:kern w:val="0"/>
          <w:sz w:val="21"/>
          <w:szCs w:val="21"/>
          <w:lang w:val="en-US" w:eastAsia="zh-CN" w:bidi="ar"/>
        </w:rPr>
        <w:t>方无权增加任何费用。</w:t>
      </w:r>
    </w:p>
    <w:p w14:paraId="128417B4">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2"/>
          <w:kern w:val="0"/>
          <w:sz w:val="21"/>
          <w:szCs w:val="21"/>
          <w:lang w:val="en-US" w:eastAsia="zh-CN" w:bidi="ar"/>
        </w:rPr>
        <w:t>2.2</w:t>
      </w:r>
      <w:r>
        <w:rPr>
          <w:rFonts w:hint="eastAsia" w:ascii="宋体" w:hAnsi="宋体" w:eastAsia="宋体" w:cs="宋体"/>
          <w:snapToGrid/>
          <w:color w:val="000000"/>
          <w:spacing w:val="30"/>
          <w:kern w:val="0"/>
          <w:sz w:val="21"/>
          <w:szCs w:val="21"/>
          <w:lang w:val="en-US" w:eastAsia="zh-CN" w:bidi="ar"/>
        </w:rPr>
        <w:t xml:space="preserve"> </w:t>
      </w:r>
      <w:r>
        <w:rPr>
          <w:rFonts w:hint="eastAsia" w:ascii="宋体" w:hAnsi="宋体" w:eastAsia="宋体" w:cs="宋体"/>
          <w:snapToGrid/>
          <w:color w:val="000000"/>
          <w:spacing w:val="2"/>
          <w:kern w:val="0"/>
          <w:sz w:val="21"/>
          <w:szCs w:val="21"/>
          <w:lang w:val="en-US" w:eastAsia="zh-CN" w:bidi="ar"/>
        </w:rPr>
        <w:t>依法计得并根据本合同约定确定的销项税额由甲方承担。根据《中华人民共</w:t>
      </w:r>
      <w:r>
        <w:rPr>
          <w:rFonts w:hint="eastAsia" w:ascii="宋体" w:hAnsi="宋体" w:eastAsia="宋体" w:cs="宋体"/>
          <w:snapToGrid/>
          <w:color w:val="000000"/>
          <w:spacing w:val="1"/>
          <w:kern w:val="0"/>
          <w:sz w:val="21"/>
          <w:szCs w:val="21"/>
          <w:lang w:val="en-US" w:eastAsia="zh-CN" w:bidi="ar"/>
        </w:rPr>
        <w:t>和国增值税暂</w:t>
      </w:r>
      <w:r>
        <w:rPr>
          <w:rFonts w:hint="eastAsia" w:ascii="宋体" w:hAnsi="宋体" w:eastAsia="宋体" w:cs="宋体"/>
          <w:snapToGrid/>
          <w:color w:val="000000"/>
          <w:kern w:val="0"/>
          <w:sz w:val="21"/>
          <w:szCs w:val="21"/>
          <w:lang w:val="en-US" w:eastAsia="zh-CN" w:bidi="ar"/>
        </w:rPr>
        <w:t xml:space="preserve"> </w:t>
      </w:r>
      <w:r>
        <w:rPr>
          <w:rFonts w:hint="eastAsia" w:ascii="宋体" w:hAnsi="宋体" w:eastAsia="宋体" w:cs="宋体"/>
          <w:snapToGrid/>
          <w:color w:val="000000"/>
          <w:spacing w:val="9"/>
          <w:kern w:val="0"/>
          <w:sz w:val="21"/>
          <w:szCs w:val="21"/>
          <w:lang w:val="en-US" w:eastAsia="zh-CN" w:bidi="ar"/>
        </w:rPr>
        <w:t>行条例》(国务院令第691号修订版)及当前税务部门的相关规定，本合同项目的增值税税率暂定</w:t>
      </w:r>
      <w:r>
        <w:rPr>
          <w:rFonts w:hint="eastAsia" w:ascii="宋体" w:hAnsi="宋体" w:eastAsia="宋体" w:cs="宋体"/>
          <w:snapToGrid/>
          <w:color w:val="000000"/>
          <w:spacing w:val="15"/>
          <w:kern w:val="0"/>
          <w:sz w:val="21"/>
          <w:szCs w:val="21"/>
          <w:lang w:val="en-US" w:eastAsia="zh-CN" w:bidi="ar"/>
        </w:rPr>
        <w:t xml:space="preserve"> </w:t>
      </w:r>
      <w:r>
        <w:rPr>
          <w:rFonts w:hint="eastAsia" w:ascii="宋体" w:hAnsi="宋体" w:eastAsia="宋体" w:cs="宋体"/>
          <w:snapToGrid/>
          <w:color w:val="000000"/>
          <w:spacing w:val="4"/>
          <w:kern w:val="0"/>
          <w:sz w:val="21"/>
          <w:szCs w:val="21"/>
          <w:lang w:val="en-US" w:eastAsia="zh-CN" w:bidi="ar"/>
        </w:rPr>
        <w:t>为</w:t>
      </w:r>
      <w:r>
        <w:rPr>
          <w:rFonts w:hint="eastAsia" w:ascii="宋体" w:hAnsi="宋体" w:eastAsia="宋体" w:cs="宋体"/>
          <w:snapToGrid/>
          <w:color w:val="000000"/>
          <w:spacing w:val="4"/>
          <w:kern w:val="0"/>
          <w:sz w:val="21"/>
          <w:szCs w:val="21"/>
          <w:u w:val="single"/>
          <w:lang w:val="en-US" w:eastAsia="zh-CN" w:bidi="ar"/>
        </w:rPr>
        <w:t xml:space="preserve">    %</w:t>
      </w:r>
      <w:r>
        <w:rPr>
          <w:rFonts w:hint="eastAsia" w:ascii="宋体" w:hAnsi="宋体" w:eastAsia="宋体" w:cs="宋体"/>
          <w:snapToGrid/>
          <w:color w:val="000000"/>
          <w:spacing w:val="4"/>
          <w:kern w:val="0"/>
          <w:sz w:val="21"/>
          <w:szCs w:val="21"/>
          <w:lang w:val="en-US" w:eastAsia="zh-CN" w:bidi="ar"/>
        </w:rPr>
        <w:t>， 对应的销项税额为</w:t>
      </w:r>
      <w:r>
        <w:rPr>
          <w:rFonts w:hint="eastAsia" w:ascii="宋体" w:hAnsi="宋体" w:eastAsia="宋体" w:cs="宋体"/>
          <w:snapToGrid/>
          <w:color w:val="000000"/>
          <w:spacing w:val="4"/>
          <w:kern w:val="0"/>
          <w:sz w:val="21"/>
          <w:szCs w:val="21"/>
          <w:u w:val="single"/>
          <w:lang w:val="en-US" w:eastAsia="zh-CN" w:bidi="ar"/>
        </w:rPr>
        <w:t xml:space="preserve">    </w:t>
      </w:r>
      <w:r>
        <w:rPr>
          <w:rFonts w:hint="eastAsia" w:ascii="宋体" w:hAnsi="宋体" w:eastAsia="宋体" w:cs="宋体"/>
          <w:snapToGrid/>
          <w:color w:val="000000"/>
          <w:spacing w:val="29"/>
          <w:kern w:val="0"/>
          <w:sz w:val="21"/>
          <w:szCs w:val="21"/>
          <w:u w:val="single"/>
          <w:lang w:val="en-US" w:eastAsia="zh-CN" w:bidi="ar"/>
        </w:rPr>
        <w:t xml:space="preserve"> </w:t>
      </w:r>
      <w:r>
        <w:rPr>
          <w:rFonts w:hint="eastAsia" w:ascii="宋体" w:hAnsi="宋体" w:eastAsia="宋体" w:cs="宋体"/>
          <w:snapToGrid/>
          <w:color w:val="000000"/>
          <w:spacing w:val="4"/>
          <w:kern w:val="0"/>
          <w:sz w:val="21"/>
          <w:szCs w:val="21"/>
          <w:lang w:val="en-US" w:eastAsia="zh-CN" w:bidi="ar"/>
        </w:rPr>
        <w:t>元，乙方的增值税销项税</w:t>
      </w:r>
      <w:r>
        <w:rPr>
          <w:rFonts w:hint="eastAsia" w:ascii="宋体" w:hAnsi="宋体" w:eastAsia="宋体" w:cs="宋体"/>
          <w:snapToGrid/>
          <w:color w:val="000000"/>
          <w:spacing w:val="3"/>
          <w:kern w:val="0"/>
          <w:sz w:val="21"/>
          <w:szCs w:val="21"/>
          <w:lang w:val="en-US" w:eastAsia="zh-CN" w:bidi="ar"/>
        </w:rPr>
        <w:t>额根据本合同约定按实结算。在本合同</w:t>
      </w:r>
      <w:r>
        <w:rPr>
          <w:rFonts w:hint="eastAsia" w:ascii="宋体" w:hAnsi="宋体" w:eastAsia="宋体" w:cs="宋体"/>
          <w:snapToGrid/>
          <w:color w:val="000000"/>
          <w:spacing w:val="4"/>
          <w:kern w:val="0"/>
          <w:sz w:val="21"/>
          <w:szCs w:val="21"/>
          <w:lang w:val="en-US" w:eastAsia="zh-CN" w:bidi="ar"/>
        </w:rPr>
        <w:t>履行过程中，税收政策变动导致增值税税率调整，依法应调整销项税额的，依法调整；但未按合同约定及时完成污泥运输、未遵守合同服务要求提供服务、未根据合同约定提供合法、完整的请款资料等原因导致销项税额增加的，相应损失由乙方承担。</w:t>
      </w:r>
    </w:p>
    <w:p w14:paraId="52E18753">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因乙方未按法定税率计算税额或未根据本合同约定出具对应合法的发票等乙方原因导致甲方多支付税额的，乙方必须退还甲方，给甲方造成损失的，乙方须向甲方赔偿相应损失。</w:t>
      </w:r>
    </w:p>
    <w:p w14:paraId="5305A5F6">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2.3 合同单价价税合计暂定为</w:t>
      </w:r>
      <w:r>
        <w:rPr>
          <w:rFonts w:hint="eastAsia" w:ascii="宋体" w:hAnsi="宋体" w:eastAsia="宋体" w:cs="宋体"/>
          <w:snapToGrid/>
          <w:color w:val="000000"/>
          <w:spacing w:val="4"/>
          <w:kern w:val="0"/>
          <w:sz w:val="21"/>
          <w:szCs w:val="21"/>
          <w:u w:val="single"/>
          <w:lang w:val="en-US" w:eastAsia="zh-CN" w:bidi="ar"/>
        </w:rPr>
        <w:t xml:space="preserve">     </w:t>
      </w:r>
      <w:r>
        <w:rPr>
          <w:rFonts w:hint="eastAsia" w:ascii="宋体" w:hAnsi="宋体" w:eastAsia="宋体" w:cs="宋体"/>
          <w:snapToGrid/>
          <w:color w:val="000000"/>
          <w:spacing w:val="4"/>
          <w:kern w:val="0"/>
          <w:sz w:val="21"/>
          <w:szCs w:val="21"/>
          <w:lang w:val="en-US" w:eastAsia="zh-CN" w:bidi="ar"/>
        </w:rPr>
        <w:t>元/(吨·公里)，合同履行期间根据本条第2.2款规定调整销项税额的，结算合同单价价税合计对应调整。</w:t>
      </w:r>
    </w:p>
    <w:p w14:paraId="78B57BB4">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2.4 运输服务费合同单价包括了乙方为完成本合同约定的全部工作所需支付的一切费用，包括但不限于乙方履行本合同所发生的运输服务范围内所需的人工费(含加班和节假日补贴)、车辆使用及燃油费、作业现场除尘及场地清洗费、污泥运输过路桥费(含高速路)、提供运输服务人员的工资、食宿、保险费(包括运输车辆交强险、第三者责任险等商业保险，乙方及其雇员社会保障资金、保险、第三者责任险，环境污染责任险等)、乙方复核污泥重量的称重费(如有)、因部分污泥贮存点现场条件限制只能安排小型运输车辆而增加的成本、日常配合服务费、乙方销项税额以外的税费等合同实施过程中产生的全部直接和间接费用。</w:t>
      </w:r>
    </w:p>
    <w:p w14:paraId="31091317">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2.5 (不含税)运输服务费=不含税运输服务费单价[单位：元/(吨·公里)]×运输距离(公里) ×运输污泥重量(吨)。其中，</w:t>
      </w:r>
    </w:p>
    <w:p w14:paraId="23F9167C">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(1)运输路线和运输距离由</w:t>
      </w:r>
      <w:r>
        <w:rPr>
          <w:rFonts w:hint="eastAsia" w:ascii="宋体" w:hAnsi="宋体" w:eastAsia="宋体" w:cs="宋体"/>
          <w:snapToGrid/>
          <w:color w:val="000000"/>
          <w:spacing w:val="1"/>
          <w:kern w:val="0"/>
          <w:sz w:val="21"/>
          <w:szCs w:val="21"/>
          <w:lang w:val="en-US" w:eastAsia="zh-CN" w:bidi="ar"/>
        </w:rPr>
        <w:t>乙方</w:t>
      </w:r>
      <w:r>
        <w:rPr>
          <w:rFonts w:hint="eastAsia" w:ascii="宋体" w:hAnsi="宋体" w:eastAsia="宋体" w:cs="宋体"/>
          <w:snapToGrid/>
          <w:color w:val="000000"/>
          <w:spacing w:val="4"/>
          <w:kern w:val="0"/>
          <w:sz w:val="21"/>
          <w:szCs w:val="21"/>
          <w:lang w:val="en-US" w:eastAsia="zh-CN" w:bidi="ar"/>
        </w:rPr>
        <w:t>转移运输污泥前向甲方报审，经甲方审核确认后确定行驶路线和运输距离，经甲方、乙方双方签字确定后作为污泥运输服务费的计费依据。</w:t>
      </w:r>
    </w:p>
    <w:p w14:paraId="5D110FB8">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(2)运输费按单程运输距离计算，不计算运输车辆返程路程。运输距离根据百度地图APP对应类型货车行驶路线最短距离计算，按四舍五入保留到个位数(公里)。百度地图推荐多条路线时，以距离最短方案载明的路线里程为准，不考虑躲避拥堵、红绿灯少等偏好。因公安及交通等管理部门规定限行，以及根据实际情况存在限重确实需要绕行的，需经甲方审核同意后以调整后的运输路线距离作为计费的运输距离。</w:t>
      </w:r>
    </w:p>
    <w:p w14:paraId="0B320632">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(3)污泥重量以甲方指定的第三方过磅数量为准，称重的过磅费用由甲方承担。乙方对过磅重量有异议的，由双方共同指定的第三方过磅复核重量，费用由乙方承担。</w:t>
      </w:r>
    </w:p>
    <w:p w14:paraId="1FC27B5A">
      <w:pPr>
        <w:keepNext w:val="0"/>
        <w:keepLines w:val="0"/>
        <w:pageBreakBefore w:val="0"/>
        <w:widowControl/>
        <w:suppressLineNumbers w:val="0"/>
        <w:kinsoku w:val="0"/>
        <w:wordWrap/>
        <w:overflowPunct/>
        <w:topLinePunct w:val="0"/>
        <w:autoSpaceDE w:val="0"/>
        <w:autoSpaceDN w:val="0"/>
        <w:bidi w:val="0"/>
        <w:adjustRightInd w:val="0"/>
        <w:snapToGrid w:val="0"/>
        <w:spacing w:before="251" w:beforeAutospacing="0" w:after="167" w:afterLines="50" w:afterAutospacing="0"/>
        <w:ind w:left="414" w:right="0"/>
        <w:jc w:val="both"/>
        <w:textAlignment w:val="baseline"/>
        <w:outlineLvl w:val="9"/>
        <w:rPr>
          <w:rFonts w:hint="eastAsia" w:ascii="宋体" w:hAnsi="宋体" w:eastAsia="宋体" w:cs="宋体"/>
          <w:b/>
          <w:bCs/>
          <w:snapToGrid/>
          <w:color w:val="000000"/>
          <w:spacing w:val="10"/>
          <w:kern w:val="0"/>
          <w:sz w:val="21"/>
          <w:szCs w:val="21"/>
          <w:lang w:val="en-US" w:eastAsia="zh-CN" w:bidi="ar"/>
        </w:rPr>
      </w:pPr>
      <w:r>
        <w:rPr>
          <w:rFonts w:hint="eastAsia" w:ascii="宋体" w:hAnsi="宋体" w:eastAsia="宋体" w:cs="宋体"/>
          <w:b/>
          <w:bCs/>
          <w:snapToGrid/>
          <w:color w:val="000000"/>
          <w:spacing w:val="10"/>
          <w:kern w:val="0"/>
          <w:sz w:val="21"/>
          <w:szCs w:val="21"/>
          <w:lang w:val="en-US" w:eastAsia="zh-CN" w:bidi="ar"/>
        </w:rPr>
        <w:t>第三条 污泥运输量确认及资料要求</w:t>
      </w:r>
    </w:p>
    <w:p w14:paraId="42E17E66">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4"/>
          <w:kern w:val="0"/>
          <w:sz w:val="21"/>
          <w:szCs w:val="21"/>
        </w:rPr>
      </w:pPr>
      <w:r>
        <w:rPr>
          <w:rFonts w:hint="eastAsia" w:ascii="宋体" w:hAnsi="宋体" w:eastAsia="宋体" w:cs="宋体"/>
          <w:snapToGrid/>
          <w:color w:val="000000"/>
          <w:spacing w:val="4"/>
          <w:kern w:val="0"/>
          <w:sz w:val="21"/>
          <w:szCs w:val="21"/>
          <w:lang w:val="en-US" w:eastAsia="zh-CN" w:bidi="ar"/>
        </w:rPr>
        <w:t>3.1 运输司机资料、运输路线和运输距离由乙方在转移运输污泥前，于污泥装运点向甲方报审，甲方审核确认后确定行驶路线和运输距离，经甲、乙双方签字确定后作为运输距离的计费依据，由乙方负责整理成台账。</w:t>
      </w:r>
    </w:p>
    <w:p w14:paraId="346E9E27">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2"/>
          <w:kern w:val="0"/>
          <w:sz w:val="21"/>
          <w:szCs w:val="21"/>
          <w:lang w:val="en-US" w:eastAsia="zh-CN" w:bidi="ar"/>
        </w:rPr>
        <w:t>3.2</w:t>
      </w:r>
      <w:r>
        <w:rPr>
          <w:rFonts w:hint="eastAsia" w:ascii="宋体" w:hAnsi="宋体" w:eastAsia="宋体" w:cs="宋体"/>
          <w:snapToGrid/>
          <w:color w:val="000000"/>
          <w:spacing w:val="32"/>
          <w:kern w:val="0"/>
          <w:sz w:val="21"/>
          <w:szCs w:val="21"/>
          <w:lang w:val="en-US" w:eastAsia="zh-CN" w:bidi="ar"/>
        </w:rPr>
        <w:t xml:space="preserve"> </w:t>
      </w:r>
      <w:r>
        <w:rPr>
          <w:rFonts w:hint="eastAsia" w:ascii="宋体" w:hAnsi="宋体" w:eastAsia="宋体" w:cs="宋体"/>
          <w:snapToGrid/>
          <w:color w:val="000000"/>
          <w:spacing w:val="2"/>
          <w:kern w:val="0"/>
          <w:sz w:val="21"/>
          <w:szCs w:val="21"/>
          <w:lang w:val="en-US" w:eastAsia="zh-CN" w:bidi="ar"/>
        </w:rPr>
        <w:t>甲方委托转移运输的污泥自</w:t>
      </w:r>
      <w:r>
        <w:rPr>
          <w:rFonts w:hint="eastAsia" w:ascii="宋体" w:hAnsi="宋体" w:eastAsia="宋体" w:cs="宋体"/>
          <w:snapToGrid/>
          <w:color w:val="000000"/>
          <w:spacing w:val="1"/>
          <w:kern w:val="0"/>
          <w:sz w:val="21"/>
          <w:szCs w:val="21"/>
          <w:lang w:val="en-US" w:eastAsia="zh-CN" w:bidi="ar"/>
        </w:rPr>
        <w:t>甲方</w:t>
      </w:r>
      <w:r>
        <w:rPr>
          <w:rFonts w:hint="eastAsia" w:ascii="宋体" w:hAnsi="宋体" w:eastAsia="宋体" w:cs="宋体"/>
          <w:snapToGrid/>
          <w:color w:val="000000"/>
          <w:spacing w:val="2"/>
          <w:kern w:val="0"/>
          <w:sz w:val="21"/>
          <w:szCs w:val="21"/>
          <w:lang w:val="en-US" w:eastAsia="zh-CN" w:bidi="ar"/>
        </w:rPr>
        <w:t>污泥装运点装运</w:t>
      </w:r>
      <w:r>
        <w:rPr>
          <w:rFonts w:hint="eastAsia" w:ascii="宋体" w:hAnsi="宋体" w:eastAsia="宋体" w:cs="宋体"/>
          <w:snapToGrid/>
          <w:color w:val="000000"/>
          <w:spacing w:val="1"/>
          <w:kern w:val="0"/>
          <w:sz w:val="21"/>
          <w:szCs w:val="21"/>
          <w:lang w:val="en-US" w:eastAsia="zh-CN" w:bidi="ar"/>
        </w:rPr>
        <w:t>、过磅，装运时甲、乙双方共同填写</w:t>
      </w:r>
      <w:r>
        <w:rPr>
          <w:rFonts w:hint="eastAsia" w:ascii="宋体" w:hAnsi="宋体" w:eastAsia="宋体" w:cs="宋体"/>
          <w:snapToGrid/>
          <w:color w:val="000000"/>
          <w:spacing w:val="17"/>
          <w:kern w:val="0"/>
          <w:sz w:val="21"/>
          <w:szCs w:val="21"/>
          <w:lang w:val="en-US" w:eastAsia="zh-CN" w:bidi="ar"/>
        </w:rPr>
        <w:t>、记录污泥数量(吨)和吨包数量（包）</w:t>
      </w:r>
      <w:r>
        <w:rPr>
          <w:rFonts w:hint="eastAsia" w:ascii="宋体" w:hAnsi="宋体" w:eastAsia="宋体" w:cs="宋体"/>
          <w:snapToGrid/>
          <w:color w:val="000000"/>
          <w:spacing w:val="16"/>
          <w:kern w:val="0"/>
          <w:sz w:val="21"/>
          <w:szCs w:val="21"/>
          <w:lang w:val="en-US" w:eastAsia="zh-CN" w:bidi="ar"/>
        </w:rPr>
        <w:t>,</w:t>
      </w:r>
      <w:r>
        <w:rPr>
          <w:rFonts w:hint="eastAsia" w:ascii="宋体" w:hAnsi="宋体" w:eastAsia="宋体" w:cs="宋体"/>
          <w:snapToGrid/>
          <w:color w:val="000000"/>
          <w:kern w:val="0"/>
          <w:sz w:val="21"/>
          <w:szCs w:val="21"/>
          <w:lang w:val="en-US" w:eastAsia="zh-CN" w:bidi="ar"/>
        </w:rPr>
        <w:t xml:space="preserve"> </w:t>
      </w:r>
      <w:r>
        <w:rPr>
          <w:rFonts w:hint="eastAsia" w:ascii="宋体" w:hAnsi="宋体" w:eastAsia="宋体" w:cs="宋体"/>
          <w:snapToGrid/>
          <w:color w:val="000000"/>
          <w:spacing w:val="1"/>
          <w:kern w:val="0"/>
          <w:sz w:val="21"/>
          <w:szCs w:val="21"/>
          <w:lang w:val="en-US" w:eastAsia="zh-CN" w:bidi="ar"/>
        </w:rPr>
        <w:t>到达甲方指定卸货地点，双方确认数量后签</w:t>
      </w:r>
      <w:r>
        <w:rPr>
          <w:rFonts w:hint="eastAsia" w:ascii="宋体" w:hAnsi="宋体" w:eastAsia="宋体" w:cs="宋体"/>
          <w:snapToGrid/>
          <w:color w:val="000000"/>
          <w:kern w:val="0"/>
          <w:sz w:val="21"/>
          <w:szCs w:val="21"/>
          <w:lang w:val="en-US" w:eastAsia="zh-CN" w:bidi="ar"/>
        </w:rPr>
        <w:t>收。</w:t>
      </w:r>
    </w:p>
    <w:p w14:paraId="4A4A3B18">
      <w:pPr>
        <w:keepNext w:val="0"/>
        <w:keepLines w:val="0"/>
        <w:widowControl/>
        <w:suppressLineNumbers w:val="0"/>
        <w:kinsoku w:val="0"/>
        <w:autoSpaceDE w:val="0"/>
        <w:autoSpaceDN w:val="0"/>
        <w:adjustRightInd w:val="0"/>
        <w:snapToGrid w:val="0"/>
        <w:spacing w:before="215" w:beforeAutospacing="0" w:after="0" w:afterAutospacing="0"/>
        <w:ind w:left="420" w:right="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甲乙双方同意：单车次污泥重量以甲方指定的第三方过磅数量为准。</w:t>
      </w:r>
    </w:p>
    <w:p w14:paraId="078EB332">
      <w:pPr>
        <w:keepNext w:val="0"/>
        <w:keepLines w:val="0"/>
        <w:widowControl/>
        <w:suppressLineNumbers w:val="0"/>
        <w:kinsoku w:val="0"/>
        <w:autoSpaceDE w:val="0"/>
        <w:autoSpaceDN w:val="0"/>
        <w:adjustRightInd w:val="0"/>
        <w:snapToGrid w:val="0"/>
        <w:spacing w:before="212" w:beforeAutospacing="0" w:after="0" w:afterAutospacing="0"/>
        <w:ind w:left="420" w:right="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乙方对过磅重量有异议的，由双方共同指定的第三方过磅复核重量，费用由乙方承担。</w:t>
      </w:r>
    </w:p>
    <w:p w14:paraId="40E57D84">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3.3</w:t>
      </w:r>
      <w:r>
        <w:rPr>
          <w:rFonts w:hint="eastAsia" w:ascii="宋体" w:hAnsi="宋体" w:eastAsia="宋体" w:cs="宋体"/>
          <w:snapToGrid/>
          <w:color w:val="000000"/>
          <w:spacing w:val="36"/>
          <w:kern w:val="0"/>
          <w:sz w:val="21"/>
          <w:szCs w:val="21"/>
          <w:lang w:val="en-US" w:eastAsia="zh-CN" w:bidi="ar"/>
        </w:rPr>
        <w:t xml:space="preserve"> </w:t>
      </w:r>
      <w:r>
        <w:rPr>
          <w:rFonts w:hint="eastAsia" w:ascii="宋体" w:hAnsi="宋体" w:eastAsia="宋体" w:cs="宋体"/>
          <w:snapToGrid/>
          <w:color w:val="000000"/>
          <w:spacing w:val="-1"/>
          <w:kern w:val="0"/>
          <w:sz w:val="21"/>
          <w:szCs w:val="21"/>
          <w:lang w:val="en-US" w:eastAsia="zh-CN" w:bidi="ar"/>
        </w:rPr>
        <w:t>乙方必须在污泥到达甲方指定卸货点的次日10:00前，向甲方提供该车污泥装卸货过程中的相关资料。</w:t>
      </w:r>
    </w:p>
    <w:p w14:paraId="33F9D644">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4"/>
          <w:kern w:val="0"/>
          <w:sz w:val="21"/>
          <w:szCs w:val="21"/>
          <w:lang w:val="en-US" w:eastAsia="zh-CN" w:bidi="ar"/>
        </w:rPr>
        <w:t>资料制作要求：（1）</w:t>
      </w:r>
      <w:r>
        <w:rPr>
          <w:rFonts w:hint="eastAsia" w:ascii="宋体" w:hAnsi="宋体" w:eastAsia="宋体" w:cs="宋体"/>
          <w:snapToGrid/>
          <w:color w:val="000000"/>
          <w:kern w:val="0"/>
          <w:sz w:val="21"/>
          <w:szCs w:val="21"/>
          <w:lang w:val="en-US" w:eastAsia="zh-CN" w:bidi="ar"/>
        </w:rPr>
        <w:t>运输车辆到达半干污泥装车地点，拍摄装车过程照片，装车照片应清晰显示车牌号码及车辆正在进行半干污泥装车；（2）装车完成后上锁封条，拍摄封条照片，封条照片应清晰显示封条编号及封条未拆卸；（3）填写一式两份派车单并由运输司机及现场负责人签名，提交给半干污泥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甲方指定卸泥点后拍摄卸货前封条照片，照片应清晰显示封条编号及封条未拆封；（7）卸货过程应拍摄照片及视频，照片应清晰显示车牌号码、正在起斗的过程，以及车后的泥仓；视频应按甲方提供的视频模板拍摄，视频时长约15秒，从车头车牌开始录制，缓慢移步至车辆一侧录制卸泥过程，要求显示起斗过程及泥仓；（8）卸货完成后，磅单拍照，照片应清晰显示各项信息，包括出厂日期、过磅时间、重量等；（9）上述照片、视频务必使用“今日水印相机”软件拍摄、录制，定位信息能清晰显示地点及日期。</w:t>
      </w:r>
    </w:p>
    <w:p w14:paraId="53F159B1">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color w:val="000000"/>
          <w:spacing w:val="4"/>
          <w:kern w:val="0"/>
          <w:sz w:val="21"/>
          <w:szCs w:val="21"/>
        </w:rPr>
        <w:t>资料提交要求：(1)</w:t>
      </w:r>
      <w:r>
        <w:rPr>
          <w:rFonts w:hint="eastAsia" w:ascii="宋体" w:hAnsi="宋体" w:eastAsia="宋体" w:cs="宋体"/>
          <w:color w:val="000000"/>
          <w:kern w:val="0"/>
          <w:sz w:val="21"/>
          <w:szCs w:val="21"/>
        </w:rPr>
        <w:t>乙方按照本条款的要求进行拍摄、整理每日运输影像资料后，以压缩文件形式在</w:t>
      </w:r>
      <w:r>
        <w:rPr>
          <w:rFonts w:hint="eastAsia" w:ascii="宋体" w:hAnsi="宋体" w:eastAsia="宋体" w:cs="宋体"/>
          <w:snapToGrid/>
          <w:color w:val="000000"/>
          <w:spacing w:val="1"/>
          <w:kern w:val="0"/>
          <w:sz w:val="21"/>
          <w:szCs w:val="21"/>
          <w:lang w:val="en-US" w:eastAsia="zh-CN" w:bidi="ar"/>
        </w:rPr>
        <w:t>次日</w:t>
      </w:r>
      <w:r>
        <w:rPr>
          <w:rFonts w:hint="eastAsia" w:ascii="宋体" w:hAnsi="宋体" w:eastAsia="宋体" w:cs="宋体"/>
          <w:color w:val="000000"/>
          <w:kern w:val="0"/>
          <w:sz w:val="21"/>
          <w:szCs w:val="21"/>
        </w:rPr>
        <w:t>上午10:00前发送至甲方指定邮箱：swjt_dsyhn@163.com（邮箱如有变化以甲方通知为准）；邮件及影像资料附件名称为“运输单位+卸泥地点+日期（年月日）+半干污泥运输资料”；（2）乙方以“送+半干污泥产生单位+日期+磅单”或“回+半干污泥接收单位+日期+磅单”为一级文件夹名称，将过程资料放入该文件夹中，通过邮件提交给甲方。</w:t>
      </w:r>
    </w:p>
    <w:p w14:paraId="045098BF">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snapToGrid/>
          <w:color w:val="000000"/>
          <w:spacing w:val="-1"/>
          <w:kern w:val="0"/>
          <w:sz w:val="21"/>
          <w:szCs w:val="21"/>
          <w:lang w:val="en-US" w:eastAsia="zh-CN" w:bidi="ar"/>
        </w:rPr>
      </w:pPr>
      <w:r>
        <w:rPr>
          <w:rFonts w:hint="eastAsia" w:ascii="宋体" w:hAnsi="宋体" w:eastAsia="宋体" w:cs="宋体"/>
          <w:snapToGrid/>
          <w:color w:val="000000"/>
          <w:spacing w:val="-1"/>
          <w:kern w:val="0"/>
          <w:sz w:val="21"/>
          <w:szCs w:val="21"/>
          <w:lang w:val="en-US" w:eastAsia="zh-CN" w:bidi="ar"/>
        </w:rPr>
        <w:t xml:space="preserve">3.4 </w:t>
      </w:r>
      <w:r>
        <w:rPr>
          <w:rFonts w:hint="eastAsia" w:ascii="宋体" w:hAnsi="宋体" w:eastAsia="宋体" w:cs="宋体"/>
          <w:color w:val="000000"/>
          <w:kern w:val="0"/>
          <w:sz w:val="21"/>
          <w:szCs w:val="21"/>
          <w:lang w:val="en-US" w:eastAsia="zh-CN"/>
        </w:rPr>
        <w:t>乙方</w:t>
      </w:r>
      <w:r>
        <w:rPr>
          <w:rFonts w:hint="eastAsia" w:ascii="宋体" w:hAnsi="宋体" w:eastAsia="宋体" w:cs="宋体"/>
          <w:snapToGrid/>
          <w:color w:val="000000"/>
          <w:spacing w:val="-1"/>
          <w:kern w:val="0"/>
          <w:sz w:val="21"/>
          <w:szCs w:val="21"/>
          <w:lang w:val="en-US" w:eastAsia="zh-CN" w:bidi="ar"/>
        </w:rPr>
        <w:t>按7日/次的频次，根据初次核对确认的半干污泥外运数量和资料填报要求，向甲方提交经乙方确认的运输台账（含电子文档）、磅单等资料。甲方对接收的资料复核后，发现资料有误的，乙方必须在3日内按要求重新提交。甲方将复核后的资料送半干污泥产生单位盖章确认，经乙方、半干污泥产生单位、甲方共同签字/盖章确认后，确定该批次半干污泥实际转移数量，并由甲方留存备查。</w:t>
      </w:r>
    </w:p>
    <w:p w14:paraId="44E5445B">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3.5 本合同签订前乙方已根据甲方要求开展的转移运输量，经甲方审核无误后纳入本合同约定的运输量并按本合同约定计算运输服务费。</w:t>
      </w:r>
    </w:p>
    <w:p w14:paraId="5535D4CA">
      <w:pPr>
        <w:keepNext w:val="0"/>
        <w:keepLines w:val="0"/>
        <w:pageBreakBefore w:val="0"/>
        <w:widowControl/>
        <w:suppressLineNumbers w:val="0"/>
        <w:kinsoku w:val="0"/>
        <w:wordWrap/>
        <w:overflowPunct/>
        <w:topLinePunct w:val="0"/>
        <w:autoSpaceDE w:val="0"/>
        <w:autoSpaceDN w:val="0"/>
        <w:bidi w:val="0"/>
        <w:adjustRightInd w:val="0"/>
        <w:snapToGrid w:val="0"/>
        <w:spacing w:before="221" w:beforeAutospacing="0" w:after="0" w:afterAutospacing="0"/>
        <w:ind w:right="0"/>
        <w:jc w:val="both"/>
        <w:textAlignment w:val="baseline"/>
        <w:outlineLvl w:val="9"/>
        <w:rPr>
          <w:rFonts w:hint="eastAsia" w:ascii="宋体" w:hAnsi="宋体" w:eastAsia="宋体" w:cs="宋体"/>
          <w:b/>
          <w:bCs/>
          <w:snapToGrid/>
          <w:color w:val="000000"/>
          <w:spacing w:val="18"/>
          <w:kern w:val="0"/>
          <w:sz w:val="21"/>
          <w:szCs w:val="21"/>
          <w:lang w:val="en-US" w:eastAsia="zh-CN" w:bidi="ar"/>
        </w:rPr>
      </w:pPr>
      <w:r>
        <w:rPr>
          <w:rFonts w:hint="eastAsia" w:ascii="宋体" w:hAnsi="宋体" w:eastAsia="宋体" w:cs="宋体"/>
          <w:b/>
          <w:bCs/>
          <w:snapToGrid/>
          <w:color w:val="000000"/>
          <w:spacing w:val="18"/>
          <w:kern w:val="0"/>
          <w:sz w:val="21"/>
          <w:szCs w:val="21"/>
          <w:lang w:val="en-US" w:eastAsia="zh-CN" w:bidi="ar"/>
        </w:rPr>
        <w:tab/>
        <w:t>第四条付款方式</w:t>
      </w:r>
    </w:p>
    <w:p w14:paraId="25CF7887">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4"/>
          <w:kern w:val="0"/>
          <w:sz w:val="21"/>
          <w:szCs w:val="21"/>
          <w:lang w:val="en-US" w:eastAsia="zh-CN" w:bidi="ar"/>
        </w:rPr>
        <w:t>4.1 合同履约过程中，乙方根据本合同约定需向</w:t>
      </w:r>
      <w:r>
        <w:rPr>
          <w:rFonts w:hint="eastAsia" w:ascii="宋体" w:hAnsi="宋体" w:eastAsia="宋体" w:cs="宋体"/>
          <w:snapToGrid/>
          <w:color w:val="000000"/>
          <w:spacing w:val="3"/>
          <w:kern w:val="0"/>
          <w:sz w:val="21"/>
          <w:szCs w:val="21"/>
          <w:lang w:val="en-US" w:eastAsia="zh-CN" w:bidi="ar"/>
        </w:rPr>
        <w:t>甲方支付违约金、赔偿金、或其他应付费用等</w:t>
      </w:r>
      <w:r>
        <w:rPr>
          <w:rFonts w:hint="eastAsia" w:ascii="宋体" w:hAnsi="宋体" w:eastAsia="宋体" w:cs="宋体"/>
          <w:snapToGrid/>
          <w:color w:val="000000"/>
          <w:spacing w:val="1"/>
          <w:kern w:val="0"/>
          <w:sz w:val="21"/>
          <w:szCs w:val="21"/>
          <w:lang w:val="en-US" w:eastAsia="zh-CN" w:bidi="ar"/>
        </w:rPr>
        <w:t>款项的，乙方</w:t>
      </w:r>
      <w:r>
        <w:rPr>
          <w:rFonts w:hint="eastAsia" w:ascii="宋体" w:hAnsi="宋体" w:eastAsia="宋体" w:cs="宋体"/>
          <w:snapToGrid/>
          <w:color w:val="000000"/>
          <w:spacing w:val="1"/>
          <w:kern w:val="0"/>
          <w:sz w:val="21"/>
          <w:szCs w:val="21"/>
          <w:lang w:val="en-US" w:eastAsia="zh-CN" w:bidi="ar"/>
        </w:rPr>
        <w:t>必须</w:t>
      </w:r>
      <w:r>
        <w:rPr>
          <w:rFonts w:hint="eastAsia" w:ascii="宋体" w:hAnsi="宋体" w:eastAsia="宋体" w:cs="宋体"/>
          <w:snapToGrid/>
          <w:color w:val="000000"/>
          <w:spacing w:val="1"/>
          <w:kern w:val="0"/>
          <w:sz w:val="21"/>
          <w:szCs w:val="21"/>
          <w:lang w:val="en-US" w:eastAsia="zh-CN" w:bidi="ar"/>
        </w:rPr>
        <w:t>向甲方支付完相关款项后，甲方才根据本合同向乙方支付合同价和对应的税额。</w:t>
      </w:r>
      <w:r>
        <w:rPr>
          <w:rFonts w:hint="eastAsia" w:ascii="宋体" w:hAnsi="宋体" w:eastAsia="宋体" w:cs="宋体"/>
          <w:snapToGrid/>
          <w:color w:val="000000"/>
          <w:spacing w:val="5"/>
          <w:kern w:val="0"/>
          <w:sz w:val="21"/>
          <w:szCs w:val="21"/>
          <w:lang w:val="en-US" w:eastAsia="zh-CN" w:bidi="ar"/>
        </w:rPr>
        <w:t xml:space="preserve"> </w:t>
      </w:r>
      <w:r>
        <w:rPr>
          <w:rFonts w:hint="eastAsia" w:ascii="宋体" w:hAnsi="宋体" w:eastAsia="宋体" w:cs="宋体"/>
          <w:snapToGrid/>
          <w:color w:val="000000"/>
          <w:spacing w:val="1"/>
          <w:kern w:val="0"/>
          <w:sz w:val="21"/>
          <w:szCs w:val="21"/>
          <w:lang w:val="en-US" w:eastAsia="zh-CN" w:bidi="ar"/>
        </w:rPr>
        <w:t>若因乙方未能支付前述费用，甲方有权直接从未</w:t>
      </w:r>
      <w:r>
        <w:rPr>
          <w:rFonts w:hint="eastAsia" w:ascii="宋体" w:hAnsi="宋体" w:eastAsia="宋体" w:cs="宋体"/>
          <w:snapToGrid/>
          <w:color w:val="000000"/>
          <w:spacing w:val="6"/>
          <w:kern w:val="0"/>
          <w:sz w:val="21"/>
          <w:szCs w:val="21"/>
          <w:lang w:val="en-US" w:eastAsia="zh-CN" w:bidi="ar"/>
        </w:rPr>
        <w:t>付合同款项中直接扣除，且乙方必须按照扣除前述费用前的不含税运输服务费(销售额)开具对应</w:t>
      </w:r>
      <w:r>
        <w:rPr>
          <w:rFonts w:hint="eastAsia" w:ascii="宋体" w:hAnsi="宋体" w:eastAsia="宋体" w:cs="宋体"/>
          <w:snapToGrid/>
          <w:color w:val="000000"/>
          <w:kern w:val="0"/>
          <w:sz w:val="21"/>
          <w:szCs w:val="21"/>
          <w:lang w:val="en-US" w:eastAsia="zh-CN" w:bidi="ar"/>
        </w:rPr>
        <w:t>的合法发票，保证增值税税额符合法律规定。</w:t>
      </w:r>
    </w:p>
    <w:p w14:paraId="4E4C06F6">
      <w:pPr>
        <w:keepNext w:val="0"/>
        <w:keepLines w:val="0"/>
        <w:widowControl/>
        <w:suppressLineNumbers w:val="0"/>
        <w:kinsoku w:val="0"/>
        <w:autoSpaceDE w:val="0"/>
        <w:autoSpaceDN w:val="0"/>
        <w:adjustRightInd w:val="0"/>
        <w:snapToGrid w:val="0"/>
        <w:spacing w:before="202" w:beforeAutospacing="0" w:after="0" w:afterAutospacing="0"/>
        <w:ind w:left="409" w:right="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8"/>
          <w:kern w:val="0"/>
          <w:sz w:val="21"/>
          <w:szCs w:val="21"/>
          <w:lang w:val="en-US" w:eastAsia="zh-CN" w:bidi="ar"/>
        </w:rPr>
        <w:t>4.2 付款方式</w:t>
      </w:r>
    </w:p>
    <w:p w14:paraId="40D28E6E">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甲方按本条的约定进行付款，乙方未能按合同要求履约，根据合同约定甲方可暂缓或延期付款</w:t>
      </w:r>
      <w:r>
        <w:rPr>
          <w:rFonts w:hint="eastAsia" w:ascii="宋体" w:hAnsi="宋体" w:eastAsia="宋体" w:cs="宋体"/>
          <w:snapToGrid/>
          <w:color w:val="000000"/>
          <w:spacing w:val="-2"/>
          <w:kern w:val="0"/>
          <w:sz w:val="21"/>
          <w:szCs w:val="21"/>
          <w:lang w:val="en-US" w:eastAsia="zh-CN" w:bidi="ar"/>
        </w:rPr>
        <w:t>的，从其约定，且不视为甲方违约，乙方不得以此为由拒绝或迟延履行合同义务。</w:t>
      </w:r>
    </w:p>
    <w:p w14:paraId="1D55C32B">
      <w:pPr>
        <w:keepNext w:val="0"/>
        <w:keepLines w:val="0"/>
        <w:widowControl/>
        <w:suppressLineNumbers w:val="0"/>
        <w:kinsoku w:val="0"/>
        <w:autoSpaceDE w:val="0"/>
        <w:autoSpaceDN w:val="0"/>
        <w:adjustRightInd w:val="0"/>
        <w:snapToGrid w:val="0"/>
        <w:spacing w:before="13" w:beforeAutospacing="0" w:after="0" w:afterAutospacing="0" w:line="412" w:lineRule="auto"/>
        <w:ind w:left="0" w:right="48"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2"/>
          <w:kern w:val="0"/>
          <w:sz w:val="21"/>
          <w:szCs w:val="21"/>
          <w:lang w:val="en-US" w:eastAsia="zh-CN" w:bidi="ar"/>
        </w:rPr>
        <w:t>运输服务费按月支付。乙方应在每月10日前，向甲</w:t>
      </w:r>
      <w:r>
        <w:rPr>
          <w:rFonts w:hint="eastAsia" w:ascii="宋体" w:hAnsi="宋体" w:eastAsia="宋体" w:cs="宋体"/>
          <w:snapToGrid/>
          <w:color w:val="000000"/>
          <w:spacing w:val="1"/>
          <w:kern w:val="0"/>
          <w:sz w:val="21"/>
          <w:szCs w:val="21"/>
          <w:lang w:val="en-US" w:eastAsia="zh-CN" w:bidi="ar"/>
        </w:rPr>
        <w:t>方提交以下文件及单据等有效的请款凭证，甲方收到请款凭证后在15个工作日内完成核</w:t>
      </w:r>
      <w:r>
        <w:rPr>
          <w:rFonts w:hint="eastAsia" w:ascii="宋体" w:hAnsi="宋体" w:eastAsia="宋体" w:cs="宋体"/>
          <w:snapToGrid/>
          <w:color w:val="000000"/>
          <w:kern w:val="0"/>
          <w:sz w:val="21"/>
          <w:szCs w:val="21"/>
          <w:lang w:val="en-US" w:eastAsia="zh-CN" w:bidi="ar"/>
        </w:rPr>
        <w:t>实工作（乙方提供的请款资料因不符合要求进行修改、补充的期间不纳入前述15个工作日内），核实后通过银行转账或银行承兑汇票，汇票期限不超过三个月，每期款项支付方式由甲方诀定。</w:t>
      </w:r>
    </w:p>
    <w:p w14:paraId="528C96A4">
      <w:pPr>
        <w:keepNext w:val="0"/>
        <w:keepLines w:val="0"/>
        <w:widowControl/>
        <w:suppressLineNumbers w:val="0"/>
        <w:kinsoku w:val="0"/>
        <w:autoSpaceDE w:val="0"/>
        <w:autoSpaceDN w:val="0"/>
        <w:adjustRightInd w:val="0"/>
        <w:snapToGrid w:val="0"/>
        <w:spacing w:before="13" w:beforeAutospacing="0" w:after="0" w:afterAutospacing="0" w:line="412" w:lineRule="auto"/>
        <w:ind w:left="0" w:right="48"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请款材料清单如下：</w:t>
      </w:r>
    </w:p>
    <w:p w14:paraId="0DAA8184">
      <w:pPr>
        <w:keepNext w:val="0"/>
        <w:keepLines w:val="0"/>
        <w:widowControl/>
        <w:suppressLineNumbers w:val="0"/>
        <w:kinsoku w:val="0"/>
        <w:autoSpaceDE w:val="0"/>
        <w:autoSpaceDN w:val="0"/>
        <w:adjustRightInd w:val="0"/>
        <w:snapToGrid w:val="0"/>
        <w:spacing w:before="13" w:beforeAutospacing="0" w:after="0" w:afterAutospacing="0" w:line="412" w:lineRule="auto"/>
        <w:ind w:left="0" w:right="48" w:firstLine="409"/>
        <w:jc w:val="both"/>
        <w:textAlignment w:val="baseline"/>
        <w:rPr>
          <w:rFonts w:hint="eastAsia" w:ascii="宋体" w:hAnsi="宋体" w:eastAsia="宋体" w:cs="宋体"/>
          <w:color w:val="000000"/>
          <w:spacing w:val="18"/>
          <w:kern w:val="0"/>
          <w:sz w:val="21"/>
          <w:szCs w:val="21"/>
        </w:rPr>
      </w:pPr>
      <w:r>
        <w:rPr>
          <w:rFonts w:hint="eastAsia" w:ascii="宋体" w:hAnsi="宋体" w:eastAsia="宋体" w:cs="宋体"/>
          <w:snapToGrid/>
          <w:color w:val="000000"/>
          <w:spacing w:val="18"/>
          <w:kern w:val="0"/>
          <w:sz w:val="21"/>
          <w:szCs w:val="21"/>
          <w:lang w:val="en-US" w:eastAsia="zh-CN" w:bidi="ar"/>
        </w:rPr>
        <w:t>（1）记录台账;</w:t>
      </w:r>
    </w:p>
    <w:p w14:paraId="1FE0196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8" w:firstLineChars="200"/>
        <w:jc w:val="both"/>
        <w:textAlignment w:val="baseline"/>
        <w:rPr>
          <w:rFonts w:hint="eastAsia" w:ascii="宋体" w:hAnsi="宋体" w:eastAsia="宋体" w:cs="宋体"/>
          <w:color w:val="000000"/>
          <w:spacing w:val="2"/>
          <w:kern w:val="0"/>
          <w:sz w:val="21"/>
          <w:szCs w:val="21"/>
        </w:rPr>
      </w:pPr>
      <w:r>
        <w:rPr>
          <w:rFonts w:hint="eastAsia" w:ascii="宋体" w:hAnsi="宋体" w:eastAsia="宋体" w:cs="宋体"/>
          <w:snapToGrid/>
          <w:color w:val="000000"/>
          <w:spacing w:val="2"/>
          <w:kern w:val="0"/>
          <w:sz w:val="21"/>
          <w:szCs w:val="21"/>
          <w:lang w:val="en-US" w:eastAsia="zh-CN" w:bidi="ar"/>
        </w:rPr>
        <w:t>（2）与请款金额等额、合法的有效增值税专用发票(收款方、出具票据方均须与乙方名称一致，付款方为东莞市尚源环能科技有限公司；当乙方为小规模纳税人时在小规模纳税人增值税免征期间开具的免税普通发票);</w:t>
      </w:r>
    </w:p>
    <w:p w14:paraId="3F8FBFD6">
      <w:pPr>
        <w:keepNext w:val="0"/>
        <w:keepLines w:val="0"/>
        <w:widowControl/>
        <w:suppressLineNumbers w:val="0"/>
        <w:kinsoku w:val="0"/>
        <w:autoSpaceDE w:val="0"/>
        <w:autoSpaceDN w:val="0"/>
        <w:adjustRightInd w:val="0"/>
        <w:snapToGrid w:val="0"/>
        <w:spacing w:before="13" w:beforeAutospacing="0" w:after="0" w:afterAutospacing="0" w:line="412" w:lineRule="auto"/>
        <w:ind w:left="0" w:right="48" w:firstLine="409"/>
        <w:jc w:val="both"/>
        <w:textAlignment w:val="baseline"/>
        <w:rPr>
          <w:rFonts w:hint="eastAsia" w:ascii="宋体" w:hAnsi="宋体" w:eastAsia="宋体" w:cs="宋体"/>
          <w:color w:val="000000"/>
          <w:spacing w:val="2"/>
          <w:kern w:val="0"/>
          <w:sz w:val="21"/>
          <w:szCs w:val="21"/>
        </w:rPr>
      </w:pPr>
      <w:r>
        <w:rPr>
          <w:rFonts w:hint="eastAsia" w:ascii="宋体" w:hAnsi="宋体" w:eastAsia="宋体" w:cs="宋体"/>
          <w:snapToGrid/>
          <w:color w:val="000000"/>
          <w:spacing w:val="2"/>
          <w:kern w:val="0"/>
          <w:sz w:val="21"/>
          <w:szCs w:val="21"/>
          <w:lang w:val="en-US" w:eastAsia="zh-CN" w:bidi="ar"/>
        </w:rPr>
        <w:t>（3）请款报告(必须加盖乙方的公章)。</w:t>
      </w:r>
    </w:p>
    <w:p w14:paraId="288A5D79">
      <w:pPr>
        <w:keepNext w:val="0"/>
        <w:keepLines w:val="0"/>
        <w:widowControl/>
        <w:suppressLineNumbers w:val="0"/>
        <w:kinsoku w:val="0"/>
        <w:autoSpaceDE w:val="0"/>
        <w:autoSpaceDN w:val="0"/>
        <w:adjustRightInd w:val="0"/>
        <w:snapToGrid w:val="0"/>
        <w:spacing w:before="222" w:beforeAutospacing="0" w:after="0" w:afterAutospacing="0" w:line="408" w:lineRule="auto"/>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8"/>
          <w:kern w:val="0"/>
          <w:sz w:val="21"/>
          <w:szCs w:val="21"/>
          <w:lang w:val="en-US" w:eastAsia="zh-CN" w:bidi="ar"/>
        </w:rPr>
        <w:t xml:space="preserve">4.3 </w:t>
      </w:r>
      <w:r>
        <w:rPr>
          <w:rFonts w:hint="eastAsia" w:ascii="宋体" w:hAnsi="宋体" w:eastAsia="宋体" w:cs="宋体"/>
          <w:snapToGrid/>
          <w:color w:val="000000"/>
          <w:spacing w:val="1"/>
          <w:kern w:val="0"/>
          <w:sz w:val="21"/>
          <w:szCs w:val="21"/>
          <w:lang w:val="en-US" w:eastAsia="zh-CN" w:bidi="ar"/>
        </w:rPr>
        <w:t>乙方收款账户信息如下:</w:t>
      </w:r>
    </w:p>
    <w:p w14:paraId="5C4A031F">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（1）乙方转账或汇款收款账号:</w:t>
      </w:r>
    </w:p>
    <w:p w14:paraId="1A2C18B6">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账户名称:</w:t>
      </w:r>
    </w:p>
    <w:p w14:paraId="4639646F">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开户银行名称:</w:t>
      </w:r>
    </w:p>
    <w:p w14:paraId="0196F8E0">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银行账号:</w:t>
      </w:r>
    </w:p>
    <w:p w14:paraId="42233939">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（2）乙方汇票账号如下:</w:t>
      </w:r>
    </w:p>
    <w:p w14:paraId="4F291391">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账户名称:</w:t>
      </w:r>
    </w:p>
    <w:p w14:paraId="7BC0CDE1">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开户银行名称:</w:t>
      </w:r>
    </w:p>
    <w:p w14:paraId="0B2970DD">
      <w:pPr>
        <w:keepNext w:val="0"/>
        <w:keepLines w:val="0"/>
        <w:widowControl/>
        <w:suppressLineNumbers w:val="0"/>
        <w:kinsoku w:val="0"/>
        <w:autoSpaceDE w:val="0"/>
        <w:autoSpaceDN w:val="0"/>
        <w:adjustRightInd w:val="0"/>
        <w:snapToGrid w:val="0"/>
        <w:spacing w:before="222" w:beforeAutospacing="0" w:after="0" w:afterAutospacing="0"/>
        <w:ind w:left="0" w:right="64"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银行账号:</w:t>
      </w:r>
    </w:p>
    <w:p w14:paraId="2B1B5FD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4.4 乙方逾期提供请款资料及发票或前述资料不符合甲方要求的，甲方付款时间顺延，并不承担逾期付款违约责任，乙方不得以此为由拒绝或迟延履行合同义务。由于乙方提供的发票不符合税法规定，给甲方造成的损失由乙方承担赔偿责任。</w:t>
      </w:r>
    </w:p>
    <w:p w14:paraId="6D657167">
      <w:pPr>
        <w:keepNext w:val="0"/>
        <w:keepLines w:val="0"/>
        <w:pageBreakBefore w:val="0"/>
        <w:widowControl/>
        <w:suppressLineNumbers w:val="0"/>
        <w:kinsoku w:val="0"/>
        <w:wordWrap/>
        <w:overflowPunct/>
        <w:topLinePunct w:val="0"/>
        <w:autoSpaceDE w:val="0"/>
        <w:autoSpaceDN w:val="0"/>
        <w:bidi w:val="0"/>
        <w:adjustRightInd w:val="0"/>
        <w:snapToGrid w:val="0"/>
        <w:spacing w:before="221" w:beforeAutospacing="0" w:after="0" w:afterAutospacing="0"/>
        <w:ind w:right="0" w:firstLine="494" w:firstLineChars="200"/>
        <w:jc w:val="both"/>
        <w:textAlignment w:val="baseline"/>
        <w:outlineLvl w:val="9"/>
        <w:rPr>
          <w:rFonts w:hint="eastAsia" w:ascii="宋体" w:hAnsi="宋体" w:eastAsia="宋体" w:cs="宋体"/>
          <w:b/>
          <w:bCs/>
          <w:snapToGrid/>
          <w:color w:val="000000"/>
          <w:spacing w:val="18"/>
          <w:kern w:val="0"/>
          <w:sz w:val="21"/>
          <w:szCs w:val="21"/>
          <w:lang w:val="en-US" w:eastAsia="zh-CN" w:bidi="ar"/>
        </w:rPr>
      </w:pPr>
      <w:r>
        <w:rPr>
          <w:rFonts w:hint="eastAsia" w:ascii="宋体" w:hAnsi="宋体" w:eastAsia="宋体" w:cs="宋体"/>
          <w:b/>
          <w:bCs/>
          <w:snapToGrid/>
          <w:color w:val="000000"/>
          <w:spacing w:val="18"/>
          <w:kern w:val="0"/>
          <w:sz w:val="21"/>
          <w:szCs w:val="21"/>
          <w:lang w:val="en-US" w:eastAsia="zh-CN" w:bidi="ar"/>
        </w:rPr>
        <w:t>第五条服务要求</w:t>
      </w:r>
    </w:p>
    <w:p w14:paraId="2EF410E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 为保证调试顺利，在甲方通知半干污泥转运的时间内，乙方必须保证安排足够的车辆及司机。半干污泥采用吨袋进行包装，半干污泥的包装及上下车作业由甲方负责。</w:t>
      </w:r>
    </w:p>
    <w:p w14:paraId="0645D2C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5.2 在服务期内，除甲方分配量不足或不可抗力的情况外，乙方应承诺日均（月外运量/外运天数）外运半干污泥不少于100吨/日。</w:t>
      </w:r>
    </w:p>
    <w:p w14:paraId="573C399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5.3 在本项目有效期内，乙方应当保持相应资质的有效性，且具备在东莞市提供运输服务工作的资格条件。</w:t>
      </w:r>
    </w:p>
    <w:p w14:paraId="4C269FB2">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5.4 半干污泥运输应参照执行《危险货物道路运输规则》(JT/T 617-2018)、《中华人民共和国道路运输条例》和《道路危险货物运输管理规定》的相关要求。半干污泥运输采用陆路运输，禁止采用水路运输。</w:t>
      </w:r>
    </w:p>
    <w:p w14:paraId="7356CD99">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5.5 乙方半干污泥运输车辆必须符合公安、道路交通运输、环保等相关职能部门的相关要求，证照齐全、符合半干污泥运输的要求。乙方取得运输服务后，应将半干污泥运输车辆的行驶证、营运证及司机等信息向甲方备案。</w:t>
      </w:r>
    </w:p>
    <w:p w14:paraId="4E8C72C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5.6 乙方在驶出装载现场前，应将车辆槽帮和车轮冲洗干净，不得车轮带泥行驶、不得沿途泄漏，运输时发现自身有泄漏的，应及时采取有效措施清扫干净。车辆运输过程中，乙方应采取必要的管控措施，避免在半干污泥中混入杂物影响测试设备的正常运转。</w:t>
      </w:r>
    </w:p>
    <w:p w14:paraId="3B7FADB7">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5.7 乙方承诺使用的车辆必须安装GPS，符合《道路运输车辆卫星定位系统平台技术要求》《道路运输车辆卫星定位系统车载终端技术要求》的要求，以防止偷排偷倒，或违约使用车辆。在运输过程中，乙方应保证GPS定位系统能正常接收信号，运输全程纳入定位管理，若运输过程中出现信号无法正常连接或中断的，期间发生交通运输事故或运输过程中导致环境污染的，乙方须负主要责任，并自行承担由此产生的一切行政和经济法律责任。</w:t>
      </w:r>
    </w:p>
    <w:p w14:paraId="7EC6685A">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5.8 乙方最终运输车辆的GPS定位系统应直接与甲方在线监管平台对接，实时显示半干污泥运输轨迹等信息。</w:t>
      </w:r>
    </w:p>
    <w:p w14:paraId="5F458D3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5.9 乙方在半干污泥运输过程中不得进行中间装卸操作，严禁将半干污泥在污水处理厂外进行中转存放或堆放，严禁将半干污泥向环境中倾倒、丢弃、遗洒，发生以上事件所产生的一切行政和经济法律责任由乙方自行承担。</w:t>
      </w:r>
    </w:p>
    <w:p w14:paraId="48422A7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5.10 乙方应严格按照交通运输及相关法律、法规操作，安全、合法地运输，在任何情况下都不得进行任何形式的超载运输，否则造成的一切后果由乙方自行承担。</w:t>
      </w:r>
    </w:p>
    <w:p w14:paraId="16231367">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5.11 乙方必须提供符合各污水处理厂（处理站）道路及转泥点场地设施使用要求的车辆，并应根据通知转运半干污泥量的变化调整车辆数量，保证半干污泥能及时清运。乙方应按通知转运量安排车辆及时到达甲方指定厂区收运半干污泥，若甲方通知转运量变更时，乙方应尽力完成合理安排车次。</w:t>
      </w:r>
    </w:p>
    <w:p w14:paraId="547CACB1">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5.12 半干污泥转移前，乙方应提供运输司机资料、制定运输车辆的运输路线、核实运输距离，并向甲方报审，经甲方审核确认后确定行驶路线和运输距离，经甲乙双方签字确定后作为单次运输距离的计费依据。行驶路线一经确定，未经甲方同意，乙方不得擅自调整已确定的运输行驶路线。</w:t>
      </w:r>
    </w:p>
    <w:p w14:paraId="29D3A778">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5.13 乙方应当配合甲方或甲方指定接卸地点现场人员调度，遵守装车、卸车现场安全作业行为规范。在接收半干污泥时必须严格遵守甲方或甲方指定接卸地点的现场安全、环境、质量管理要求以及相关管理规定，根据甲方安全管理要求做好相关防护措施，维护好甲方或甲方指定接卸地点场地卫生环境现象，每车离场前必须清扫干净装车、卸车区域地面，保持该区域卫生情况良好。</w:t>
      </w:r>
    </w:p>
    <w:p w14:paraId="095170E9">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5.14 乙方对运输过程的环境、安全负全责。运输过程中，乙方应进行全过程监控和管理，防止因裸露、散落、泄漏、随意丢弃或倾倒等造成二次污染，乙方负责做好半干污泥运输及装卸过程的安全、卫生及防止半干污泥污染扩散工作。运输过程中导致环境污染的，由乙方自行承担相应的行政责任及经济责任，并承担由此产生的一切行政和经济法律责任。</w:t>
      </w:r>
    </w:p>
    <w:p w14:paraId="64DF5BD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5.15 乙方在甲方或甲方指定装卸地点厂区内按指定路线完成半干污泥运输工作，乙方车辆在甲方或甲方指定接卸地点厂区内的安全由乙方自行负责，在行驶过程中如对甲方或甲方指定接卸地点的构筑物及设备或人员造成侵害的，或对第三方人身或财产造成损害的，乙方负责修复或赔偿。</w:t>
      </w:r>
    </w:p>
    <w:p w14:paraId="6B990ABA">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5.16 在运输过程中发生燃烧、爆炸、污染、中毒或者被盗、丢失、流散、泄漏等事故，乙方应当立即采取紧急处理措施，运输驾驶员、押运人员应当立即向公安部门、乙方、甲方、环境保护行政主管部门报告，说明事故情况，并采取一切可能的警示措施和应急措施，积极配合有关部门进行处置。</w:t>
      </w:r>
    </w:p>
    <w:p w14:paraId="3FA9BB31">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5.17 甲方有权监督、查阅半干污泥运输车辆的行车记录或数据，若发现乙方存在中间装卸操作、偷排偷倒等问题，甲方有权终止合同并追究乙方的违约责任，因此导致的法律及相关责任由乙方自行承担。</w:t>
      </w:r>
    </w:p>
    <w:p w14:paraId="483E6665">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5.18 乙方聘用的运输从业人员应具备《中华人民共和国道路运输从业人员从业资格证》或相关从业资格证并在核定的从业范围内，并保证在本合同履行过程中前述资质及证件始终有效。在从事道路运输活动时，应当携带相应的从业资格证件，并应当遵守国家相关法规和道路运输安全操作规程，不得违法经营、违章作业。</w:t>
      </w:r>
    </w:p>
    <w:p w14:paraId="60B74AD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5.19 乙方应按照甲方通知的时间、转运量安排车辆到指定的地点将半干污泥及时运输至甲方指定的处理处置地点，如果乙方不能按甲方通知的时间前来收运，应至少提前6小时先向甲方告知，并取得甲方同意后才能更改收运时间，如乙方未能及时告知或未取得甲方同意擅自更改收运时间，则应承担因此造成的后果并赔偿甲方所遭受的损失。乙方服务期内累计出现3次或以上前述事件的，甲方有权单方面解除合同，并有权启动其他运输服务单位，因此对甲方产生的经济损失，甲方将根据合同约定追究乙方的违约责任。</w:t>
      </w:r>
    </w:p>
    <w:p w14:paraId="59EC96F7">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5.20 乙方不得借故拒绝接受委托。乙方如因车辆维修、年检等原因导致预定运输车辆无法调配的，在取得甲方同意后应及时更换运输车辆。若确实无法调配运输车辆，不能对甲方该批次半干污泥等进行运输的，应在当天出具书面通知函告知甲方，获得甲方同意后方可暂停运输。除非因外部环境或不可抗力因素影响，乙方已无法再对甲方半干污泥等进行运输服务的，否则视为乙方违约。</w:t>
      </w:r>
    </w:p>
    <w:p w14:paraId="6D8B327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5.21 乙方安排人员负责本项目管理，调度运输车辆，在转移运输半干污泥前向甲方报审运输司机资料、运输路线和运输距离（经甲方、乙方双方签字确定后作为单次运输距离的计费依据）。收集每车外运半干污泥的电子地磅的称重单（含载泥前的称重单和载泥时的称重单），建立半干污泥运输台账，详细、如实记录半干污泥接收量、装车地点、卸车地点、运输距离等情况，并接受甲方的监督、管理，并如实向甲方反映半干污泥收运情况。</w:t>
      </w:r>
    </w:p>
    <w:p w14:paraId="0626CE38">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5.22 乙方按7天/次的频次，根据初次核对确认的半干污泥外运数量和资料填报要求，向甲方提交经乙方确认的运输台账（含电子文档）、磅单等资料。甲方对接收的资料复核后，发现资料有误的，乙方必须在3日内按要求重新提交。甲方将复核后的资料送半干污泥产生单位盖章确认，经乙方、半干污泥产生单位、甲方共同签字/盖章确认后，确定该批次半干污泥实际转移数量，并由甲方留存备查。不符合上述要求的运输台账（含电子文档）、磅单等资料，不得作为结算请款的依据。</w:t>
      </w:r>
    </w:p>
    <w:p w14:paraId="04AE86A1">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5.23 乙方不得将甲方交付的半干污泥交由第三方运输，禁止转包、分包，否则，由此导致的一切责任和风险全部由乙方承担，并根据合同的约定承担违约责任，赔偿由此给甲方造成的损失。</w:t>
      </w:r>
    </w:p>
    <w:p w14:paraId="19FCFAA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5.24 乙方承诺在甲方书面通知启动污泥运输之日起，3日内按甲方要求的运力实施本项目半干污泥转移提供运输服务。</w:t>
      </w:r>
    </w:p>
    <w:p w14:paraId="3D5FD39A">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b/>
          <w:bCs/>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第六条双方权利义务</w:t>
      </w:r>
    </w:p>
    <w:p w14:paraId="16AE27D2">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 甲方权利和义务</w:t>
      </w:r>
    </w:p>
    <w:p w14:paraId="47B6E3B0">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6.1.1 甲方有权对污泥等一般固体废物的运输全过程进行监督。</w:t>
      </w:r>
    </w:p>
    <w:p w14:paraId="6F6F0DB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6.1.2 甲方有权要求乙方对不符合要求的问题提出书面整改意见，乙方应在甲方规定的时间内完成整改。逾期未完成整改或拒绝整改或经整改仍达不到甲方要求的，甲方有权暂停让乙方转运污泥等一般固体废物的运输或直接单方解除本合同，并有权按照本合同约定追究乙方违约责任。</w:t>
      </w:r>
    </w:p>
    <w:p w14:paraId="37C07AB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6.1.3 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合同的执行标准。在合同履行期内，乙方同意不因相关执行标准的调整而要求甲方增加费用或要求补偿。</w:t>
      </w:r>
    </w:p>
    <w:p w14:paraId="48D79CBF">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6.1.4 甲方及时办理运输费的支付手续。</w:t>
      </w:r>
    </w:p>
    <w:p w14:paraId="0D050E4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6.1.5 本合同文件及附件内容约定的甲方其他权利义务。</w:t>
      </w:r>
    </w:p>
    <w:p w14:paraId="32FEA42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6.1.6 甲方指定【          】为本项目的联系人，代表甲方与乙方进行沟通、联络。</w:t>
      </w:r>
    </w:p>
    <w:p w14:paraId="6B14302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 乙方权利和义务</w:t>
      </w:r>
    </w:p>
    <w:p w14:paraId="7DE1FB5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6.2.1 乙方必须具备每天不间断实施污泥运输的能力。在甲方通知污泥转运的时间内，必须保证安排足够的车辆及司机，满足甲方每天24小时不间断的污泥运输服务要求。</w:t>
      </w:r>
    </w:p>
    <w:p w14:paraId="082BF01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6.2.2 在本合同履行期间，乙方应承担其聘请人员的用工责任及用人单位责任。为其雇员、劳动者依法提供劳动保护，为从事运输工作的人员购买社会保险或意外伤害保险，并为承担本合同运输工作的车辆设备办理第三者责任等保险，承担并支付保险费用。如乙方人员(包括雇员、乙方劳 动者等)在服务过程中发生意外事故或发生劳资纠纷的，由乙方承担全部责任并支付全部费用。</w:t>
      </w:r>
    </w:p>
    <w:p w14:paraId="46ED1197">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6.2.3 乙方应严格遵守国家法律、法规，协助甲方做好社会治安综合管理工作等工作。乙方员工有违法乱纪的行为，乙方应承担一切经济责任和法律责任。</w:t>
      </w:r>
    </w:p>
    <w:p w14:paraId="4DFD5599">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6.2.4 每逢甲方上级单位或市有关部门进行监督检查时，乙方应无条件配合甲方及有关部门组织的突击性任务及迎检活动，按时、按标准、按要求完成甲方所分配的工作。积极响应并接受市、 镇街相关主管部门及其他上级部门的监督检查并接受广大市民监督。</w:t>
      </w:r>
    </w:p>
    <w:p w14:paraId="78D15FBB">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6.2.5 乙方在合同期限内应保存好全部文件资料，且不得将上述文件资料向第三方披露或用于本项目之外的目的。在合同解除或终止后，按照甲方的要求，做好本项目的交接工作。如因资料缺失对甲方后续工作造成影响的，由此产生的费用及损失由乙方全部承担。</w:t>
      </w:r>
    </w:p>
    <w:p w14:paraId="4838952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6.2.6 乙方不得将本合同全部的权利义务转让给第三人；未经甲方书面同意，乙方不得将本合同项下乙方的部分权利义务转让给第三人。</w:t>
      </w:r>
    </w:p>
    <w:p w14:paraId="133FD5F6">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6.2.7 乙方安排专人负责本项目管理，调度运输车辆，在运输转移污泥前向甲方报审运输司机资料、运输路线和运输距离(经甲方、乙方双方签字确定后作为运输距离的计费依据)。收集每车外运污泥的电子地磅的称重单(含载泥前的称重单和载泥时的称重单)，建立污泥运输台账，详细、如实记录污泥接收量、装车地点、卸车地点、运输距离等情况，并接受甲方的监督、管理，并如实向甲方反映污泥收运情况。</w:t>
      </w:r>
    </w:p>
    <w:p w14:paraId="65FE2BE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6.2.8 本合同文件及附件内容约定的乙方其他权利义务。</w:t>
      </w:r>
    </w:p>
    <w:p w14:paraId="6428B0E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6.2.9 乙方指定【             】为本项目的联系人，代表乙方与甲方进行沟通、联络。</w:t>
      </w:r>
    </w:p>
    <w:p w14:paraId="22118C86">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b/>
          <w:bCs/>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第七条违约责任</w:t>
      </w:r>
    </w:p>
    <w:p w14:paraId="11AE356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 乙方经甲方通知后拒不向甲方提供污泥服务的，甲方有权每次要求乙方支付0.1万元的违约金，上述违约金累计总额最高不超过0.3万元，同时甲方有权另行单方委托其他第三方进行运输，由此产生的差价及其他一切损失由乙方承担。连续或累计达3次出现前述违约行为的，甲方有权要求乙方支付0.5万元违约金，并且甲方有权单方解除本合同。</w:t>
      </w:r>
    </w:p>
    <w:p w14:paraId="1F4607F5">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7.2 因乙方未能根据本合同承诺安排足够的车辆及司机，不能满足3次调试所需运输服务的要求，甲方有权要求乙方每次支付0.1万元的违约金，上述违约金累计总额最高不超过0.3万元，并且甲方有权单方解除本合同，要求乙方支付0.5万元的违约金。</w:t>
      </w:r>
    </w:p>
    <w:p w14:paraId="6D2CB3E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7.3 因乙方未能按约定时间运输污泥导致调试计划延后的，甲方有权要求乙方每次支付0.1万元的违约金，上述违约金累计总额最高不超过0.3万元。乙方连续或累计达5次出现前述违约行为的，甲方有权要求乙方支付0.5万元违约金，并且甲方有权单方解除本合同。</w:t>
      </w:r>
    </w:p>
    <w:p w14:paraId="77F3FB8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7.4 乙方运输车辆未密闭、防水，运输过程中出现裸露、散落、泄漏等情况的，甲方有权要求乙方每次支付0.1万元的违约金，乙方必须在甲方限期内整改完毕，乙方运输车辆未密闭、防水，运输过程中出现裸露、散落、泄漏等情况的，甲方有权要求乙方每次支付0.1万元的违约金，乙方必须在甲方限期内整改完毕，若乙方经整改后再次出现该要求整改的情况的，甲方有权要求乙方每次支付0.3万元的违约金。乙方运输过程中存在不规范行为(如撒漏、未做好防泄漏措施等)而被执法部门每处罚一次，甲方有权要求乙方每次支付0.5万元的违约金，并暂停委托污泥转移运输服务，要求乙方限期整改，若乙方在甲方要求期限内完成整改并经甲方检查合格的，甲方可恢复委托污泥转移运输服务，上述违约金累计总额最高不超过1万元。</w:t>
      </w:r>
    </w:p>
    <w:p w14:paraId="2BAEA956">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7.5 乙方必须保证运输车辆车厢内清洁，乙方运输车辆车厢内不得存在危险废弃物、铁棒铁丝、石块及塑料等可能导致污泥处置单位机械卡停、损坏其它杂物的，甲方(或甲方委托的相关服务单位)每发现一次，甲方有权要求乙方每次支付0.1万元的违约金，上述违约金累计总额最高不超过0.5万元，并要求乙方限期整改，乙方未能在甲方限期内完成整改或整改后仍不符合甲方要求的，甲方有权单方解除本合同，并有权要求乙方支付1万元的违约金。因此造成的损失需要赔偿的，乙方承担相应责任及赔偿。</w:t>
      </w:r>
    </w:p>
    <w:p w14:paraId="7E7E43A6">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7.6 乙方车辆及运输人员到达甲方污泥贮存点或污泥处置单位卸泥现场后，应服从甲方(或污泥产生单位、甲方委托的污泥减量化服务单位、污泥处置单位、调试单位)现场管理人员的调度、指挥，遵守现场安全作业行为规范、现场秩序和防疫要求。如有违反，甲方有权按照1000元/人次标准要求乙方支付违约金，上述违约金累计总额最高不超过0.3万元，并要求乙方限期整改，乙方未能在甲方限期内完成整改或整改后仍不符合甲方要求的，甲方有权单方解除本合同，并有权要求乙方支付0.5万元的违约金。</w:t>
      </w:r>
    </w:p>
    <w:p w14:paraId="5D66782A">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乙方给污泥产生单位、甲方委托的污泥减量化服务单位、污泥处置单位、调试单位造成的损失，全部由乙方承担相应责任及赔偿。因乙方未能及时赔偿的，甲方有权从乙方的服务费中扣除相关款项先行赔付第三方。</w:t>
      </w:r>
    </w:p>
    <w:p w14:paraId="02E0599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7.7 乙方应最大限度减少或降低对污水处理厂(或甲方委托的污泥减量化服务单位、污泥处置单位、调试单位现场工作)的影响，未经甲方同意，不得进入甲方(或污泥产生单位、污泥减量化服务单位、污泥处置单位、调试单位)其他生产、办公区域，不得影响甲方(或污泥产生单位、甲方委托的污泥减量化服务单位、污泥处置单位、调试单位)现场的工作。如有违反，甲方有权要求乙方按照1000元/人次的标准支付违约金，上述违约金累计总额最高不超过0.3万元，并要求乙方限期整改，乙方未能在甲方限期内完成整改或整改后仍不符合甲方要求的，甲方有权单方解除本合同，并有权要求乙方支付0.5万元的违约金。乙方应支付的该等违约金，甲方有权从未付的服务费中直接抵扣。</w:t>
      </w:r>
    </w:p>
    <w:p w14:paraId="39E7198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7.8 乙方应当制定而未制定污泥运输意外事故应急预案的，甲方有权要求乙方支付0.5万元的违约金，同时，甲方有权要求乙方在指定期限内制定应急预案的，乙方在甲方限期内未完成应急预案编制的，甲方有权自行委托第三方服务单位编制应急预案，费用由乙方承担，甲方有权从未付的服务费中直接抵扣。</w:t>
      </w:r>
    </w:p>
    <w:p w14:paraId="2884BFA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7.9 乙方在提供本合同服务过程中，如存在污泥向环境中倾倒、丢弃、遗洒等违法行为的，由此造成的后果全部由乙方承担。如造成甲方受到行政处罚的，由此导致的经济损失由乙方承担赔偿责任。如损失无法计算的，甲方有权要求乙方支付1万元的的违约金，并承担由此造成的一切损失。同时，甲方有权单方解除本合同。</w:t>
      </w:r>
    </w:p>
    <w:p w14:paraId="0B250A41">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7.10 乙方在污泥运输过程中不得擅自进行中间装卸操作，如发生泄漏等情况，由乙方自行承担责任，甲方有权要求乙方每次支付0.5万元违约金，上述违约金累计总额最高不超过1万元。</w:t>
      </w:r>
    </w:p>
    <w:p w14:paraId="1467FD64">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7.11 如因乙方运输过程中存在不规范行为而被污泥产生单位、污泥减量化服务单位、污泥处置单位、调试单位投诉的，经甲方核实的，甲方有权要求乙方每次支付1000元的违约金(本合同对该违约行为约定的违约金高于本款约定的，按较高的违约金计)，上述违约金累计总额最高不超过1万元并要求乙方限期整改，乙方未能在甲方限期内完成整改或整改后仍不符合甲方要求的，甲方有权单方解除本合同。</w:t>
      </w:r>
    </w:p>
    <w:p w14:paraId="7D93025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7.12 乙方在提供运输服务过程中，因发生安全事故或引起其他损失、造成不良后果的，或因违章运输污泥而遭受有关部门的投诉或处罚，一切责任及经济损失均由乙方承担。</w:t>
      </w:r>
    </w:p>
    <w:p w14:paraId="70F808D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7.13 如乙方未按本合同第三条的要求制作、及时、完整地向甲方提交资料，甲方有权按以下标准要求乙方承担违约责任：</w:t>
      </w:r>
    </w:p>
    <w:p w14:paraId="6B5A849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甲方每周统计乙方未按要求提交资料的次数，乙方按以下情形承担违约责任：</w:t>
      </w:r>
    </w:p>
    <w:p w14:paraId="3661D1AA">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(1)单周首次出错的，甲方有权口头要求乙方整改；</w:t>
      </w:r>
    </w:p>
    <w:p w14:paraId="414FAC82">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(2)单周出错次数大于等于2次且小于5次的，乙方应向甲方支付违约金500元/次；</w:t>
      </w:r>
    </w:p>
    <w:p w14:paraId="5AD703D2">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(3)单周出错次数大于等于5次且小于10次的，乙方应向甲方支付违约金1000元/次，上述违约金累计总额最高不超过1万元，且甲方有权单方面解除合同。</w:t>
      </w:r>
    </w:p>
    <w:p w14:paraId="7ED1BED6">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7.14 乙方进行污泥运输的车辆未按甲方要求安装GPS设备或私自变更、调换GPS设备的，乙方应向甲方支付违约金2000元/车次，上述违约金累计总额最高不超过1万元。</w:t>
      </w:r>
    </w:p>
    <w:p w14:paraId="5748AB4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7.15 乙方进行污泥运输的车辆未经甲方同意，在非甲方指定的第三方过磅点位进行称重的，甲方不予支付该车次的过磅及运输费用。</w:t>
      </w:r>
    </w:p>
    <w:p w14:paraId="6AFA9381">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7.16 未经甲方同意，乙方不得在运输过程中擅自拆卸封条，否则甲方有权要求乙方支付0.1万元/车次的违约金，上述违约金累计总额最高不超过1万元。</w:t>
      </w:r>
    </w:p>
    <w:p w14:paraId="69B94288">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7.17 经甲方核实，乙方存在弄虚作假虚报转移运输量或运输距离的，甲方有权要求乙方每次承担0.5万元的违约金，上述违约金累计总额最高不超过1万元，并有权单方解除本合同。</w:t>
      </w:r>
    </w:p>
    <w:p w14:paraId="1195BB0D">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7.18 服务期内，若甲方根据乙方合同约定运输量向乙方安排运输污泥时，乙方无法按合同约定量运输甲方的污泥时，视为乙方通过弄虚作假骗取成交，甲方有权要求乙方支付1万元违约金，并且甲方有权单方解除本合同。</w:t>
      </w:r>
    </w:p>
    <w:p w14:paraId="7F78EC13">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7.19 若乙方发生本合同规定之外的任何违法行为，乙方不得解除其在本合同下的任何责任或义务。</w:t>
      </w:r>
    </w:p>
    <w:p w14:paraId="2DD64D58">
      <w:pPr>
        <w:keepNext w:val="0"/>
        <w:keepLines w:val="0"/>
        <w:pageBreakBefore w:val="0"/>
        <w:widowControl/>
        <w:suppressLineNumbers w:val="0"/>
        <w:kinsoku w:val="0"/>
        <w:wordWrap/>
        <w:overflowPunct/>
        <w:topLinePunct w:val="0"/>
        <w:autoSpaceDE w:val="0"/>
        <w:autoSpaceDN w:val="0"/>
        <w:bidi w:val="0"/>
        <w:adjustRightInd w:val="0"/>
        <w:snapToGrid w:val="0"/>
        <w:spacing w:before="206" w:beforeAutospacing="0" w:after="0" w:afterAutospacing="0" w:line="360"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7.20 在本合同有效期内，乙方违反本合同其他约定的，甲方有权提出书面意见要求限期改正， 如乙方拒不改正或改正后仍不符合甲方要求的，甲方有权单方解除本合同，并要求乙方支付0.5万元的违约金。</w:t>
      </w:r>
    </w:p>
    <w:p w14:paraId="73FB0B9D">
      <w:pPr>
        <w:keepNext w:val="0"/>
        <w:keepLines w:val="0"/>
        <w:pageBreakBefore w:val="0"/>
        <w:widowControl/>
        <w:suppressLineNumbers w:val="0"/>
        <w:kinsoku w:val="0"/>
        <w:wordWrap/>
        <w:overflowPunct/>
        <w:topLinePunct w:val="0"/>
        <w:autoSpaceDE w:val="0"/>
        <w:autoSpaceDN w:val="0"/>
        <w:bidi w:val="0"/>
        <w:adjustRightInd w:val="0"/>
        <w:snapToGrid w:val="0"/>
        <w:spacing w:before="206" w:beforeAutospacing="0" w:after="0" w:afterAutospacing="0" w:line="360" w:lineRule="auto"/>
        <w:ind w:left="0" w:right="62" w:firstLine="409"/>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7.21 如因乙方资质条件丧失，导致无法承接委托的，甲方有权自行委托其他服务单位，并且乙方需向甲方支付1000元的违约金。同时，甲方有权单方终止合同。</w:t>
      </w:r>
    </w:p>
    <w:p w14:paraId="2B71AF3F">
      <w:pPr>
        <w:keepNext w:val="0"/>
        <w:keepLines w:val="0"/>
        <w:pageBreakBefore w:val="0"/>
        <w:widowControl/>
        <w:suppressLineNumbers w:val="0"/>
        <w:kinsoku w:val="0"/>
        <w:wordWrap/>
        <w:overflowPunct/>
        <w:topLinePunct w:val="0"/>
        <w:autoSpaceDE w:val="0"/>
        <w:autoSpaceDN w:val="0"/>
        <w:bidi w:val="0"/>
        <w:adjustRightInd w:val="0"/>
        <w:snapToGrid w:val="0"/>
        <w:spacing w:before="206" w:beforeAutospacing="0" w:after="0" w:afterAutospacing="0" w:line="360"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 xml:space="preserve">7.22 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违约金1万元；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7A334E98">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7.23 乙方违反本合同约定，合同对违约责任有特别约定的，适用该特别约定；无特别约定的，甲方有权要求乙方向甲方支付违约金0.5万元。违约金不足以弥补甲方因此所受损失的，乙方应予以补足。</w:t>
      </w:r>
    </w:p>
    <w:p w14:paraId="1D419EFE">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 xml:space="preserve">第八条其它约定  </w:t>
      </w:r>
      <w:r>
        <w:rPr>
          <w:rFonts w:hint="eastAsia" w:ascii="宋体" w:hAnsi="宋体" w:eastAsia="宋体" w:cs="宋体"/>
          <w:snapToGrid/>
          <w:color w:val="000000"/>
          <w:spacing w:val="1"/>
          <w:kern w:val="0"/>
          <w:sz w:val="21"/>
          <w:szCs w:val="21"/>
          <w:lang w:val="en-US" w:eastAsia="zh-CN" w:bidi="ar"/>
        </w:rPr>
        <w:t xml:space="preserve"> </w:t>
      </w:r>
    </w:p>
    <w:p w14:paraId="10D822A9">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8.1 在合同期内，非因甲方原因，乙方未能按要求做好运输工作，造成甲方、乙方、第三方的人身和财产损失，由乙方独自承担法律和经济责任。</w:t>
      </w:r>
    </w:p>
    <w:p w14:paraId="45A154E7">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8.2 甲方采购文件中介绍的各污水处理厂规模，以及预计的产泥量为暂定量仅供乙方了解项目情况使用，不作为甲方最终委托运输量的保证。在服务期内，当需要转运半干污泥时，甲方通知乙方到指定污水厂或污泥项目现场进行运输。乙方不得因未获得具体半干污泥转运量，或因半干污泥转运量的减少或增加而要求提供任何形式的补偿或赔偿。</w:t>
      </w:r>
    </w:p>
    <w:p w14:paraId="3BCDAC65">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kern w:val="0"/>
          <w:sz w:val="21"/>
          <w:szCs w:val="21"/>
          <w:lang w:val="en-US" w:eastAsia="zh-CN" w:bidi="ar"/>
        </w:rPr>
        <w:drawing>
          <wp:inline distT="0" distB="0" distL="114300" distR="114300">
            <wp:extent cx="19050" cy="28575"/>
            <wp:effectExtent l="0" t="0" r="0"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6"/>
                    <a:stretch>
                      <a:fillRect/>
                    </a:stretch>
                  </pic:blipFill>
                  <pic:spPr>
                    <a:xfrm>
                      <a:off x="0" y="0"/>
                      <a:ext cx="19050" cy="28575"/>
                    </a:xfrm>
                    <a:prstGeom prst="rect">
                      <a:avLst/>
                    </a:prstGeom>
                    <a:noFill/>
                    <a:ln w="9525">
                      <a:noFill/>
                    </a:ln>
                  </pic:spPr>
                </pic:pic>
              </a:graphicData>
            </a:graphic>
          </wp:inline>
        </w:drawing>
      </w:r>
      <w:r>
        <w:rPr>
          <w:rFonts w:hint="eastAsia" w:ascii="宋体" w:hAnsi="宋体" w:eastAsia="宋体" w:cs="宋体"/>
          <w:snapToGrid/>
          <w:color w:val="000000"/>
          <w:spacing w:val="1"/>
          <w:kern w:val="0"/>
          <w:sz w:val="21"/>
          <w:szCs w:val="21"/>
          <w:lang w:val="en-US" w:eastAsia="zh-CN" w:bidi="ar"/>
        </w:rPr>
        <w:t>8.3 乙方承诺将严格遵守甲方(或甲方上级单位)提出或调整的日常管理制度或相关管理要求。乙方服务期间，出现不服从甲方(或甲方上级单位)提出或调整的日常管理制度或相关管理要求，甲方有权取消其服务资格。</w:t>
      </w:r>
    </w:p>
    <w:p w14:paraId="42EB695A">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8.4 乙方应保证提供服务不侵犯第三方的合法权益，如第三方以本合同服务侵权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4F71CD75">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b/>
          <w:bCs/>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第九条不可抗力</w:t>
      </w:r>
    </w:p>
    <w:p w14:paraId="7901FFFF">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7281A00">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b/>
          <w:bCs/>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第十条争议解决</w:t>
      </w:r>
    </w:p>
    <w:p w14:paraId="4809FD1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双方在履约中发生争执和分歧，双方应通过友好协商解决，如不能通过友好协商解决的，任何一方均可向甲方住所地有管辖权的人民法院提起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8887925">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b/>
          <w:bCs/>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第十一条其他</w:t>
      </w:r>
    </w:p>
    <w:p w14:paraId="38606728">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11.1 本合同壹式柒份，甲方执伍份，乙方执贰份，均具有同等法律效力。</w:t>
      </w:r>
    </w:p>
    <w:p w14:paraId="6C09C9E6">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11.2 本合同自甲乙双方盖章并经双方法定代表人签字之日起生效。</w:t>
      </w:r>
    </w:p>
    <w:p w14:paraId="54B3B84C">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11.3 本合同未尽事宜，由双方协商处理。</w:t>
      </w:r>
    </w:p>
    <w:p w14:paraId="07252D07">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11.4 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384CBE0">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1"/>
          <w:szCs w:val="21"/>
        </w:rPr>
      </w:pPr>
      <w:r>
        <w:rPr>
          <w:rFonts w:hint="eastAsia" w:ascii="宋体" w:hAnsi="宋体" w:eastAsia="宋体" w:cs="宋体"/>
          <w:snapToGrid/>
          <w:color w:val="000000"/>
          <w:spacing w:val="1"/>
          <w:kern w:val="0"/>
          <w:sz w:val="21"/>
          <w:szCs w:val="21"/>
          <w:lang w:val="en-US" w:eastAsia="zh-CN" w:bidi="ar"/>
        </w:rPr>
        <w:t>附件：1.用户需求书；2.阳光合作告知函</w:t>
      </w:r>
    </w:p>
    <w:p w14:paraId="5BE3A262">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jc w:val="left"/>
        <w:textAlignment w:val="baseline"/>
        <w:rPr>
          <w:rFonts w:hint="eastAsia" w:ascii="宋体" w:hAnsi="宋体" w:eastAsia="宋体" w:cs="宋体"/>
          <w:b/>
          <w:bCs/>
          <w:color w:val="000000"/>
          <w:spacing w:val="1"/>
          <w:kern w:val="0"/>
          <w:sz w:val="21"/>
          <w:szCs w:val="21"/>
        </w:rPr>
      </w:pPr>
      <w:r>
        <w:rPr>
          <w:rFonts w:hint="eastAsia" w:ascii="宋体" w:hAnsi="宋体" w:eastAsia="宋体" w:cs="宋体"/>
          <w:b/>
          <w:bCs/>
          <w:snapToGrid/>
          <w:color w:val="000000"/>
          <w:spacing w:val="1"/>
          <w:kern w:val="0"/>
          <w:sz w:val="21"/>
          <w:szCs w:val="21"/>
          <w:lang w:val="en-US" w:eastAsia="zh-CN" w:bidi="ar"/>
        </w:rPr>
        <w:t>（以下无正文，为合同签署栏）</w:t>
      </w:r>
    </w:p>
    <w:p w14:paraId="2C07C245">
      <w:pPr>
        <w:pStyle w:val="6"/>
        <w:keepNext w:val="0"/>
        <w:keepLines w:val="0"/>
        <w:widowControl/>
        <w:suppressLineNumbers w:val="0"/>
        <w:rPr>
          <w:rFonts w:hint="eastAsia" w:ascii="宋体" w:hAnsi="宋体" w:eastAsia="宋体" w:cs="宋体"/>
          <w:color w:val="000000"/>
          <w:spacing w:val="1"/>
          <w:kern w:val="0"/>
          <w:sz w:val="20"/>
          <w:szCs w:val="20"/>
        </w:rPr>
      </w:pPr>
      <w:r>
        <w:rPr>
          <w:rFonts w:hint="eastAsia" w:ascii="宋体" w:hAnsi="宋体" w:eastAsia="宋体" w:cs="宋体"/>
          <w:color w:val="000000"/>
          <w:spacing w:val="1"/>
          <w:kern w:val="0"/>
          <w:sz w:val="20"/>
          <w:szCs w:val="20"/>
        </w:rPr>
        <w:t xml:space="preserve"> </w:t>
      </w:r>
    </w:p>
    <w:p w14:paraId="3943A7C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 </w:t>
      </w:r>
    </w:p>
    <w:tbl>
      <w:tblPr>
        <w:tblStyle w:val="23"/>
        <w:tblW w:w="0" w:type="auto"/>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54"/>
        <w:gridCol w:w="4554"/>
      </w:tblGrid>
      <w:tr w14:paraId="7855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95" w:hRule="atLeast"/>
        </w:trPr>
        <w:tc>
          <w:tcPr>
            <w:tcW w:w="4554" w:type="dxa"/>
            <w:tcBorders>
              <w:top w:val="nil"/>
              <w:left w:val="nil"/>
              <w:bottom w:val="nil"/>
              <w:right w:val="nil"/>
            </w:tcBorders>
            <w:shd w:val="clear"/>
            <w:tcMar>
              <w:left w:w="11" w:type="dxa"/>
              <w:right w:w="11" w:type="dxa"/>
            </w:tcMar>
            <w:vAlign w:val="top"/>
          </w:tcPr>
          <w:p w14:paraId="14F2523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甲方：东莞市尚源环能科技有限公司</w:t>
            </w:r>
          </w:p>
          <w:p w14:paraId="4C723928">
            <w:pPr>
              <w:pStyle w:val="6"/>
              <w:keepNext w:val="0"/>
              <w:keepLines w:val="0"/>
              <w:widowControl/>
              <w:suppressLineNumbers w:val="0"/>
              <w:spacing w:before="0" w:beforeAutospacing="0" w:after="0" w:afterAutospacing="0"/>
              <w:ind w:left="0" w:right="0"/>
              <w:rPr>
                <w:rFonts w:hint="eastAsia" w:ascii="宋体" w:hAnsi="宋体" w:eastAsia="宋体" w:cs="宋体"/>
                <w:color w:val="000000"/>
                <w:kern w:val="0"/>
                <w:sz w:val="21"/>
                <w:szCs w:val="21"/>
                <w:bdr w:val="none" w:color="auto" w:sz="0" w:space="0"/>
              </w:rPr>
            </w:pPr>
          </w:p>
          <w:p w14:paraId="37F46F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1"/>
                <w:szCs w:val="21"/>
                <w:bdr w:val="none" w:color="auto" w:sz="0" w:space="0"/>
              </w:rPr>
            </w:pPr>
          </w:p>
          <w:p w14:paraId="7A0376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法定代表人：(</w:t>
            </w:r>
            <w:r>
              <w:rPr>
                <w:rFonts w:hint="eastAsia" w:ascii="宋体" w:hAnsi="宋体" w:eastAsia="宋体" w:cs="宋体"/>
                <w:snapToGrid/>
                <w:color w:val="000000"/>
                <w:kern w:val="0"/>
                <w:sz w:val="21"/>
                <w:szCs w:val="21"/>
                <w:bdr w:val="none" w:color="auto" w:sz="0" w:space="0"/>
                <w:lang w:val="en-US" w:eastAsia="zh-CN" w:bidi="ar"/>
              </w:rPr>
              <w:t>签章)</w:t>
            </w:r>
          </w:p>
          <w:p w14:paraId="7418F9A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地址：广东省东莞市沙田镇立沙中路76号</w:t>
            </w:r>
          </w:p>
          <w:p w14:paraId="13636E6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邮政编码：523000</w:t>
            </w:r>
          </w:p>
          <w:p w14:paraId="4B8FB33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电话：0769-21663952</w:t>
            </w:r>
          </w:p>
          <w:p w14:paraId="5BE14C03">
            <w:pPr>
              <w:pStyle w:val="6"/>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rPr>
              <w:t>签约日期：</w:t>
            </w:r>
          </w:p>
          <w:p w14:paraId="4F81143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签约地点：广东省东莞市</w:t>
            </w:r>
          </w:p>
          <w:p w14:paraId="354E344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开户银行：中国工商银行东莞市分行</w:t>
            </w:r>
          </w:p>
          <w:p w14:paraId="29C9563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账号：2010 0213 0920 0624 846</w:t>
            </w:r>
          </w:p>
        </w:tc>
        <w:tc>
          <w:tcPr>
            <w:tcW w:w="4554" w:type="dxa"/>
            <w:tcBorders>
              <w:top w:val="nil"/>
              <w:left w:val="nil"/>
              <w:bottom w:val="nil"/>
              <w:right w:val="nil"/>
            </w:tcBorders>
            <w:shd w:val="clear"/>
            <w:tcMar>
              <w:left w:w="11" w:type="dxa"/>
              <w:right w:w="11" w:type="dxa"/>
            </w:tcMar>
            <w:vAlign w:val="top"/>
          </w:tcPr>
          <w:p w14:paraId="0061BCB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乙方：</w:t>
            </w:r>
          </w:p>
          <w:p w14:paraId="5EE90C36">
            <w:pPr>
              <w:pStyle w:val="6"/>
              <w:keepNext w:val="0"/>
              <w:keepLines w:val="0"/>
              <w:widowControl/>
              <w:suppressLineNumbers w:val="0"/>
              <w:spacing w:before="0" w:beforeAutospacing="0" w:after="0" w:afterAutospacing="0"/>
              <w:ind w:left="0" w:right="0"/>
              <w:rPr>
                <w:rFonts w:hint="eastAsia" w:ascii="宋体" w:hAnsi="宋体" w:eastAsia="宋体" w:cs="宋体"/>
                <w:color w:val="000000"/>
                <w:kern w:val="0"/>
                <w:sz w:val="21"/>
                <w:szCs w:val="21"/>
                <w:bdr w:val="none" w:color="auto" w:sz="0" w:space="0"/>
              </w:rPr>
            </w:pPr>
          </w:p>
          <w:p w14:paraId="1EA9640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1"/>
                <w:szCs w:val="21"/>
                <w:bdr w:val="none" w:color="auto" w:sz="0" w:space="0"/>
              </w:rPr>
            </w:pPr>
          </w:p>
          <w:p w14:paraId="638D73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法定代表人：(</w:t>
            </w:r>
            <w:r>
              <w:rPr>
                <w:rFonts w:hint="eastAsia" w:ascii="宋体" w:hAnsi="宋体" w:eastAsia="宋体" w:cs="宋体"/>
                <w:snapToGrid/>
                <w:color w:val="000000"/>
                <w:kern w:val="0"/>
                <w:sz w:val="21"/>
                <w:szCs w:val="21"/>
                <w:bdr w:val="none" w:color="auto" w:sz="0" w:space="0"/>
                <w:lang w:val="en-US" w:eastAsia="zh-CN" w:bidi="ar"/>
              </w:rPr>
              <w:t>签章)</w:t>
            </w:r>
          </w:p>
          <w:p w14:paraId="20C464A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spacing w:val="-12"/>
                <w:kern w:val="0"/>
                <w:sz w:val="21"/>
                <w:szCs w:val="21"/>
                <w:bdr w:val="none" w:color="auto" w:sz="0" w:space="0"/>
                <w:lang w:val="en-US" w:eastAsia="zh-CN" w:bidi="ar"/>
              </w:rPr>
              <w:t>地址：</w:t>
            </w:r>
          </w:p>
          <w:p w14:paraId="6591955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邮政编码：</w:t>
            </w:r>
          </w:p>
          <w:p w14:paraId="0BA0755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电话：</w:t>
            </w:r>
          </w:p>
          <w:p w14:paraId="38F5C18E">
            <w:pPr>
              <w:pStyle w:val="6"/>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rPr>
              <w:t>签约日期：</w:t>
            </w:r>
          </w:p>
          <w:p w14:paraId="5608C67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p>
          <w:p w14:paraId="094D234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开户银行：</w:t>
            </w:r>
          </w:p>
          <w:p w14:paraId="1FE6B79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kern w:val="0"/>
                <w:sz w:val="21"/>
                <w:szCs w:val="21"/>
                <w:bdr w:val="none" w:color="auto" w:sz="0" w:space="0"/>
              </w:rPr>
            </w:pPr>
            <w:r>
              <w:rPr>
                <w:rFonts w:hint="eastAsia" w:ascii="宋体" w:hAnsi="宋体" w:eastAsia="宋体" w:cs="宋体"/>
                <w:snapToGrid/>
                <w:color w:val="000000"/>
                <w:kern w:val="0"/>
                <w:sz w:val="21"/>
                <w:szCs w:val="21"/>
                <w:bdr w:val="none" w:color="auto" w:sz="0" w:space="0"/>
                <w:lang w:val="en-US" w:eastAsia="zh-CN" w:bidi="ar"/>
              </w:rPr>
              <w:t>账号：</w:t>
            </w:r>
          </w:p>
        </w:tc>
      </w:tr>
    </w:tbl>
    <w:p w14:paraId="65FEA329">
      <w:pPr>
        <w:keepNext w:val="0"/>
        <w:keepLines w:val="0"/>
        <w:widowControl/>
        <w:suppressLineNumbers w:val="0"/>
        <w:kinsoku w:val="0"/>
        <w:autoSpaceDE w:val="0"/>
        <w:autoSpaceDN w:val="0"/>
        <w:adjustRightInd w:val="0"/>
        <w:snapToGrid w:val="0"/>
        <w:spacing w:before="206" w:beforeAutospacing="0" w:after="0" w:afterAutospacing="0" w:line="374" w:lineRule="auto"/>
        <w:ind w:left="0" w:right="62" w:firstLine="409"/>
        <w:jc w:val="both"/>
        <w:textAlignment w:val="baseline"/>
        <w:rPr>
          <w:rFonts w:hint="eastAsia" w:ascii="宋体" w:hAnsi="宋体" w:eastAsia="宋体" w:cs="宋体"/>
          <w:color w:val="000000"/>
          <w:spacing w:val="1"/>
          <w:kern w:val="0"/>
          <w:sz w:val="20"/>
          <w:szCs w:val="20"/>
        </w:rPr>
      </w:pPr>
      <w:r>
        <w:rPr>
          <w:rFonts w:hint="eastAsia" w:ascii="宋体" w:hAnsi="宋体" w:eastAsia="宋体" w:cs="宋体"/>
          <w:snapToGrid/>
          <w:color w:val="000000"/>
          <w:spacing w:val="1"/>
          <w:kern w:val="0"/>
          <w:sz w:val="20"/>
          <w:szCs w:val="20"/>
          <w:lang w:val="en-US" w:eastAsia="zh-CN" w:bidi="ar"/>
        </w:rPr>
        <w:t xml:space="preserve"> </w:t>
      </w:r>
    </w:p>
    <w:p w14:paraId="3BAC0DA0">
      <w:pPr>
        <w:pStyle w:val="6"/>
        <w:keepNext w:val="0"/>
        <w:keepLines w:val="0"/>
        <w:widowControl/>
        <w:suppressLineNumbers w:val="0"/>
        <w:rPr>
          <w:rFonts w:hint="eastAsia" w:ascii="宋体" w:hAnsi="宋体" w:eastAsia="宋体" w:cs="宋体"/>
          <w:color w:val="000000"/>
          <w:spacing w:val="1"/>
          <w:kern w:val="0"/>
          <w:sz w:val="20"/>
          <w:szCs w:val="20"/>
        </w:rPr>
      </w:pPr>
      <w:r>
        <w:rPr>
          <w:rFonts w:hint="eastAsia" w:ascii="宋体" w:hAnsi="宋体" w:eastAsia="宋体" w:cs="宋体"/>
          <w:color w:val="000000"/>
          <w:spacing w:val="1"/>
          <w:kern w:val="0"/>
          <w:sz w:val="20"/>
          <w:szCs w:val="20"/>
        </w:rPr>
        <w:t xml:space="preserve"> </w:t>
      </w:r>
    </w:p>
    <w:p w14:paraId="7E3B45D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1"/>
          <w:kern w:val="0"/>
          <w:sz w:val="20"/>
          <w:szCs w:val="20"/>
        </w:rPr>
      </w:pPr>
      <w:r>
        <w:rPr>
          <w:rFonts w:hint="eastAsia" w:ascii="宋体" w:hAnsi="宋体" w:eastAsia="宋体" w:cs="宋体"/>
          <w:snapToGrid/>
          <w:color w:val="000000"/>
          <w:spacing w:val="1"/>
          <w:kern w:val="0"/>
          <w:sz w:val="20"/>
          <w:szCs w:val="20"/>
          <w:lang w:val="en-US" w:eastAsia="zh-CN" w:bidi="ar"/>
        </w:rPr>
        <w:t xml:space="preserve"> </w:t>
      </w:r>
    </w:p>
    <w:p w14:paraId="593571C5">
      <w:pPr>
        <w:pStyle w:val="6"/>
        <w:keepNext w:val="0"/>
        <w:keepLines w:val="0"/>
        <w:widowControl/>
        <w:suppressLineNumbers w:val="0"/>
        <w:rPr>
          <w:rFonts w:hint="eastAsia" w:ascii="宋体" w:hAnsi="宋体" w:eastAsia="宋体" w:cs="宋体"/>
          <w:color w:val="000000"/>
          <w:spacing w:val="1"/>
          <w:kern w:val="0"/>
          <w:sz w:val="20"/>
          <w:szCs w:val="20"/>
        </w:rPr>
      </w:pPr>
      <w:r>
        <w:rPr>
          <w:rFonts w:hint="eastAsia" w:ascii="宋体" w:hAnsi="宋体" w:eastAsia="宋体" w:cs="宋体"/>
          <w:color w:val="000000"/>
          <w:spacing w:val="1"/>
          <w:kern w:val="0"/>
          <w:sz w:val="20"/>
          <w:szCs w:val="20"/>
        </w:rPr>
        <w:t xml:space="preserve"> </w:t>
      </w:r>
    </w:p>
    <w:p w14:paraId="0A409F7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1"/>
          <w:kern w:val="0"/>
          <w:sz w:val="20"/>
          <w:szCs w:val="20"/>
        </w:rPr>
      </w:pPr>
      <w:r>
        <w:rPr>
          <w:rFonts w:hint="eastAsia" w:ascii="宋体" w:hAnsi="宋体" w:eastAsia="宋体" w:cs="宋体"/>
          <w:snapToGrid/>
          <w:color w:val="000000"/>
          <w:spacing w:val="1"/>
          <w:kern w:val="0"/>
          <w:sz w:val="20"/>
          <w:szCs w:val="20"/>
          <w:lang w:val="en-US" w:eastAsia="zh-CN" w:bidi="ar"/>
        </w:rPr>
        <w:t xml:space="preserve"> </w:t>
      </w:r>
    </w:p>
    <w:p w14:paraId="1CB4C530">
      <w:pPr>
        <w:pStyle w:val="6"/>
        <w:keepNext w:val="0"/>
        <w:keepLines w:val="0"/>
        <w:widowControl/>
        <w:suppressLineNumbers w:val="0"/>
        <w:rPr>
          <w:rFonts w:hint="eastAsia" w:ascii="宋体" w:hAnsi="宋体" w:eastAsia="宋体" w:cs="宋体"/>
          <w:color w:val="000000"/>
          <w:spacing w:val="1"/>
          <w:kern w:val="0"/>
          <w:sz w:val="20"/>
          <w:szCs w:val="20"/>
        </w:rPr>
      </w:pPr>
      <w:r>
        <w:rPr>
          <w:rFonts w:hint="eastAsia" w:ascii="宋体" w:hAnsi="宋体" w:eastAsia="宋体" w:cs="宋体"/>
          <w:color w:val="000000"/>
          <w:spacing w:val="1"/>
          <w:kern w:val="0"/>
          <w:sz w:val="20"/>
          <w:szCs w:val="20"/>
        </w:rPr>
        <w:t xml:space="preserve"> </w:t>
      </w:r>
    </w:p>
    <w:p w14:paraId="0D48CF9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1"/>
          <w:kern w:val="0"/>
          <w:sz w:val="20"/>
          <w:szCs w:val="20"/>
        </w:rPr>
      </w:pPr>
      <w:r>
        <w:rPr>
          <w:rFonts w:hint="eastAsia" w:ascii="宋体" w:hAnsi="宋体" w:eastAsia="宋体" w:cs="宋体"/>
          <w:snapToGrid/>
          <w:color w:val="000000"/>
          <w:spacing w:val="1"/>
          <w:kern w:val="0"/>
          <w:sz w:val="20"/>
          <w:szCs w:val="20"/>
          <w:lang w:val="en-US" w:eastAsia="zh-CN" w:bidi="ar"/>
        </w:rPr>
        <w:t xml:space="preserve"> </w:t>
      </w:r>
    </w:p>
    <w:p w14:paraId="2734FA43">
      <w:pPr>
        <w:pStyle w:val="6"/>
        <w:keepNext w:val="0"/>
        <w:keepLines w:val="0"/>
        <w:widowControl/>
        <w:suppressLineNumbers w:val="0"/>
        <w:rPr>
          <w:rFonts w:hint="eastAsia" w:ascii="宋体" w:hAnsi="宋体" w:eastAsia="宋体" w:cs="宋体"/>
          <w:color w:val="000000"/>
          <w:spacing w:val="1"/>
          <w:kern w:val="0"/>
          <w:sz w:val="20"/>
          <w:szCs w:val="20"/>
        </w:rPr>
      </w:pPr>
      <w:r>
        <w:rPr>
          <w:rFonts w:hint="eastAsia" w:ascii="宋体" w:hAnsi="宋体" w:eastAsia="宋体" w:cs="宋体"/>
          <w:color w:val="000000"/>
          <w:spacing w:val="1"/>
          <w:kern w:val="0"/>
          <w:sz w:val="20"/>
          <w:szCs w:val="20"/>
        </w:rPr>
        <w:t xml:space="preserve"> </w:t>
      </w:r>
    </w:p>
    <w:p w14:paraId="7C902F4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1"/>
          <w:kern w:val="0"/>
          <w:sz w:val="20"/>
          <w:szCs w:val="20"/>
        </w:rPr>
      </w:pPr>
      <w:r>
        <w:rPr>
          <w:rFonts w:hint="eastAsia" w:ascii="宋体" w:hAnsi="宋体" w:eastAsia="宋体" w:cs="宋体"/>
          <w:snapToGrid/>
          <w:color w:val="000000"/>
          <w:spacing w:val="1"/>
          <w:kern w:val="0"/>
          <w:sz w:val="20"/>
          <w:szCs w:val="20"/>
          <w:lang w:val="en-US" w:eastAsia="zh-CN" w:bidi="ar"/>
        </w:rPr>
        <w:t xml:space="preserve"> </w:t>
      </w:r>
    </w:p>
    <w:p w14:paraId="2A994669">
      <w:pPr>
        <w:pStyle w:val="6"/>
        <w:keepNext w:val="0"/>
        <w:keepLines w:val="0"/>
        <w:pageBreakBefore/>
        <w:widowControl/>
        <w:suppressLineNumbers w:val="0"/>
        <w:kinsoku w:val="0"/>
        <w:wordWrap/>
        <w:overflowPunct/>
        <w:topLinePunct w:val="0"/>
        <w:autoSpaceDE w:val="0"/>
        <w:autoSpaceDN w:val="0"/>
        <w:bidi w:val="0"/>
        <w:adjustRightInd w:val="0"/>
        <w:snapToGrid w:val="0"/>
        <w:textAlignment w:val="baseline"/>
        <w:rPr>
          <w:rFonts w:hint="eastAsia" w:ascii="宋体" w:hAnsi="宋体" w:eastAsia="宋体" w:cs="宋体"/>
          <w:b w:val="0"/>
          <w:color w:val="000000"/>
          <w:kern w:val="2"/>
          <w:sz w:val="24"/>
          <w:szCs w:val="24"/>
        </w:rPr>
      </w:pPr>
      <w:r>
        <w:rPr>
          <w:rFonts w:hint="eastAsia" w:ascii="宋体" w:hAnsi="宋体" w:eastAsia="宋体" w:cs="宋体"/>
          <w:color w:val="000000"/>
          <w:spacing w:val="1"/>
          <w:kern w:val="0"/>
          <w:sz w:val="20"/>
          <w:szCs w:val="20"/>
        </w:rPr>
        <w:t xml:space="preserve"> </w:t>
      </w:r>
      <w:r>
        <w:rPr>
          <w:rFonts w:hint="eastAsia" w:ascii="宋体" w:hAnsi="宋体" w:eastAsia="宋体" w:cs="宋体"/>
          <w:color w:val="000000"/>
          <w:spacing w:val="1"/>
          <w:kern w:val="0"/>
          <w:sz w:val="20"/>
          <w:szCs w:val="20"/>
          <w:lang w:val="en-US" w:eastAsia="zh-CN"/>
        </w:rPr>
        <w:t xml:space="preserve">  </w:t>
      </w:r>
      <w:r>
        <w:rPr>
          <w:rFonts w:hint="eastAsia" w:ascii="宋体" w:hAnsi="宋体" w:eastAsia="宋体" w:cs="宋体"/>
          <w:b w:val="0"/>
          <w:color w:val="000000"/>
          <w:kern w:val="2"/>
          <w:sz w:val="24"/>
          <w:szCs w:val="24"/>
        </w:rPr>
        <w:t>附件1</w:t>
      </w:r>
    </w:p>
    <w:p w14:paraId="0F198CED">
      <w:pPr>
        <w:pStyle w:val="61"/>
        <w:keepNext/>
        <w:keepLines/>
        <w:pageBreakBefore w:val="0"/>
        <w:widowControl/>
        <w:kinsoku w:val="0"/>
        <w:wordWrap/>
        <w:overflowPunct/>
        <w:topLinePunct w:val="0"/>
        <w:autoSpaceDE w:val="0"/>
        <w:autoSpaceDN/>
        <w:bidi w:val="0"/>
        <w:adjustRightInd/>
        <w:snapToGrid w:val="0"/>
        <w:spacing w:beforeLines="0" w:beforeAutospacing="0" w:afterLines="0" w:afterAutospacing="0"/>
        <w:ind w:left="1259" w:right="0" w:hanging="420"/>
        <w:textAlignment w:val="baseline"/>
        <w:outlineLvl w:val="9"/>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 xml:space="preserve"> </w:t>
      </w:r>
    </w:p>
    <w:p w14:paraId="2FF5A6B7">
      <w:pPr>
        <w:pStyle w:val="61"/>
        <w:keepNext/>
        <w:keepLines/>
        <w:pageBreakBefore w:val="0"/>
        <w:widowControl/>
        <w:kinsoku w:val="0"/>
        <w:wordWrap/>
        <w:overflowPunct/>
        <w:topLinePunct w:val="0"/>
        <w:autoSpaceDE w:val="0"/>
        <w:autoSpaceDN/>
        <w:bidi w:val="0"/>
        <w:adjustRightInd/>
        <w:snapToGrid w:val="0"/>
        <w:spacing w:beforeLines="0" w:beforeAutospacing="0" w:afterLines="0" w:afterAutospacing="0"/>
        <w:ind w:left="0" w:leftChars="0" w:right="0" w:firstLine="0" w:firstLineChars="0"/>
        <w:jc w:val="center"/>
        <w:textAlignment w:val="baseline"/>
        <w:outlineLvl w:val="9"/>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用户需求书</w:t>
      </w:r>
    </w:p>
    <w:p w14:paraId="2A275E3D">
      <w:pPr>
        <w:pStyle w:val="6"/>
        <w:keepNext w:val="0"/>
        <w:keepLines w:val="0"/>
        <w:widowControl/>
        <w:suppressLineNumbers w:val="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p w14:paraId="6F1FB3E8">
      <w:pPr>
        <w:keepNext w:val="0"/>
        <w:keepLines w:val="0"/>
        <w:widowControl/>
        <w:numPr>
          <w:ilvl w:val="0"/>
          <w:numId w:val="1"/>
        </w:numPr>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
          <w:bCs/>
          <w:color w:val="000000"/>
          <w:kern w:val="0"/>
          <w:sz w:val="21"/>
          <w:szCs w:val="21"/>
          <w:vertAlign w:val="baseline"/>
        </w:rPr>
      </w:pPr>
      <w:r>
        <w:rPr>
          <w:rFonts w:hint="eastAsia" w:ascii="宋体" w:hAnsi="宋体" w:eastAsia="宋体" w:cs="宋体"/>
          <w:b/>
          <w:bCs/>
          <w:snapToGrid/>
          <w:color w:val="000000"/>
          <w:kern w:val="0"/>
          <w:sz w:val="21"/>
          <w:szCs w:val="21"/>
          <w:vertAlign w:val="baseline"/>
          <w:lang w:val="en-US" w:eastAsia="zh-CN" w:bidi="ar"/>
        </w:rPr>
        <w:t>项目概况</w:t>
      </w:r>
    </w:p>
    <w:p w14:paraId="7C102151">
      <w:pPr>
        <w:pStyle w:val="60"/>
        <w:keepNext w:val="0"/>
        <w:keepLines w:val="0"/>
        <w:widowControl/>
        <w:suppressLineNumbers w:val="0"/>
        <w:spacing w:line="360" w:lineRule="auto"/>
        <w:ind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、由东莞市尚源环能科技有限公司负责投资建设的东莞市污泥集中处理处置项目（下称“</w:t>
      </w:r>
      <w:r>
        <w:rPr>
          <w:rFonts w:hint="eastAsia" w:ascii="宋体" w:hAnsi="宋体" w:eastAsia="宋体" w:cs="宋体"/>
          <w:color w:val="000000"/>
          <w:kern w:val="0"/>
          <w:sz w:val="21"/>
          <w:szCs w:val="21"/>
        </w:rPr>
        <w:t>污泥项目”</w:t>
      </w:r>
      <w:r>
        <w:rPr>
          <w:rFonts w:hint="eastAsia" w:ascii="宋体" w:hAnsi="宋体" w:eastAsia="宋体" w:cs="宋体"/>
          <w:color w:val="000000"/>
          <w:kern w:val="0"/>
          <w:sz w:val="21"/>
          <w:szCs w:val="21"/>
        </w:rPr>
        <w:t>，地址是广东省东莞市沙田镇立沙中路（东莞市丰业固体废物处理中心北面））将于2026</w:t>
      </w:r>
      <w:r>
        <w:rPr>
          <w:rFonts w:hint="eastAsia" w:ascii="宋体" w:hAnsi="宋体" w:eastAsia="宋体" w:cs="宋体"/>
          <w:color w:val="000000"/>
          <w:kern w:val="0"/>
          <w:sz w:val="21"/>
          <w:szCs w:val="21"/>
        </w:rPr>
        <w:t>年上半年进行调试，因此计划取部分污水处理厂运营过程中产生的含水率约60%</w:t>
      </w:r>
      <w:r>
        <w:rPr>
          <w:rFonts w:hint="eastAsia" w:ascii="宋体" w:hAnsi="宋体" w:eastAsia="宋体" w:cs="宋体"/>
          <w:color w:val="000000"/>
          <w:kern w:val="0"/>
          <w:sz w:val="21"/>
          <w:szCs w:val="21"/>
        </w:rPr>
        <w:t>污泥（下称“</w:t>
      </w:r>
      <w:r>
        <w:rPr>
          <w:rFonts w:hint="eastAsia" w:ascii="宋体" w:hAnsi="宋体" w:eastAsia="宋体" w:cs="宋体"/>
          <w:color w:val="000000"/>
          <w:kern w:val="0"/>
          <w:sz w:val="21"/>
          <w:szCs w:val="21"/>
        </w:rPr>
        <w:t>半干污泥”</w:t>
      </w:r>
      <w:r>
        <w:rPr>
          <w:rFonts w:hint="eastAsia" w:ascii="宋体" w:hAnsi="宋体" w:eastAsia="宋体" w:cs="宋体"/>
          <w:color w:val="000000"/>
          <w:kern w:val="0"/>
          <w:sz w:val="21"/>
          <w:szCs w:val="21"/>
        </w:rPr>
        <w:t>）转运至污泥项目现场进行测试，并将完成测试的半干污泥运回污水处理厂，以保障污泥妥善处理处置。</w:t>
      </w:r>
    </w:p>
    <w:p w14:paraId="6B6045B5">
      <w:pPr>
        <w:pStyle w:val="60"/>
        <w:keepNext w:val="0"/>
        <w:keepLines w:val="0"/>
        <w:widowControl/>
        <w:suppressLineNumbers w:val="0"/>
        <w:spacing w:line="360" w:lineRule="auto"/>
        <w:ind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、调试需求量暂定为800</w:t>
      </w:r>
      <w:r>
        <w:rPr>
          <w:rFonts w:hint="eastAsia" w:ascii="宋体" w:hAnsi="宋体" w:eastAsia="宋体" w:cs="宋体"/>
          <w:color w:val="000000"/>
          <w:kern w:val="0"/>
          <w:sz w:val="21"/>
          <w:szCs w:val="21"/>
        </w:rPr>
        <w:t>吨，根据实际测试进度安排进行运输。列入调试范围的污水处理厂清单如下：</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30"/>
        <w:gridCol w:w="3503"/>
        <w:gridCol w:w="1362"/>
        <w:gridCol w:w="1202"/>
        <w:gridCol w:w="1207"/>
        <w:gridCol w:w="957"/>
      </w:tblGrid>
      <w:tr w14:paraId="66FC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trPr>
        <w:tc>
          <w:tcPr>
            <w:tcW w:w="458" w:type="pct"/>
            <w:tcBorders>
              <w:top w:val="single" w:color="auto" w:sz="8" w:space="0"/>
              <w:left w:val="single" w:color="auto" w:sz="8" w:space="0"/>
              <w:bottom w:val="single" w:color="auto" w:sz="4" w:space="0"/>
              <w:right w:val="single" w:color="auto" w:sz="4" w:space="0"/>
            </w:tcBorders>
            <w:shd w:val="clear"/>
            <w:noWrap/>
            <w:vAlign w:val="center"/>
          </w:tcPr>
          <w:p w14:paraId="27E68FC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序号</w:t>
            </w:r>
          </w:p>
        </w:tc>
        <w:tc>
          <w:tcPr>
            <w:tcW w:w="1932" w:type="pct"/>
            <w:tcBorders>
              <w:top w:val="single" w:color="auto" w:sz="8" w:space="0"/>
              <w:left w:val="nil"/>
              <w:bottom w:val="single" w:color="auto" w:sz="4" w:space="0"/>
              <w:right w:val="single" w:color="auto" w:sz="4" w:space="0"/>
            </w:tcBorders>
            <w:shd w:val="clear"/>
            <w:vAlign w:val="center"/>
          </w:tcPr>
          <w:p w14:paraId="150E68F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污水厂名称</w:t>
            </w:r>
          </w:p>
        </w:tc>
        <w:tc>
          <w:tcPr>
            <w:tcW w:w="751" w:type="pct"/>
            <w:tcBorders>
              <w:top w:val="single" w:color="auto" w:sz="8" w:space="0"/>
              <w:left w:val="nil"/>
              <w:bottom w:val="single" w:color="auto" w:sz="4" w:space="0"/>
              <w:right w:val="single" w:color="auto" w:sz="4" w:space="0"/>
            </w:tcBorders>
            <w:shd w:val="clear"/>
            <w:vAlign w:val="center"/>
          </w:tcPr>
          <w:p w14:paraId="04284C98">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污泥日产量t/d</w:t>
            </w:r>
          </w:p>
        </w:tc>
        <w:tc>
          <w:tcPr>
            <w:tcW w:w="663" w:type="pct"/>
            <w:tcBorders>
              <w:top w:val="single" w:color="auto" w:sz="8" w:space="0"/>
              <w:left w:val="nil"/>
              <w:bottom w:val="single" w:color="auto" w:sz="4" w:space="0"/>
              <w:right w:val="single" w:color="auto" w:sz="4" w:space="0"/>
            </w:tcBorders>
            <w:shd w:val="clear"/>
            <w:vAlign w:val="center"/>
          </w:tcPr>
          <w:p w14:paraId="483B93E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平均含水率%</w:t>
            </w:r>
          </w:p>
        </w:tc>
        <w:tc>
          <w:tcPr>
            <w:tcW w:w="666" w:type="pct"/>
            <w:tcBorders>
              <w:top w:val="single" w:color="auto" w:sz="8" w:space="0"/>
              <w:left w:val="nil"/>
              <w:bottom w:val="single" w:color="auto" w:sz="4" w:space="0"/>
              <w:right w:val="single" w:color="auto" w:sz="4" w:space="0"/>
            </w:tcBorders>
            <w:shd w:val="clear"/>
            <w:vAlign w:val="center"/>
          </w:tcPr>
          <w:p w14:paraId="6CAC538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运输距离（Km</w:t>
            </w:r>
            <w:r>
              <w:rPr>
                <w:rFonts w:hint="eastAsia" w:ascii="宋体" w:hAnsi="宋体" w:eastAsia="宋体" w:cs="宋体"/>
                <w:snapToGrid/>
                <w:color w:val="000000"/>
                <w:kern w:val="0"/>
                <w:sz w:val="20"/>
                <w:szCs w:val="20"/>
                <w:bdr w:val="none" w:color="auto" w:sz="0" w:space="0"/>
                <w:lang w:val="en-US" w:eastAsia="zh-CN" w:bidi="ar"/>
              </w:rPr>
              <w:t>）</w:t>
            </w:r>
          </w:p>
        </w:tc>
        <w:tc>
          <w:tcPr>
            <w:tcW w:w="528" w:type="pct"/>
            <w:tcBorders>
              <w:top w:val="single" w:color="auto" w:sz="8" w:space="0"/>
              <w:left w:val="nil"/>
              <w:bottom w:val="single" w:color="auto" w:sz="4" w:space="0"/>
              <w:right w:val="single" w:color="auto" w:sz="8" w:space="0"/>
            </w:tcBorders>
            <w:shd w:val="clear"/>
            <w:vAlign w:val="center"/>
          </w:tcPr>
          <w:p w14:paraId="018AD74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备注</w:t>
            </w:r>
          </w:p>
        </w:tc>
      </w:tr>
      <w:tr w14:paraId="097D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5DA538B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1</w:t>
            </w:r>
          </w:p>
        </w:tc>
        <w:tc>
          <w:tcPr>
            <w:tcW w:w="1932" w:type="pct"/>
            <w:tcBorders>
              <w:top w:val="nil"/>
              <w:left w:val="nil"/>
              <w:bottom w:val="single" w:color="auto" w:sz="4" w:space="0"/>
              <w:right w:val="single" w:color="auto" w:sz="4" w:space="0"/>
            </w:tcBorders>
            <w:shd w:val="clear"/>
            <w:noWrap/>
            <w:vAlign w:val="center"/>
          </w:tcPr>
          <w:p w14:paraId="7AB0595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东莞市凤岗镇雁田污水处理厂</w:t>
            </w:r>
          </w:p>
        </w:tc>
        <w:tc>
          <w:tcPr>
            <w:tcW w:w="751" w:type="pct"/>
            <w:tcBorders>
              <w:top w:val="nil"/>
              <w:left w:val="nil"/>
              <w:bottom w:val="single" w:color="auto" w:sz="4" w:space="0"/>
              <w:right w:val="single" w:color="auto" w:sz="4" w:space="0"/>
            </w:tcBorders>
            <w:shd w:val="clear"/>
            <w:noWrap/>
            <w:vAlign w:val="center"/>
          </w:tcPr>
          <w:p w14:paraId="6ADF430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22</w:t>
            </w:r>
          </w:p>
        </w:tc>
        <w:tc>
          <w:tcPr>
            <w:tcW w:w="663" w:type="pct"/>
            <w:tcBorders>
              <w:top w:val="nil"/>
              <w:left w:val="nil"/>
              <w:bottom w:val="single" w:color="auto" w:sz="4" w:space="0"/>
              <w:right w:val="single" w:color="auto" w:sz="4" w:space="0"/>
            </w:tcBorders>
            <w:shd w:val="clear"/>
            <w:noWrap/>
            <w:vAlign w:val="center"/>
          </w:tcPr>
          <w:p w14:paraId="4429416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763C620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83.30</w:t>
            </w:r>
          </w:p>
        </w:tc>
        <w:tc>
          <w:tcPr>
            <w:tcW w:w="528" w:type="pct"/>
            <w:tcBorders>
              <w:top w:val="nil"/>
              <w:left w:val="nil"/>
              <w:bottom w:val="single" w:color="auto" w:sz="4" w:space="0"/>
              <w:right w:val="single" w:color="auto" w:sz="8" w:space="0"/>
            </w:tcBorders>
            <w:shd w:val="clear"/>
            <w:noWrap/>
            <w:vAlign w:val="center"/>
          </w:tcPr>
          <w:p w14:paraId="49FC305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33B0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6BBF6D0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w:t>
            </w:r>
          </w:p>
        </w:tc>
        <w:tc>
          <w:tcPr>
            <w:tcW w:w="1932" w:type="pct"/>
            <w:tcBorders>
              <w:top w:val="nil"/>
              <w:left w:val="nil"/>
              <w:bottom w:val="single" w:color="auto" w:sz="4" w:space="0"/>
              <w:right w:val="single" w:color="auto" w:sz="4" w:space="0"/>
            </w:tcBorders>
            <w:shd w:val="clear"/>
            <w:noWrap/>
            <w:vAlign w:val="center"/>
          </w:tcPr>
          <w:p w14:paraId="10D2BB1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东莞市塘厦镇林村污水处理厂</w:t>
            </w:r>
          </w:p>
        </w:tc>
        <w:tc>
          <w:tcPr>
            <w:tcW w:w="751" w:type="pct"/>
            <w:tcBorders>
              <w:top w:val="nil"/>
              <w:left w:val="nil"/>
              <w:bottom w:val="single" w:color="auto" w:sz="4" w:space="0"/>
              <w:right w:val="single" w:color="auto" w:sz="4" w:space="0"/>
            </w:tcBorders>
            <w:shd w:val="clear"/>
            <w:noWrap/>
            <w:vAlign w:val="center"/>
          </w:tcPr>
          <w:p w14:paraId="27ED12C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58</w:t>
            </w:r>
          </w:p>
        </w:tc>
        <w:tc>
          <w:tcPr>
            <w:tcW w:w="663" w:type="pct"/>
            <w:tcBorders>
              <w:top w:val="nil"/>
              <w:left w:val="nil"/>
              <w:bottom w:val="single" w:color="auto" w:sz="4" w:space="0"/>
              <w:right w:val="single" w:color="auto" w:sz="4" w:space="0"/>
            </w:tcBorders>
            <w:shd w:val="clear"/>
            <w:noWrap/>
            <w:vAlign w:val="center"/>
          </w:tcPr>
          <w:p w14:paraId="68BF55A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7C2E1A3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70.10</w:t>
            </w:r>
          </w:p>
        </w:tc>
        <w:tc>
          <w:tcPr>
            <w:tcW w:w="528" w:type="pct"/>
            <w:tcBorders>
              <w:top w:val="nil"/>
              <w:left w:val="nil"/>
              <w:bottom w:val="single" w:color="auto" w:sz="4" w:space="0"/>
              <w:right w:val="single" w:color="auto" w:sz="8" w:space="0"/>
            </w:tcBorders>
            <w:shd w:val="clear"/>
            <w:noWrap/>
            <w:vAlign w:val="bottom"/>
          </w:tcPr>
          <w:p w14:paraId="43DB8CD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2380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575B69F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3</w:t>
            </w:r>
          </w:p>
        </w:tc>
        <w:tc>
          <w:tcPr>
            <w:tcW w:w="1932" w:type="pct"/>
            <w:tcBorders>
              <w:top w:val="nil"/>
              <w:left w:val="nil"/>
              <w:bottom w:val="single" w:color="auto" w:sz="4" w:space="0"/>
              <w:right w:val="single" w:color="auto" w:sz="4" w:space="0"/>
            </w:tcBorders>
            <w:shd w:val="clear"/>
            <w:noWrap/>
            <w:vAlign w:val="center"/>
          </w:tcPr>
          <w:p w14:paraId="6FF155F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东莞市塘厦镇石桥头污水处理厂</w:t>
            </w:r>
          </w:p>
        </w:tc>
        <w:tc>
          <w:tcPr>
            <w:tcW w:w="751" w:type="pct"/>
            <w:tcBorders>
              <w:top w:val="nil"/>
              <w:left w:val="nil"/>
              <w:bottom w:val="single" w:color="auto" w:sz="4" w:space="0"/>
              <w:right w:val="single" w:color="auto" w:sz="4" w:space="0"/>
            </w:tcBorders>
            <w:shd w:val="clear"/>
            <w:noWrap/>
            <w:vAlign w:val="center"/>
          </w:tcPr>
          <w:p w14:paraId="7B22564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21</w:t>
            </w:r>
          </w:p>
        </w:tc>
        <w:tc>
          <w:tcPr>
            <w:tcW w:w="663" w:type="pct"/>
            <w:tcBorders>
              <w:top w:val="nil"/>
              <w:left w:val="nil"/>
              <w:bottom w:val="single" w:color="auto" w:sz="4" w:space="0"/>
              <w:right w:val="single" w:color="auto" w:sz="4" w:space="0"/>
            </w:tcBorders>
            <w:shd w:val="clear"/>
            <w:noWrap/>
            <w:vAlign w:val="center"/>
          </w:tcPr>
          <w:p w14:paraId="6187F2D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3D7E63B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73.50</w:t>
            </w:r>
          </w:p>
        </w:tc>
        <w:tc>
          <w:tcPr>
            <w:tcW w:w="528" w:type="pct"/>
            <w:tcBorders>
              <w:top w:val="nil"/>
              <w:left w:val="nil"/>
              <w:bottom w:val="single" w:color="auto" w:sz="4" w:space="0"/>
              <w:right w:val="single" w:color="auto" w:sz="8" w:space="0"/>
            </w:tcBorders>
            <w:shd w:val="clear"/>
            <w:noWrap/>
            <w:vAlign w:val="bottom"/>
          </w:tcPr>
          <w:p w14:paraId="50E6DD6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1EDE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566D4C2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4</w:t>
            </w:r>
          </w:p>
        </w:tc>
        <w:tc>
          <w:tcPr>
            <w:tcW w:w="1932" w:type="pct"/>
            <w:tcBorders>
              <w:top w:val="nil"/>
              <w:left w:val="nil"/>
              <w:bottom w:val="single" w:color="auto" w:sz="4" w:space="0"/>
              <w:right w:val="single" w:color="auto" w:sz="4" w:space="0"/>
            </w:tcBorders>
            <w:shd w:val="clear"/>
            <w:noWrap/>
            <w:vAlign w:val="center"/>
          </w:tcPr>
          <w:p w14:paraId="1876991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东莞市南畲朗污水处理厂</w:t>
            </w:r>
          </w:p>
        </w:tc>
        <w:tc>
          <w:tcPr>
            <w:tcW w:w="751" w:type="pct"/>
            <w:tcBorders>
              <w:top w:val="nil"/>
              <w:left w:val="nil"/>
              <w:bottom w:val="single" w:color="auto" w:sz="4" w:space="0"/>
              <w:right w:val="single" w:color="auto" w:sz="4" w:space="0"/>
            </w:tcBorders>
            <w:shd w:val="clear"/>
            <w:noWrap/>
            <w:vAlign w:val="center"/>
          </w:tcPr>
          <w:p w14:paraId="64E3688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42</w:t>
            </w:r>
          </w:p>
        </w:tc>
        <w:tc>
          <w:tcPr>
            <w:tcW w:w="663" w:type="pct"/>
            <w:tcBorders>
              <w:top w:val="nil"/>
              <w:left w:val="nil"/>
              <w:bottom w:val="single" w:color="auto" w:sz="4" w:space="0"/>
              <w:right w:val="single" w:color="auto" w:sz="4" w:space="0"/>
            </w:tcBorders>
            <w:shd w:val="clear"/>
            <w:noWrap/>
            <w:vAlign w:val="center"/>
          </w:tcPr>
          <w:p w14:paraId="48CFFC2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39330BA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46.00</w:t>
            </w:r>
          </w:p>
        </w:tc>
        <w:tc>
          <w:tcPr>
            <w:tcW w:w="528" w:type="pct"/>
            <w:tcBorders>
              <w:top w:val="nil"/>
              <w:left w:val="nil"/>
              <w:bottom w:val="single" w:color="auto" w:sz="4" w:space="0"/>
              <w:right w:val="single" w:color="auto" w:sz="8" w:space="0"/>
            </w:tcBorders>
            <w:shd w:val="clear"/>
            <w:noWrap/>
            <w:vAlign w:val="bottom"/>
          </w:tcPr>
          <w:p w14:paraId="2A4E8DC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68E7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0FBBDED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5</w:t>
            </w:r>
          </w:p>
        </w:tc>
        <w:tc>
          <w:tcPr>
            <w:tcW w:w="1932" w:type="pct"/>
            <w:tcBorders>
              <w:top w:val="nil"/>
              <w:left w:val="nil"/>
              <w:bottom w:val="single" w:color="auto" w:sz="4" w:space="0"/>
              <w:right w:val="single" w:color="auto" w:sz="4" w:space="0"/>
            </w:tcBorders>
            <w:shd w:val="clear"/>
            <w:noWrap/>
            <w:vAlign w:val="center"/>
          </w:tcPr>
          <w:p w14:paraId="0F20487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东莞市大岭山连马污水处理厂</w:t>
            </w:r>
          </w:p>
        </w:tc>
        <w:tc>
          <w:tcPr>
            <w:tcW w:w="751" w:type="pct"/>
            <w:tcBorders>
              <w:top w:val="nil"/>
              <w:left w:val="nil"/>
              <w:bottom w:val="single" w:color="auto" w:sz="4" w:space="0"/>
              <w:right w:val="single" w:color="auto" w:sz="4" w:space="0"/>
            </w:tcBorders>
            <w:shd w:val="clear"/>
            <w:noWrap/>
            <w:vAlign w:val="center"/>
          </w:tcPr>
          <w:p w14:paraId="1F010EA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27</w:t>
            </w:r>
          </w:p>
        </w:tc>
        <w:tc>
          <w:tcPr>
            <w:tcW w:w="663" w:type="pct"/>
            <w:tcBorders>
              <w:top w:val="nil"/>
              <w:left w:val="nil"/>
              <w:bottom w:val="single" w:color="auto" w:sz="4" w:space="0"/>
              <w:right w:val="single" w:color="auto" w:sz="4" w:space="0"/>
            </w:tcBorders>
            <w:shd w:val="clear"/>
            <w:noWrap/>
            <w:vAlign w:val="center"/>
          </w:tcPr>
          <w:p w14:paraId="4146969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2602B9C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40.00</w:t>
            </w:r>
          </w:p>
        </w:tc>
        <w:tc>
          <w:tcPr>
            <w:tcW w:w="528" w:type="pct"/>
            <w:tcBorders>
              <w:top w:val="nil"/>
              <w:left w:val="nil"/>
              <w:bottom w:val="single" w:color="auto" w:sz="4" w:space="0"/>
              <w:right w:val="single" w:color="auto" w:sz="8" w:space="0"/>
            </w:tcBorders>
            <w:shd w:val="clear"/>
            <w:noWrap/>
            <w:vAlign w:val="bottom"/>
          </w:tcPr>
          <w:p w14:paraId="5EE55C6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5D69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1AE2CA6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6</w:t>
            </w:r>
          </w:p>
        </w:tc>
        <w:tc>
          <w:tcPr>
            <w:tcW w:w="1932" w:type="pct"/>
            <w:tcBorders>
              <w:top w:val="nil"/>
              <w:left w:val="nil"/>
              <w:bottom w:val="single" w:color="auto" w:sz="4" w:space="0"/>
              <w:right w:val="single" w:color="auto" w:sz="4" w:space="0"/>
            </w:tcBorders>
            <w:shd w:val="clear"/>
            <w:noWrap/>
            <w:vAlign w:val="center"/>
          </w:tcPr>
          <w:p w14:paraId="11194A8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东莞市黄江污水处理厂二期</w:t>
            </w:r>
          </w:p>
        </w:tc>
        <w:tc>
          <w:tcPr>
            <w:tcW w:w="751" w:type="pct"/>
            <w:tcBorders>
              <w:top w:val="nil"/>
              <w:left w:val="nil"/>
              <w:bottom w:val="single" w:color="auto" w:sz="4" w:space="0"/>
              <w:right w:val="single" w:color="auto" w:sz="4" w:space="0"/>
            </w:tcBorders>
            <w:shd w:val="clear"/>
            <w:noWrap/>
            <w:vAlign w:val="center"/>
          </w:tcPr>
          <w:p w14:paraId="17C082D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25</w:t>
            </w:r>
          </w:p>
        </w:tc>
        <w:tc>
          <w:tcPr>
            <w:tcW w:w="663" w:type="pct"/>
            <w:tcBorders>
              <w:top w:val="nil"/>
              <w:left w:val="nil"/>
              <w:bottom w:val="single" w:color="auto" w:sz="4" w:space="0"/>
              <w:right w:val="single" w:color="auto" w:sz="4" w:space="0"/>
            </w:tcBorders>
            <w:shd w:val="clear"/>
            <w:noWrap/>
            <w:vAlign w:val="center"/>
          </w:tcPr>
          <w:p w14:paraId="4F8BAC8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2A3B4AE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54.50</w:t>
            </w:r>
          </w:p>
        </w:tc>
        <w:tc>
          <w:tcPr>
            <w:tcW w:w="528" w:type="pct"/>
            <w:tcBorders>
              <w:top w:val="nil"/>
              <w:left w:val="nil"/>
              <w:bottom w:val="single" w:color="auto" w:sz="4" w:space="0"/>
              <w:right w:val="single" w:color="auto" w:sz="8" w:space="0"/>
            </w:tcBorders>
            <w:shd w:val="clear"/>
            <w:noWrap/>
            <w:vAlign w:val="bottom"/>
          </w:tcPr>
          <w:p w14:paraId="0E785D3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4418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1D980AD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7</w:t>
            </w:r>
          </w:p>
        </w:tc>
        <w:tc>
          <w:tcPr>
            <w:tcW w:w="1932" w:type="pct"/>
            <w:tcBorders>
              <w:top w:val="nil"/>
              <w:left w:val="nil"/>
              <w:bottom w:val="single" w:color="auto" w:sz="4" w:space="0"/>
              <w:right w:val="single" w:color="auto" w:sz="4" w:space="0"/>
            </w:tcBorders>
            <w:shd w:val="clear"/>
            <w:vAlign w:val="center"/>
          </w:tcPr>
          <w:p w14:paraId="6593D0C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东莞市长安新区污水处理厂</w:t>
            </w:r>
          </w:p>
        </w:tc>
        <w:tc>
          <w:tcPr>
            <w:tcW w:w="751" w:type="pct"/>
            <w:tcBorders>
              <w:top w:val="nil"/>
              <w:left w:val="nil"/>
              <w:bottom w:val="single" w:color="auto" w:sz="4" w:space="0"/>
              <w:right w:val="single" w:color="auto" w:sz="4" w:space="0"/>
            </w:tcBorders>
            <w:shd w:val="clear"/>
            <w:noWrap/>
            <w:vAlign w:val="center"/>
          </w:tcPr>
          <w:p w14:paraId="525C680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48</w:t>
            </w:r>
          </w:p>
        </w:tc>
        <w:tc>
          <w:tcPr>
            <w:tcW w:w="663" w:type="pct"/>
            <w:tcBorders>
              <w:top w:val="nil"/>
              <w:left w:val="nil"/>
              <w:bottom w:val="single" w:color="auto" w:sz="4" w:space="0"/>
              <w:right w:val="single" w:color="auto" w:sz="4" w:space="0"/>
            </w:tcBorders>
            <w:shd w:val="clear"/>
            <w:noWrap/>
            <w:vAlign w:val="center"/>
          </w:tcPr>
          <w:p w14:paraId="35E0294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60CD979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37.40</w:t>
            </w:r>
          </w:p>
        </w:tc>
        <w:tc>
          <w:tcPr>
            <w:tcW w:w="528" w:type="pct"/>
            <w:tcBorders>
              <w:top w:val="nil"/>
              <w:left w:val="nil"/>
              <w:bottom w:val="single" w:color="auto" w:sz="4" w:space="0"/>
              <w:right w:val="single" w:color="auto" w:sz="8" w:space="0"/>
            </w:tcBorders>
            <w:shd w:val="clear"/>
            <w:noWrap/>
            <w:vAlign w:val="bottom"/>
          </w:tcPr>
          <w:p w14:paraId="3CF0AFF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603C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7CEA2A5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8</w:t>
            </w:r>
          </w:p>
        </w:tc>
        <w:tc>
          <w:tcPr>
            <w:tcW w:w="1932" w:type="pct"/>
            <w:tcBorders>
              <w:top w:val="nil"/>
              <w:left w:val="nil"/>
              <w:bottom w:val="single" w:color="auto" w:sz="4" w:space="0"/>
              <w:right w:val="single" w:color="auto" w:sz="4" w:space="0"/>
            </w:tcBorders>
            <w:shd w:val="clear"/>
            <w:vAlign w:val="center"/>
          </w:tcPr>
          <w:p w14:paraId="2DC1BD4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东莞市市区污水处理厂</w:t>
            </w:r>
          </w:p>
        </w:tc>
        <w:tc>
          <w:tcPr>
            <w:tcW w:w="751" w:type="pct"/>
            <w:tcBorders>
              <w:top w:val="nil"/>
              <w:left w:val="nil"/>
              <w:bottom w:val="single" w:color="auto" w:sz="4" w:space="0"/>
              <w:right w:val="single" w:color="auto" w:sz="4" w:space="0"/>
            </w:tcBorders>
            <w:shd w:val="clear"/>
            <w:noWrap/>
            <w:vAlign w:val="center"/>
          </w:tcPr>
          <w:p w14:paraId="6886325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70</w:t>
            </w:r>
          </w:p>
        </w:tc>
        <w:tc>
          <w:tcPr>
            <w:tcW w:w="663" w:type="pct"/>
            <w:tcBorders>
              <w:top w:val="nil"/>
              <w:left w:val="nil"/>
              <w:bottom w:val="single" w:color="auto" w:sz="4" w:space="0"/>
              <w:right w:val="single" w:color="auto" w:sz="4" w:space="0"/>
            </w:tcBorders>
            <w:shd w:val="clear"/>
            <w:noWrap/>
            <w:vAlign w:val="center"/>
          </w:tcPr>
          <w:p w14:paraId="19DF50D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4085A043">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20.60</w:t>
            </w:r>
          </w:p>
        </w:tc>
        <w:tc>
          <w:tcPr>
            <w:tcW w:w="528" w:type="pct"/>
            <w:tcBorders>
              <w:top w:val="nil"/>
              <w:left w:val="nil"/>
              <w:bottom w:val="single" w:color="auto" w:sz="4" w:space="0"/>
              <w:right w:val="single" w:color="auto" w:sz="8" w:space="0"/>
            </w:tcBorders>
            <w:shd w:val="clear"/>
            <w:noWrap/>
            <w:vAlign w:val="center"/>
          </w:tcPr>
          <w:p w14:paraId="7709C61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5450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2BE962B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9</w:t>
            </w:r>
          </w:p>
        </w:tc>
        <w:tc>
          <w:tcPr>
            <w:tcW w:w="1932" w:type="pct"/>
            <w:tcBorders>
              <w:top w:val="nil"/>
              <w:left w:val="nil"/>
              <w:bottom w:val="single" w:color="auto" w:sz="4" w:space="0"/>
              <w:right w:val="single" w:color="auto" w:sz="4" w:space="0"/>
            </w:tcBorders>
            <w:shd w:val="clear"/>
            <w:vAlign w:val="center"/>
          </w:tcPr>
          <w:p w14:paraId="5C5C557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凤岗竹塘二、三期</w:t>
            </w:r>
          </w:p>
        </w:tc>
        <w:tc>
          <w:tcPr>
            <w:tcW w:w="751" w:type="pct"/>
            <w:tcBorders>
              <w:top w:val="nil"/>
              <w:left w:val="nil"/>
              <w:bottom w:val="single" w:color="auto" w:sz="4" w:space="0"/>
              <w:right w:val="single" w:color="auto" w:sz="4" w:space="0"/>
            </w:tcBorders>
            <w:shd w:val="clear"/>
            <w:noWrap/>
            <w:vAlign w:val="center"/>
          </w:tcPr>
          <w:p w14:paraId="6DE11A0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34</w:t>
            </w:r>
          </w:p>
        </w:tc>
        <w:tc>
          <w:tcPr>
            <w:tcW w:w="663" w:type="pct"/>
            <w:tcBorders>
              <w:top w:val="nil"/>
              <w:left w:val="nil"/>
              <w:bottom w:val="single" w:color="auto" w:sz="4" w:space="0"/>
              <w:right w:val="single" w:color="auto" w:sz="4" w:space="0"/>
            </w:tcBorders>
            <w:shd w:val="clear"/>
            <w:noWrap/>
            <w:vAlign w:val="center"/>
          </w:tcPr>
          <w:p w14:paraId="13CC058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51BC709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78.6</w:t>
            </w:r>
          </w:p>
        </w:tc>
        <w:tc>
          <w:tcPr>
            <w:tcW w:w="528" w:type="pct"/>
            <w:tcBorders>
              <w:top w:val="nil"/>
              <w:left w:val="nil"/>
              <w:bottom w:val="single" w:color="auto" w:sz="4" w:space="0"/>
              <w:right w:val="single" w:color="auto" w:sz="8" w:space="0"/>
            </w:tcBorders>
            <w:shd w:val="clear"/>
            <w:noWrap/>
            <w:vAlign w:val="center"/>
          </w:tcPr>
          <w:p w14:paraId="7253FFC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69E1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58" w:type="pct"/>
            <w:tcBorders>
              <w:top w:val="nil"/>
              <w:left w:val="single" w:color="auto" w:sz="8" w:space="0"/>
              <w:bottom w:val="single" w:color="auto" w:sz="4" w:space="0"/>
              <w:right w:val="single" w:color="auto" w:sz="4" w:space="0"/>
            </w:tcBorders>
            <w:shd w:val="clear"/>
            <w:noWrap/>
            <w:vAlign w:val="center"/>
          </w:tcPr>
          <w:p w14:paraId="1B7B47B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10</w:t>
            </w:r>
          </w:p>
        </w:tc>
        <w:tc>
          <w:tcPr>
            <w:tcW w:w="1932" w:type="pct"/>
            <w:tcBorders>
              <w:top w:val="nil"/>
              <w:left w:val="nil"/>
              <w:bottom w:val="single" w:color="auto" w:sz="4" w:space="0"/>
              <w:right w:val="single" w:color="auto" w:sz="4" w:space="0"/>
            </w:tcBorders>
            <w:shd w:val="clear"/>
            <w:vAlign w:val="center"/>
          </w:tcPr>
          <w:p w14:paraId="16EA742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寮步竹园二、三期</w:t>
            </w:r>
          </w:p>
        </w:tc>
        <w:tc>
          <w:tcPr>
            <w:tcW w:w="751" w:type="pct"/>
            <w:tcBorders>
              <w:top w:val="nil"/>
              <w:left w:val="nil"/>
              <w:bottom w:val="single" w:color="auto" w:sz="4" w:space="0"/>
              <w:right w:val="single" w:color="auto" w:sz="4" w:space="0"/>
            </w:tcBorders>
            <w:shd w:val="clear"/>
            <w:noWrap/>
            <w:vAlign w:val="center"/>
          </w:tcPr>
          <w:p w14:paraId="6870B5A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24</w:t>
            </w:r>
          </w:p>
        </w:tc>
        <w:tc>
          <w:tcPr>
            <w:tcW w:w="663" w:type="pct"/>
            <w:tcBorders>
              <w:top w:val="nil"/>
              <w:left w:val="nil"/>
              <w:bottom w:val="single" w:color="auto" w:sz="4" w:space="0"/>
              <w:right w:val="single" w:color="auto" w:sz="4" w:space="0"/>
            </w:tcBorders>
            <w:shd w:val="clear"/>
            <w:noWrap/>
            <w:vAlign w:val="center"/>
          </w:tcPr>
          <w:p w14:paraId="6B61609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4" w:space="0"/>
              <w:right w:val="single" w:color="auto" w:sz="4" w:space="0"/>
            </w:tcBorders>
            <w:shd w:val="clear"/>
            <w:noWrap/>
            <w:vAlign w:val="center"/>
          </w:tcPr>
          <w:p w14:paraId="07E68FAF">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33.4</w:t>
            </w:r>
          </w:p>
        </w:tc>
        <w:tc>
          <w:tcPr>
            <w:tcW w:w="528" w:type="pct"/>
            <w:tcBorders>
              <w:top w:val="nil"/>
              <w:left w:val="nil"/>
              <w:bottom w:val="single" w:color="auto" w:sz="4" w:space="0"/>
              <w:right w:val="single" w:color="auto" w:sz="8" w:space="0"/>
            </w:tcBorders>
            <w:shd w:val="clear"/>
            <w:noWrap/>
            <w:vAlign w:val="center"/>
          </w:tcPr>
          <w:p w14:paraId="43894D3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0"/>
                <w:szCs w:val="20"/>
                <w:bdr w:val="none" w:color="auto" w:sz="0" w:space="0"/>
              </w:rPr>
            </w:pPr>
          </w:p>
        </w:tc>
      </w:tr>
      <w:tr w14:paraId="694C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458" w:type="pct"/>
            <w:tcBorders>
              <w:top w:val="nil"/>
              <w:left w:val="single" w:color="auto" w:sz="8" w:space="0"/>
              <w:bottom w:val="single" w:color="auto" w:sz="8" w:space="0"/>
              <w:right w:val="single" w:color="auto" w:sz="4" w:space="0"/>
            </w:tcBorders>
            <w:shd w:val="clear"/>
            <w:noWrap/>
            <w:vAlign w:val="center"/>
          </w:tcPr>
          <w:p w14:paraId="6E1C659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11</w:t>
            </w:r>
          </w:p>
        </w:tc>
        <w:tc>
          <w:tcPr>
            <w:tcW w:w="1932" w:type="pct"/>
            <w:tcBorders>
              <w:top w:val="nil"/>
              <w:left w:val="nil"/>
              <w:bottom w:val="single" w:color="auto" w:sz="8" w:space="0"/>
              <w:right w:val="single" w:color="auto" w:sz="4" w:space="0"/>
            </w:tcBorders>
            <w:shd w:val="clear"/>
            <w:noWrap/>
            <w:vAlign w:val="center"/>
          </w:tcPr>
          <w:p w14:paraId="71B86C91">
            <w:pPr>
              <w:keepNext w:val="0"/>
              <w:keepLines w:val="0"/>
              <w:widowControl/>
              <w:suppressLineNumbers w:val="0"/>
              <w:kinsoku w:val="0"/>
              <w:autoSpaceDE w:val="0"/>
              <w:autoSpaceDN w:val="0"/>
              <w:adjustRightInd w:val="0"/>
              <w:snapToGrid w:val="0"/>
              <w:spacing w:before="0" w:beforeAutospacing="0" w:after="0" w:afterAutospacing="0"/>
              <w:ind w:left="0" w:right="840"/>
              <w:jc w:val="both"/>
              <w:textAlignment w:val="baseline"/>
              <w:rPr>
                <w:rFonts w:hint="eastAsia" w:ascii="宋体" w:hAnsi="宋体" w:eastAsia="宋体" w:cs="宋体"/>
                <w:b/>
                <w:bCs/>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东城温塘一二期</w:t>
            </w:r>
          </w:p>
        </w:tc>
        <w:tc>
          <w:tcPr>
            <w:tcW w:w="751" w:type="pct"/>
            <w:tcBorders>
              <w:top w:val="nil"/>
              <w:left w:val="nil"/>
              <w:bottom w:val="single" w:color="auto" w:sz="8" w:space="0"/>
              <w:right w:val="single" w:color="auto" w:sz="4" w:space="0"/>
            </w:tcBorders>
            <w:shd w:val="clear"/>
            <w:noWrap/>
            <w:vAlign w:val="center"/>
          </w:tcPr>
          <w:p w14:paraId="4D0F1B5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bdr w:val="none" w:color="auto" w:sz="0" w:space="0"/>
              </w:rPr>
            </w:pPr>
            <w:r>
              <w:rPr>
                <w:rFonts w:hint="eastAsia" w:ascii="宋体" w:hAnsi="宋体" w:eastAsia="宋体" w:cs="宋体"/>
                <w:b w:val="0"/>
                <w:bCs w:val="0"/>
                <w:snapToGrid/>
                <w:color w:val="000000"/>
                <w:kern w:val="0"/>
                <w:sz w:val="20"/>
                <w:szCs w:val="20"/>
                <w:bdr w:val="none" w:color="auto" w:sz="0" w:space="0"/>
                <w:lang w:val="en-US" w:eastAsia="zh-CN" w:bidi="ar"/>
              </w:rPr>
              <w:t>14</w:t>
            </w:r>
          </w:p>
        </w:tc>
        <w:tc>
          <w:tcPr>
            <w:tcW w:w="663" w:type="pct"/>
            <w:tcBorders>
              <w:top w:val="nil"/>
              <w:left w:val="nil"/>
              <w:bottom w:val="single" w:color="auto" w:sz="8" w:space="0"/>
              <w:right w:val="single" w:color="auto" w:sz="4" w:space="0"/>
            </w:tcBorders>
            <w:shd w:val="clear"/>
            <w:noWrap/>
            <w:vAlign w:val="center"/>
          </w:tcPr>
          <w:p w14:paraId="163EC31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不超过60</w:t>
            </w:r>
          </w:p>
        </w:tc>
        <w:tc>
          <w:tcPr>
            <w:tcW w:w="666" w:type="pct"/>
            <w:tcBorders>
              <w:top w:val="nil"/>
              <w:left w:val="nil"/>
              <w:bottom w:val="single" w:color="auto" w:sz="8" w:space="0"/>
              <w:right w:val="single" w:color="auto" w:sz="4" w:space="0"/>
            </w:tcBorders>
            <w:shd w:val="clear"/>
            <w:noWrap/>
            <w:vAlign w:val="center"/>
          </w:tcPr>
          <w:p w14:paraId="43B1F50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bdr w:val="none" w:color="auto" w:sz="0" w:space="0"/>
              </w:rPr>
            </w:pPr>
            <w:r>
              <w:rPr>
                <w:rFonts w:hint="eastAsia" w:ascii="宋体" w:hAnsi="宋体" w:eastAsia="宋体" w:cs="宋体"/>
                <w:snapToGrid/>
                <w:color w:val="000000"/>
                <w:kern w:val="0"/>
                <w:sz w:val="20"/>
                <w:szCs w:val="20"/>
                <w:bdr w:val="none" w:color="auto" w:sz="0" w:space="0"/>
                <w:lang w:val="en-US" w:eastAsia="zh-CN" w:bidi="ar"/>
              </w:rPr>
              <w:t>35.1</w:t>
            </w:r>
          </w:p>
        </w:tc>
        <w:tc>
          <w:tcPr>
            <w:tcW w:w="528" w:type="pct"/>
            <w:tcBorders>
              <w:top w:val="nil"/>
              <w:left w:val="nil"/>
              <w:bottom w:val="single" w:color="auto" w:sz="8" w:space="0"/>
              <w:right w:val="single" w:color="auto" w:sz="8" w:space="0"/>
            </w:tcBorders>
            <w:shd w:val="clear"/>
            <w:noWrap/>
            <w:vAlign w:val="bottom"/>
          </w:tcPr>
          <w:p w14:paraId="108D510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
                <w:bCs/>
                <w:color w:val="000000"/>
                <w:kern w:val="0"/>
                <w:sz w:val="20"/>
                <w:szCs w:val="20"/>
                <w:bdr w:val="none" w:color="auto" w:sz="0" w:space="0"/>
              </w:rPr>
            </w:pPr>
          </w:p>
        </w:tc>
      </w:tr>
    </w:tbl>
    <w:p w14:paraId="53177A64">
      <w:pPr>
        <w:pStyle w:val="60"/>
        <w:keepNext w:val="0"/>
        <w:keepLines w:val="0"/>
        <w:widowControl/>
        <w:suppressLineNumbers w:val="0"/>
        <w:spacing w:line="360" w:lineRule="auto"/>
        <w:ind w:left="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p w14:paraId="24D63A74">
      <w:pPr>
        <w:pStyle w:val="60"/>
        <w:keepNext w:val="0"/>
        <w:keepLines w:val="0"/>
        <w:widowControl/>
        <w:suppressLineNumbers w:val="0"/>
        <w:spacing w:line="360" w:lineRule="auto"/>
        <w:ind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述半干污泥量为暂估值，不作为实际转运量，采购人有权根据调试需求进行调整，包括扩大或者缩小污水处理厂范围，污水处理厂位置均在东莞市辖区内。最终需要运输的污水处理厂以及每座污水处理厂需要运输的污泥量，以采购人具体需求为准，服务单位应积极响应。</w:t>
      </w:r>
    </w:p>
    <w:p w14:paraId="503C8219">
      <w:pPr>
        <w:pStyle w:val="60"/>
        <w:keepNext w:val="0"/>
        <w:keepLines w:val="0"/>
        <w:widowControl/>
        <w:suppressLineNumbers w:val="0"/>
        <w:spacing w:line="360" w:lineRule="auto"/>
        <w:ind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、运输服务期自合同签订之日起两个月。</w:t>
      </w:r>
    </w:p>
    <w:p w14:paraId="3032715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contextualSpacing/>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4</w:t>
      </w:r>
      <w:r>
        <w:rPr>
          <w:rFonts w:hint="eastAsia" w:ascii="宋体" w:hAnsi="宋体" w:eastAsia="宋体" w:cs="宋体"/>
          <w:snapToGrid/>
          <w:color w:val="000000"/>
          <w:kern w:val="0"/>
          <w:sz w:val="21"/>
          <w:szCs w:val="21"/>
          <w:lang w:val="en-US" w:eastAsia="zh-CN" w:bidi="ar"/>
        </w:rPr>
        <w:t>、本项目共确定1</w:t>
      </w:r>
      <w:r>
        <w:rPr>
          <w:rFonts w:hint="eastAsia" w:ascii="宋体" w:hAnsi="宋体" w:eastAsia="宋体" w:cs="宋体"/>
          <w:snapToGrid/>
          <w:color w:val="000000"/>
          <w:kern w:val="0"/>
          <w:sz w:val="21"/>
          <w:szCs w:val="21"/>
          <w:lang w:val="en-US" w:eastAsia="zh-CN" w:bidi="ar"/>
        </w:rPr>
        <w:t>家运输服务单位。</w:t>
      </w:r>
    </w:p>
    <w:p w14:paraId="6E1653B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contextualSpacing/>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5</w:t>
      </w:r>
      <w:r>
        <w:rPr>
          <w:rFonts w:hint="eastAsia" w:ascii="宋体" w:hAnsi="宋体" w:eastAsia="宋体" w:cs="宋体"/>
          <w:snapToGrid/>
          <w:color w:val="000000"/>
          <w:kern w:val="0"/>
          <w:sz w:val="21"/>
          <w:szCs w:val="21"/>
          <w:lang w:val="en-US" w:eastAsia="zh-CN" w:bidi="ar"/>
        </w:rPr>
        <w:t>、本概况介绍的各污水处理厂（处理站）情况，以及预计的半干污泥量为暂定量，仅为便于服务单位了解项目情况使用，不作为采购人最终委托运输量的保证。在服务期内，当需要转运半干污泥时，采购人通知服务单位到指定污水厂或污泥项目现场进行运输。服务单位不得因未获得具体半干污泥转运量，或因半干污泥转运量的减少或增加而要求提供任何形式的补偿或赔偿。</w:t>
      </w:r>
    </w:p>
    <w:p w14:paraId="4E0E0D9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contextualSpacing/>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6</w:t>
      </w:r>
      <w:r>
        <w:rPr>
          <w:rFonts w:hint="eastAsia" w:ascii="宋体" w:hAnsi="宋体" w:eastAsia="宋体" w:cs="宋体"/>
          <w:snapToGrid/>
          <w:color w:val="000000"/>
          <w:kern w:val="0"/>
          <w:sz w:val="21"/>
          <w:szCs w:val="21"/>
          <w:lang w:val="en-US" w:eastAsia="zh-CN" w:bidi="ar"/>
        </w:rPr>
        <w:t>、服务单位必须清楚理解：采购人采购文件中介绍的各污水处理厂规模以及预计的产泥量为暂定量仅供服务单位了解项目情况使用，不作为采购人最终委托运输量的保证。不得因实际污泥运输量增减而要求采购人提供任何形式的补偿或赔偿。</w:t>
      </w:r>
    </w:p>
    <w:p w14:paraId="0410345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2" w:firstLineChars="200"/>
        <w:contextualSpacing/>
        <w:jc w:val="both"/>
        <w:textAlignment w:val="baseline"/>
        <w:rPr>
          <w:rFonts w:hint="eastAsia" w:ascii="宋体" w:hAnsi="宋体" w:eastAsia="宋体" w:cs="宋体"/>
          <w:b/>
          <w:bCs w:val="0"/>
          <w:color w:val="000000"/>
          <w:kern w:val="0"/>
          <w:sz w:val="21"/>
          <w:szCs w:val="21"/>
        </w:rPr>
      </w:pPr>
      <w:r>
        <w:rPr>
          <w:rFonts w:hint="eastAsia" w:ascii="宋体" w:hAnsi="宋体" w:eastAsia="宋体" w:cs="宋体"/>
          <w:b/>
          <w:bCs w:val="0"/>
          <w:snapToGrid/>
          <w:color w:val="000000"/>
          <w:kern w:val="0"/>
          <w:sz w:val="21"/>
          <w:szCs w:val="21"/>
          <w:lang w:val="en-US" w:eastAsia="zh-CN" w:bidi="ar"/>
        </w:rPr>
        <w:t>二、服务范围及运输服务费</w:t>
      </w:r>
    </w:p>
    <w:p w14:paraId="529731A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1</w:t>
      </w:r>
      <w:r>
        <w:rPr>
          <w:rFonts w:hint="eastAsia" w:ascii="宋体" w:hAnsi="宋体" w:eastAsia="宋体" w:cs="宋体"/>
          <w:snapToGrid/>
          <w:color w:val="000000"/>
          <w:kern w:val="0"/>
          <w:sz w:val="21"/>
          <w:szCs w:val="21"/>
          <w:lang w:val="en-US" w:eastAsia="zh-CN" w:bidi="ar"/>
        </w:rPr>
        <w:t>、采购范围：</w:t>
      </w:r>
    </w:p>
    <w:p w14:paraId="75058241">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从采购人东莞市区域内的污水处理厂将半干污泥运输至东莞市污泥集中处理处置项目现场，并将污泥运回污水处理厂。</w:t>
      </w:r>
    </w:p>
    <w:p w14:paraId="7A0544B0">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、本项目运输服务费。</w:t>
      </w:r>
    </w:p>
    <w:p w14:paraId="32D62555">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）（不含税）运输服务费=</w:t>
      </w:r>
      <w:r>
        <w:rPr>
          <w:rFonts w:hint="eastAsia" w:ascii="宋体" w:hAnsi="宋体" w:eastAsia="宋体" w:cs="宋体"/>
          <w:color w:val="000000"/>
          <w:kern w:val="0"/>
          <w:sz w:val="21"/>
          <w:szCs w:val="21"/>
        </w:rPr>
        <w:t>不含税运输服务费单价[</w:t>
      </w:r>
      <w:r>
        <w:rPr>
          <w:rFonts w:hint="eastAsia" w:ascii="宋体" w:hAnsi="宋体" w:eastAsia="宋体" w:cs="宋体"/>
          <w:color w:val="000000"/>
          <w:kern w:val="0"/>
          <w:sz w:val="21"/>
          <w:szCs w:val="21"/>
        </w:rPr>
        <w:t>单位：元/</w:t>
      </w:r>
      <w:r>
        <w:rPr>
          <w:rFonts w:hint="eastAsia" w:ascii="宋体" w:hAnsi="宋体" w:eastAsia="宋体" w:cs="宋体"/>
          <w:color w:val="000000"/>
          <w:kern w:val="0"/>
          <w:sz w:val="21"/>
          <w:szCs w:val="21"/>
        </w:rPr>
        <w:t>（吨·</w:t>
      </w:r>
      <w:r>
        <w:rPr>
          <w:rFonts w:hint="eastAsia" w:ascii="宋体" w:hAnsi="宋体" w:eastAsia="宋体" w:cs="宋体"/>
          <w:color w:val="000000"/>
          <w:kern w:val="0"/>
          <w:sz w:val="21"/>
          <w:szCs w:val="21"/>
        </w:rPr>
        <w:t>公里）]×</w:t>
      </w:r>
      <w:r>
        <w:rPr>
          <w:rFonts w:hint="eastAsia" w:ascii="宋体" w:hAnsi="宋体" w:eastAsia="宋体" w:cs="宋体"/>
          <w:color w:val="000000"/>
          <w:kern w:val="0"/>
          <w:sz w:val="21"/>
          <w:szCs w:val="21"/>
        </w:rPr>
        <w:t>运输距离（公里）×</w:t>
      </w:r>
      <w:r>
        <w:rPr>
          <w:rFonts w:hint="eastAsia" w:ascii="宋体" w:hAnsi="宋体" w:eastAsia="宋体" w:cs="宋体"/>
          <w:color w:val="000000"/>
          <w:kern w:val="0"/>
          <w:sz w:val="21"/>
          <w:szCs w:val="21"/>
        </w:rPr>
        <w:t xml:space="preserve">运输半干污泥重量（吨）。 </w:t>
      </w:r>
    </w:p>
    <w:p w14:paraId="7D019AE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）运输路线和运输距离由服务单位转移运输半干污泥前向采购人报审，经采购人审核确认后确定行驶路线和运输距离，经采购人、服务单位双方签字确定后作为单次运输距离的计费依据。</w:t>
      </w:r>
    </w:p>
    <w:p w14:paraId="3D3D0EE1">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）运输费按单程运输距离计算，不计算运输车辆返程路程。运输距离根据百度地图APP</w:t>
      </w:r>
      <w:r>
        <w:rPr>
          <w:rFonts w:hint="eastAsia" w:ascii="宋体" w:hAnsi="宋体" w:eastAsia="宋体" w:cs="宋体"/>
          <w:color w:val="000000"/>
          <w:kern w:val="0"/>
          <w:sz w:val="21"/>
          <w:szCs w:val="21"/>
        </w:rPr>
        <w:t>对应类型货车行驶路线最短距离计算，按四舍五入保留到个位数（公里）。百度地图推荐多条路线时，以距离最短方案载明的路线里程为准，不考虑躲避拥堵、红绿灯少等偏好。因公安及交通等管理部门规定限行，以及根据实际情况存在限重确实需要绕行的，需经采购人审核同意后以调整后的运输路线距离作为计费的运输距离。</w:t>
      </w:r>
    </w:p>
    <w:p w14:paraId="0D2BC119">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）半干污泥重量以采购人指定的第三方过磅数量为准，称重的过磅费用由采购人承担。服务单位对过磅重量有异议的，由双方共同指定的第三方过磅复核重量，费用由服务单位承担。</w:t>
      </w:r>
    </w:p>
    <w:p w14:paraId="57547D8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在本项目履行过程中，运输服务费单价（即销售额，不含服务单位销项税额）不随法律法规政策、物价人工、油价、路桥费等调整而进行调整（合同明确约定可调整的除外），未经采购人书面确认，服务单位（包括但不限于服务单位指定的第三方）无权增加任何费用。</w:t>
      </w:r>
    </w:p>
    <w:p w14:paraId="71FDD5C5">
      <w:pPr>
        <w:pStyle w:val="60"/>
        <w:keepNext w:val="0"/>
        <w:keepLines w:val="0"/>
        <w:widowControl/>
        <w:suppressLineNumbers w:val="0"/>
        <w:spacing w:line="360" w:lineRule="auto"/>
        <w:ind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本项目不含税运输服务费单价包括了服务单位成交后为完成询价文件和合同规定的全部工作所需支付的一切费用，运输服务费单价为包干价，包括但不限于服务单位履行本合同所发生的运输服务范围内所需的人工费（含加班和节假日补贴）、车辆使用及燃油费、作业现场除尘及场地清洗费、半干污泥运输过路桥费（含高速路）、提供运输服务人员的工资、食宿、保险费（包括运输车辆交强险、第三者责任险等商业保险，服务单位及其雇员社会保障资金、保险、第三者责任险，环境污染责任险等）、服务单位复核半干污泥重量的称重费（如有）、因部分半干污泥贮存点现场条件限制只能安排小型运输车辆而增加的成本、日常配合服务费、</w:t>
      </w:r>
      <w:r>
        <w:rPr>
          <w:rFonts w:hint="eastAsia" w:ascii="宋体" w:hAnsi="宋体" w:eastAsia="宋体" w:cs="宋体"/>
          <w:bCs/>
          <w:color w:val="000000"/>
          <w:kern w:val="0"/>
          <w:sz w:val="21"/>
          <w:szCs w:val="21"/>
        </w:rPr>
        <w:t>服务单位销项税额以外的税费等合同实施过程中产生的全部直接和间接费用</w:t>
      </w:r>
      <w:r>
        <w:rPr>
          <w:rFonts w:hint="eastAsia" w:ascii="宋体" w:hAnsi="宋体" w:eastAsia="宋体" w:cs="宋体"/>
          <w:color w:val="000000"/>
          <w:kern w:val="0"/>
          <w:sz w:val="21"/>
          <w:szCs w:val="21"/>
        </w:rPr>
        <w:t>。依法计得并根据采购项目合同约定确定的销项税额由采购人承担。</w:t>
      </w:r>
    </w:p>
    <w:p w14:paraId="0BC3DA4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2" w:firstLineChars="200"/>
        <w:contextualSpacing/>
        <w:jc w:val="both"/>
        <w:textAlignment w:val="baseline"/>
        <w:rPr>
          <w:rFonts w:hint="eastAsia" w:ascii="宋体" w:hAnsi="宋体" w:eastAsia="宋体" w:cs="宋体"/>
          <w:b/>
          <w:bCs w:val="0"/>
          <w:color w:val="000000"/>
          <w:kern w:val="0"/>
          <w:sz w:val="21"/>
          <w:szCs w:val="21"/>
        </w:rPr>
      </w:pPr>
      <w:r>
        <w:rPr>
          <w:rFonts w:hint="eastAsia" w:ascii="宋体" w:hAnsi="宋体" w:eastAsia="宋体" w:cs="宋体"/>
          <w:b/>
          <w:bCs w:val="0"/>
          <w:snapToGrid/>
          <w:color w:val="000000"/>
          <w:kern w:val="0"/>
          <w:sz w:val="21"/>
          <w:szCs w:val="21"/>
          <w:lang w:val="en-US" w:eastAsia="zh-CN" w:bidi="ar"/>
        </w:rPr>
        <w:t>三、服务要求</w:t>
      </w:r>
    </w:p>
    <w:p w14:paraId="0C50158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、为保证调试顺利，在采购人通知半干污泥转运的时间内，必须保证安排足够的车辆及司机。半干污泥采用吨袋进行包装，半干污泥的包装及上下车作业由采购人负责。</w:t>
      </w:r>
    </w:p>
    <w:p w14:paraId="27D2324C">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、在服务期内，除采购人分配量不足或不可抗力的情况外，服务单位应承诺日均（月外运量/</w:t>
      </w:r>
      <w:r>
        <w:rPr>
          <w:rFonts w:hint="eastAsia" w:ascii="宋体" w:hAnsi="宋体" w:eastAsia="宋体" w:cs="宋体"/>
          <w:color w:val="000000"/>
          <w:kern w:val="0"/>
          <w:sz w:val="21"/>
          <w:szCs w:val="21"/>
        </w:rPr>
        <w:t>外运天数）外运半干污泥不少于100</w:t>
      </w:r>
      <w:r>
        <w:rPr>
          <w:rFonts w:hint="eastAsia" w:ascii="宋体" w:hAnsi="宋体" w:eastAsia="宋体" w:cs="宋体"/>
          <w:color w:val="000000"/>
          <w:kern w:val="0"/>
          <w:sz w:val="21"/>
          <w:szCs w:val="21"/>
        </w:rPr>
        <w:t>吨/</w:t>
      </w:r>
      <w:r>
        <w:rPr>
          <w:rFonts w:hint="eastAsia" w:ascii="宋体" w:hAnsi="宋体" w:eastAsia="宋体" w:cs="宋体"/>
          <w:color w:val="000000"/>
          <w:kern w:val="0"/>
          <w:sz w:val="21"/>
          <w:szCs w:val="21"/>
        </w:rPr>
        <w:t>日。</w:t>
      </w:r>
    </w:p>
    <w:p w14:paraId="388DDDCE">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、在本项目有效期内，服务单位应当保持相应资质的有效性，且具备在东莞市提供运输服务工作的资格条件。</w:t>
      </w:r>
    </w:p>
    <w:p w14:paraId="6C06E5D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、半干污泥运输应参照执行《危险货物道路运输规则》(JT/T 617-2018)</w:t>
      </w:r>
      <w:r>
        <w:rPr>
          <w:rFonts w:hint="eastAsia" w:ascii="宋体" w:hAnsi="宋体" w:eastAsia="宋体" w:cs="宋体"/>
          <w:color w:val="000000"/>
          <w:kern w:val="0"/>
          <w:sz w:val="21"/>
          <w:szCs w:val="21"/>
        </w:rPr>
        <w:t>、《中华人民共和国道路运输条例》和《道路危险货物运输管理规定》的相关要求。半干污泥运输采用陆路运输，禁止采用水路运输。</w:t>
      </w:r>
    </w:p>
    <w:p w14:paraId="4E79EEC7">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服务单位半干污泥运输车辆必须符合公安、道路交通运输、环保等相关职能部门的相关要求，证照齐全、符合半干污泥运输的要求。服务单位取得运输服务后，应将半干污泥运输车辆的行驶证、营运证及司机等信息向采购人备案。</w:t>
      </w:r>
    </w:p>
    <w:p w14:paraId="5584F5ED">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服务单位必须采用密闭车辆运输半干污泥，要求密封、防水、不渗漏，四周槽帮牢固可靠、无破损、挡板严密，在驶出装载现场前，应将车辆槽帮和车轮冲洗干净，不得车轮带泥行驶、不得沿途泄漏，运输时发现自身有泄漏的，应及时采取有效措施清扫干净。车辆哎运输过程中，服务单位应采取必要的管控措施，避免在半干污泥中混入杂物影响测试设备的正常运转。</w:t>
      </w:r>
    </w:p>
    <w:p w14:paraId="0320BF18">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、服务单位承诺使用的车辆必须安装GPS</w:t>
      </w:r>
      <w:r>
        <w:rPr>
          <w:rFonts w:hint="eastAsia" w:ascii="宋体" w:hAnsi="宋体" w:eastAsia="宋体" w:cs="宋体"/>
          <w:color w:val="000000"/>
          <w:kern w:val="0"/>
          <w:sz w:val="21"/>
          <w:szCs w:val="21"/>
        </w:rPr>
        <w:t xml:space="preserve">，符合《道路运输车辆卫星定位系统平台技术要求》《道路运输车辆卫星定位系统车载终端技术要求》的要求，以防止偷排偷倒，或违约使用车辆。在运输过程中，服务单位应保证GPS </w:t>
      </w:r>
      <w:r>
        <w:rPr>
          <w:rFonts w:hint="eastAsia" w:ascii="宋体" w:hAnsi="宋体" w:eastAsia="宋体" w:cs="宋体"/>
          <w:color w:val="000000"/>
          <w:kern w:val="0"/>
          <w:sz w:val="21"/>
          <w:szCs w:val="21"/>
        </w:rPr>
        <w:t>定位系统能正常接收信号，运输全程纳入定位管理，若运输过程中出现信号无法正常连接或中断的，期间发生交通运输事故或运输过程中导致环境污染的，服务单位须负主要责任，并承担由此产生的一切行政和经济法律责任。</w:t>
      </w:r>
    </w:p>
    <w:p w14:paraId="071D899A">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rPr>
        <w:t>、服务单位最终运输车辆的GPS</w:t>
      </w:r>
      <w:r>
        <w:rPr>
          <w:rFonts w:hint="eastAsia" w:ascii="宋体" w:hAnsi="宋体" w:eastAsia="宋体" w:cs="宋体"/>
          <w:color w:val="000000"/>
          <w:kern w:val="0"/>
          <w:sz w:val="21"/>
          <w:szCs w:val="21"/>
        </w:rPr>
        <w:t>定位系统应直接与采购人在线监管平台对接，实时显示半干污泥运输轨迹等信息。</w:t>
      </w:r>
    </w:p>
    <w:p w14:paraId="6D6DB32B">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kern w:val="0"/>
          <w:sz w:val="21"/>
          <w:szCs w:val="21"/>
        </w:rPr>
        <w:t>、服务单位在半干污泥运输过程中不得进行中间装卸操作，严禁将半干污泥在污水处理厂外进行中转存放或堆放，严禁将半干污泥向环境中倾倒、丢弃、遗洒，发生以上事件所产生的一切行政和经济法律责任由服务单位承担。</w:t>
      </w:r>
    </w:p>
    <w:p w14:paraId="64475C43">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rPr>
        <w:t>、服务单位应严格按照交通运输及相关法律、法规操作，安全、合法地运输，在任何情况下都不得进行任何形式的超载运输，否则造成的一切后果由服务单位承担。</w:t>
      </w:r>
    </w:p>
    <w:p w14:paraId="649B83F5">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r>
        <w:rPr>
          <w:rFonts w:hint="eastAsia" w:ascii="宋体" w:hAnsi="宋体" w:eastAsia="宋体" w:cs="宋体"/>
          <w:color w:val="000000"/>
          <w:kern w:val="0"/>
          <w:sz w:val="21"/>
          <w:szCs w:val="21"/>
        </w:rPr>
        <w:t>、服务单位必须提供符合各污水处理厂（处理站）道路及转泥点场地设施使用要求的车辆，并应根据通知转运半干污泥量的变化调整车辆数量，保证半干污泥能及时清运。服务单位应按通知转运量安排车辆及时到达采购人指定厂区收运半干污泥，若采购人通知转运量变更时，服务单位应尽力完成合理安排车次。</w:t>
      </w:r>
    </w:p>
    <w:p w14:paraId="7E89A351">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r>
        <w:rPr>
          <w:rFonts w:hint="eastAsia" w:ascii="宋体" w:hAnsi="宋体" w:eastAsia="宋体" w:cs="宋体"/>
          <w:color w:val="000000"/>
          <w:kern w:val="0"/>
          <w:sz w:val="21"/>
          <w:szCs w:val="21"/>
        </w:rPr>
        <w:t>、半干污泥转移前，服务单位应提供运输司机资料、制定运输车辆的运输路线、核实运输距离，并向采购人报审，经采购人审核确认后确定行驶路线和运输距离，经采购人、服务单位双方签字确定后作为单次运输距离的计费依据。行驶路线一经确定，未经采购人同意，服务单位不得擅自调整已确定的运输行驶路线。</w:t>
      </w:r>
    </w:p>
    <w:p w14:paraId="42D4C7E0">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r>
        <w:rPr>
          <w:rFonts w:hint="eastAsia" w:ascii="宋体" w:hAnsi="宋体" w:eastAsia="宋体" w:cs="宋体"/>
          <w:color w:val="000000"/>
          <w:kern w:val="0"/>
          <w:sz w:val="21"/>
          <w:szCs w:val="21"/>
        </w:rPr>
        <w:t>、服务单位必须在半干污泥到达采购人指定卸货点的次日10:00</w:t>
      </w:r>
      <w:r>
        <w:rPr>
          <w:rFonts w:hint="eastAsia" w:ascii="宋体" w:hAnsi="宋体" w:eastAsia="宋体" w:cs="宋体"/>
          <w:color w:val="000000"/>
          <w:kern w:val="0"/>
          <w:sz w:val="21"/>
          <w:szCs w:val="21"/>
        </w:rPr>
        <w:t>前，向采购人提供该车半干污泥装卸货过程中的相关资料。</w:t>
      </w:r>
    </w:p>
    <w:p w14:paraId="41895FE6">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资料制作要求：（1</w:t>
      </w:r>
      <w:r>
        <w:rPr>
          <w:rFonts w:hint="eastAsia" w:ascii="宋体" w:hAnsi="宋体" w:eastAsia="宋体" w:cs="宋体"/>
          <w:color w:val="000000"/>
          <w:kern w:val="0"/>
          <w:sz w:val="21"/>
          <w:szCs w:val="21"/>
        </w:rPr>
        <w:t>）运输车辆到达半干污泥装车地点，拍摄装车过程照片，装车照片应清晰显示车牌号码及车辆正在进行半干污泥装车；（2</w:t>
      </w:r>
      <w:r>
        <w:rPr>
          <w:rFonts w:hint="eastAsia" w:ascii="宋体" w:hAnsi="宋体" w:eastAsia="宋体" w:cs="宋体"/>
          <w:color w:val="000000"/>
          <w:kern w:val="0"/>
          <w:sz w:val="21"/>
          <w:szCs w:val="21"/>
        </w:rPr>
        <w:t>）装车完成后上锁封条，拍摄封条照片，封条照片应清晰显示封条编号及封条未拆卸；（3</w:t>
      </w:r>
      <w:r>
        <w:rPr>
          <w:rFonts w:hint="eastAsia" w:ascii="宋体" w:hAnsi="宋体" w:eastAsia="宋体" w:cs="宋体"/>
          <w:color w:val="000000"/>
          <w:kern w:val="0"/>
          <w:sz w:val="21"/>
          <w:szCs w:val="21"/>
        </w:rPr>
        <w:t>）填写一式两份派车单并由运输司机及现场负责人签名，提交给半干污泥产生单位；（4</w:t>
      </w:r>
      <w:r>
        <w:rPr>
          <w:rFonts w:hint="eastAsia" w:ascii="宋体" w:hAnsi="宋体" w:eastAsia="宋体" w:cs="宋体"/>
          <w:color w:val="000000"/>
          <w:kern w:val="0"/>
          <w:sz w:val="21"/>
          <w:szCs w:val="21"/>
        </w:rPr>
        <w:t>）运输车辆到指定称重点过磅，并拍摄过磅照片，照片应显示车辆正在地磅上称重，并清晰显示车辆车牌号码；（5</w:t>
      </w:r>
      <w:r>
        <w:rPr>
          <w:rFonts w:hint="eastAsia" w:ascii="宋体" w:hAnsi="宋体" w:eastAsia="宋体" w:cs="宋体"/>
          <w:color w:val="000000"/>
          <w:kern w:val="0"/>
          <w:sz w:val="21"/>
          <w:szCs w:val="21"/>
        </w:rPr>
        <w:t>）规范填写磅单，由车辆驾驶员签名，填写出厂日期，并拍摄照片，磅单照片应清晰显示完整信息（包括过磅时间、车牌号码、过磅重量等）；（6</w:t>
      </w:r>
      <w:r>
        <w:rPr>
          <w:rFonts w:hint="eastAsia" w:ascii="宋体" w:hAnsi="宋体" w:eastAsia="宋体" w:cs="宋体"/>
          <w:color w:val="000000"/>
          <w:kern w:val="0"/>
          <w:sz w:val="21"/>
          <w:szCs w:val="21"/>
        </w:rPr>
        <w:t>）运输车辆到达采购人指定卸泥点后拍摄卸货前封条照片，照片应清晰显示封条编号及封条未拆封；（7</w:t>
      </w:r>
      <w:r>
        <w:rPr>
          <w:rFonts w:hint="eastAsia" w:ascii="宋体" w:hAnsi="宋体" w:eastAsia="宋体" w:cs="宋体"/>
          <w:color w:val="000000"/>
          <w:kern w:val="0"/>
          <w:sz w:val="21"/>
          <w:szCs w:val="21"/>
        </w:rPr>
        <w:t>）卸货过程应拍摄照片及视频，照片应清晰显示车牌号码、正在起斗的过程，以及车后的泥仓；视频应按采购人提供的视频模板拍摄，视频时长约15</w:t>
      </w:r>
      <w:r>
        <w:rPr>
          <w:rFonts w:hint="eastAsia" w:ascii="宋体" w:hAnsi="宋体" w:eastAsia="宋体" w:cs="宋体"/>
          <w:color w:val="000000"/>
          <w:kern w:val="0"/>
          <w:sz w:val="21"/>
          <w:szCs w:val="21"/>
        </w:rPr>
        <w:t>秒，从车头车牌开始录制，缓慢移步至车辆一侧录制卸泥过程，要求显示起斗过程及泥仓；（8</w:t>
      </w:r>
      <w:r>
        <w:rPr>
          <w:rFonts w:hint="eastAsia" w:ascii="宋体" w:hAnsi="宋体" w:eastAsia="宋体" w:cs="宋体"/>
          <w:color w:val="000000"/>
          <w:kern w:val="0"/>
          <w:sz w:val="21"/>
          <w:szCs w:val="21"/>
        </w:rPr>
        <w:t>）卸货完成后，磅单拍照，照片应清晰显示各项信息，包括出厂日期、过磅时间、重量等；（9</w:t>
      </w:r>
      <w:r>
        <w:rPr>
          <w:rFonts w:hint="eastAsia" w:ascii="宋体" w:hAnsi="宋体" w:eastAsia="宋体" w:cs="宋体"/>
          <w:color w:val="000000"/>
          <w:kern w:val="0"/>
          <w:sz w:val="21"/>
          <w:szCs w:val="21"/>
        </w:rPr>
        <w:t>）上述照片、视频务必使用“</w:t>
      </w:r>
      <w:r>
        <w:rPr>
          <w:rFonts w:hint="eastAsia" w:ascii="宋体" w:hAnsi="宋体" w:eastAsia="宋体" w:cs="宋体"/>
          <w:color w:val="000000"/>
          <w:kern w:val="0"/>
          <w:sz w:val="21"/>
          <w:szCs w:val="21"/>
        </w:rPr>
        <w:t>今日水印相机”</w:t>
      </w:r>
      <w:r>
        <w:rPr>
          <w:rFonts w:hint="eastAsia" w:ascii="宋体" w:hAnsi="宋体" w:eastAsia="宋体" w:cs="宋体"/>
          <w:color w:val="000000"/>
          <w:kern w:val="0"/>
          <w:sz w:val="21"/>
          <w:szCs w:val="21"/>
        </w:rPr>
        <w:t>软件拍摄、录制，定位信息能清晰显示地点及日期。</w:t>
      </w:r>
    </w:p>
    <w:p w14:paraId="6528EE43">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资料提交要求：（1</w:t>
      </w:r>
      <w:r>
        <w:rPr>
          <w:rFonts w:hint="eastAsia" w:ascii="宋体" w:hAnsi="宋体" w:eastAsia="宋体" w:cs="宋体"/>
          <w:color w:val="000000"/>
          <w:kern w:val="0"/>
          <w:sz w:val="21"/>
          <w:szCs w:val="21"/>
        </w:rPr>
        <w:t>）服务单位按照本条款的要求进行拍摄、整理每日运输影像资料后，以压缩文件形式在次日上午10:00</w:t>
      </w:r>
      <w:r>
        <w:rPr>
          <w:rFonts w:hint="eastAsia" w:ascii="宋体" w:hAnsi="宋体" w:eastAsia="宋体" w:cs="宋体"/>
          <w:color w:val="000000"/>
          <w:kern w:val="0"/>
          <w:sz w:val="21"/>
          <w:szCs w:val="21"/>
        </w:rPr>
        <w:t>前发送至采购人指定邮箱：swjt_dsyhn@163.com</w:t>
      </w:r>
      <w:r>
        <w:rPr>
          <w:rFonts w:hint="eastAsia" w:ascii="宋体" w:hAnsi="宋体" w:eastAsia="宋体" w:cs="宋体"/>
          <w:color w:val="000000"/>
          <w:kern w:val="0"/>
          <w:sz w:val="21"/>
          <w:szCs w:val="21"/>
        </w:rPr>
        <w:t>（邮箱如有变化以采购人通知为准）；邮件及影像资料附件名称为“</w:t>
      </w:r>
      <w:r>
        <w:rPr>
          <w:rFonts w:hint="eastAsia" w:ascii="宋体" w:hAnsi="宋体" w:eastAsia="宋体" w:cs="宋体"/>
          <w:color w:val="000000"/>
          <w:kern w:val="0"/>
          <w:sz w:val="21"/>
          <w:szCs w:val="21"/>
        </w:rPr>
        <w:t>运输单位+</w:t>
      </w:r>
      <w:r>
        <w:rPr>
          <w:rFonts w:hint="eastAsia" w:ascii="宋体" w:hAnsi="宋体" w:eastAsia="宋体" w:cs="宋体"/>
          <w:color w:val="000000"/>
          <w:kern w:val="0"/>
          <w:sz w:val="21"/>
          <w:szCs w:val="21"/>
        </w:rPr>
        <w:t>卸泥地点+</w:t>
      </w:r>
      <w:r>
        <w:rPr>
          <w:rFonts w:hint="eastAsia" w:ascii="宋体" w:hAnsi="宋体" w:eastAsia="宋体" w:cs="宋体"/>
          <w:color w:val="000000"/>
          <w:kern w:val="0"/>
          <w:sz w:val="21"/>
          <w:szCs w:val="21"/>
        </w:rPr>
        <w:t>日期（年月日）+</w:t>
      </w:r>
      <w:r>
        <w:rPr>
          <w:rFonts w:hint="eastAsia" w:ascii="宋体" w:hAnsi="宋体" w:eastAsia="宋体" w:cs="宋体"/>
          <w:color w:val="000000"/>
          <w:kern w:val="0"/>
          <w:sz w:val="21"/>
          <w:szCs w:val="21"/>
        </w:rPr>
        <w:t>半干污泥运输资料”</w:t>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）服务单位以“</w:t>
      </w:r>
      <w:r>
        <w:rPr>
          <w:rFonts w:hint="eastAsia" w:ascii="宋体" w:hAnsi="宋体" w:eastAsia="宋体" w:cs="宋体"/>
          <w:color w:val="000000"/>
          <w:kern w:val="0"/>
          <w:sz w:val="21"/>
          <w:szCs w:val="21"/>
        </w:rPr>
        <w:t>送+</w:t>
      </w:r>
      <w:r>
        <w:rPr>
          <w:rFonts w:hint="eastAsia" w:ascii="宋体" w:hAnsi="宋体" w:eastAsia="宋体" w:cs="宋体"/>
          <w:color w:val="000000"/>
          <w:kern w:val="0"/>
          <w:sz w:val="21"/>
          <w:szCs w:val="21"/>
        </w:rPr>
        <w:t>半干污泥产生单位+</w:t>
      </w:r>
      <w:r>
        <w:rPr>
          <w:rFonts w:hint="eastAsia" w:ascii="宋体" w:hAnsi="宋体" w:eastAsia="宋体" w:cs="宋体"/>
          <w:color w:val="000000"/>
          <w:kern w:val="0"/>
          <w:sz w:val="21"/>
          <w:szCs w:val="21"/>
        </w:rPr>
        <w:t>日期+</w:t>
      </w:r>
      <w:r>
        <w:rPr>
          <w:rFonts w:hint="eastAsia" w:ascii="宋体" w:hAnsi="宋体" w:eastAsia="宋体" w:cs="宋体"/>
          <w:color w:val="000000"/>
          <w:kern w:val="0"/>
          <w:sz w:val="21"/>
          <w:szCs w:val="21"/>
        </w:rPr>
        <w:t>磅单”</w:t>
      </w:r>
      <w:r>
        <w:rPr>
          <w:rFonts w:hint="eastAsia" w:ascii="宋体" w:hAnsi="宋体" w:eastAsia="宋体" w:cs="宋体"/>
          <w:color w:val="000000"/>
          <w:kern w:val="0"/>
          <w:sz w:val="21"/>
          <w:szCs w:val="21"/>
        </w:rPr>
        <w:t>或“</w:t>
      </w:r>
      <w:r>
        <w:rPr>
          <w:rFonts w:hint="eastAsia" w:ascii="宋体" w:hAnsi="宋体" w:eastAsia="宋体" w:cs="宋体"/>
          <w:color w:val="000000"/>
          <w:kern w:val="0"/>
          <w:sz w:val="21"/>
          <w:szCs w:val="21"/>
        </w:rPr>
        <w:t>回+</w:t>
      </w:r>
      <w:r>
        <w:rPr>
          <w:rFonts w:hint="eastAsia" w:ascii="宋体" w:hAnsi="宋体" w:eastAsia="宋体" w:cs="宋体"/>
          <w:color w:val="000000"/>
          <w:kern w:val="0"/>
          <w:sz w:val="21"/>
          <w:szCs w:val="21"/>
        </w:rPr>
        <w:t>半干污泥接收单位+</w:t>
      </w:r>
      <w:r>
        <w:rPr>
          <w:rFonts w:hint="eastAsia" w:ascii="宋体" w:hAnsi="宋体" w:eastAsia="宋体" w:cs="宋体"/>
          <w:color w:val="000000"/>
          <w:kern w:val="0"/>
          <w:sz w:val="21"/>
          <w:szCs w:val="21"/>
        </w:rPr>
        <w:t>日期+</w:t>
      </w:r>
      <w:r>
        <w:rPr>
          <w:rFonts w:hint="eastAsia" w:ascii="宋体" w:hAnsi="宋体" w:eastAsia="宋体" w:cs="宋体"/>
          <w:color w:val="000000"/>
          <w:kern w:val="0"/>
          <w:sz w:val="21"/>
          <w:szCs w:val="21"/>
        </w:rPr>
        <w:t>磅单”</w:t>
      </w:r>
      <w:r>
        <w:rPr>
          <w:rFonts w:hint="eastAsia" w:ascii="宋体" w:hAnsi="宋体" w:eastAsia="宋体" w:cs="宋体"/>
          <w:color w:val="000000"/>
          <w:kern w:val="0"/>
          <w:sz w:val="21"/>
          <w:szCs w:val="21"/>
        </w:rPr>
        <w:t>为一级文件夹名称，将过程资料放入该文件夹中，通过邮件提交给采购人。</w:t>
      </w:r>
    </w:p>
    <w:p w14:paraId="19404D88">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服务单位应当配合采购人或采购人指定接卸地点现场人员调度，遵守装车、卸车现场安全作业行为规范。在接收半干污泥时必须严格遵守采购人或采购人指定接卸地点的现场安全、环境、质量管理要求以及相关管理规定，根据采购人安全管理要求做好相关防护措施，维护好采购人或采购人指定接卸地点场地卫生环境现象，每车离场前必须清扫干净装车、卸车区域地面，保持该区域卫生情况良好。</w:t>
      </w:r>
    </w:p>
    <w:p w14:paraId="5251371F">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服务单位对运输过程的环境、安全负全责。运输过程中，服务单位应进行全过程监控和管理，防止因裸露、散落、泄漏、随意丢弃或倾倒等造成二次污染，服务单位负责做好半干污泥运输及装卸过程的安全、卫生及防止半干污泥污染扩散工作。运输过程中导致环境污染的，由服务单位承担相应的行政责任及经济责任，并承担由此产生的一切行政和经济法律责任。</w:t>
      </w:r>
    </w:p>
    <w:p w14:paraId="356AE72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服务单位在采购人或采购人指定装卸地点厂区内按指定路线完成半干污泥运输工作，服务单位车辆在采购人或采购人指定接卸地点厂区内的安全由服务单位自行负责，在行驶过程中如对采购人或采购人指定接卸地点的构筑物及设备或人员造成侵害的，或对第三方人身或财产造成损害的，负责修复或赔偿。</w:t>
      </w:r>
    </w:p>
    <w:p w14:paraId="68C54150">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在运输过程中发生燃烧、爆炸、污染、中毒或者被盗、丢失、流散、泄漏等事故，服务单位应当立即采取紧急处理措施，运输驾驶员、押运人员应当立即向公安部门、服务单位、采购人、环境保护行政主管部门报告，说明事故情况，并采取一切可能的警示措施和应急措施，积极配合有关部门进行处置。</w:t>
      </w:r>
    </w:p>
    <w:p w14:paraId="060944BC">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采购人有权监督、查阅半干污泥运输车辆的行车记录或数据，若发现服务单位存在中间装卸操作、偷排偷倒等问题，采购人有权终止合同并追究服务单位的违约责任，因此导致的法律及相关责任由服务单位承担。</w:t>
      </w:r>
    </w:p>
    <w:p w14:paraId="275FB07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19</w:t>
      </w:r>
      <w:r>
        <w:rPr>
          <w:rFonts w:hint="eastAsia" w:ascii="宋体" w:hAnsi="宋体" w:eastAsia="宋体" w:cs="宋体"/>
          <w:color w:val="000000"/>
          <w:kern w:val="0"/>
          <w:sz w:val="21"/>
          <w:szCs w:val="21"/>
        </w:rPr>
        <w:t>、服务单位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14:paraId="061A3CA5">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、服务单位应按照采购人通知的时间、转运量安排车辆到指定的地点将半干污泥及时运输至采购人指定的处理处置地点，如果服务单位不能按采购人通知的时间前来收运，应至少提前6</w:t>
      </w:r>
      <w:r>
        <w:rPr>
          <w:rFonts w:hint="eastAsia" w:ascii="宋体" w:hAnsi="宋体" w:eastAsia="宋体" w:cs="宋体"/>
          <w:color w:val="000000"/>
          <w:kern w:val="0"/>
          <w:sz w:val="21"/>
          <w:szCs w:val="21"/>
        </w:rPr>
        <w:t>小时先向采购人告知，并取得采购人同意后才能更改收运时间，如服务单位未能及时告知或未取得采购人同意擅自更改收运时间，则应承担因此造成的后果并赔偿采购人所遭受的损失。服务单位服务期内累计出现3</w:t>
      </w:r>
      <w:r>
        <w:rPr>
          <w:rFonts w:hint="eastAsia" w:ascii="宋体" w:hAnsi="宋体" w:eastAsia="宋体" w:cs="宋体"/>
          <w:color w:val="000000"/>
          <w:kern w:val="0"/>
          <w:sz w:val="21"/>
          <w:szCs w:val="21"/>
        </w:rPr>
        <w:t>次或以上前述事件的，采购人有权单方面解除合同，并有权启动其他运输服务单位，因此对采购人产生的经济损失，采购人将根据合同约定追究服务单位的违约责任。</w:t>
      </w:r>
    </w:p>
    <w:p w14:paraId="75F41C6B">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服务单位不得借故拒绝接受委托。服务单位如因车辆维修、年检等原因导致预定运输车辆无法调配的，在取得采购人同意后应及时更换运输车辆。若确实无法调配运输车辆，不能对采购人该批次半干污泥等进行运输的，应在当天出具书面通知函告知采购人，获得采购人同意后方可暂停运输。除非因外部环境或不可抗力因素影响，服务单位已无法再对采购人半干污泥等进行运输服务的，否则视为服务单位违约。</w:t>
      </w:r>
    </w:p>
    <w:p w14:paraId="068A7271">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服务单位安排人员负责本项目管理，调度运输车辆，在转移运输半干污泥前向采购人报审运输司机资料、运输路线和运输距离（经采购人、服务单位双方签字确定后作为单次运输距离的计费依据）。收集每车外运半干污泥的电子地磅的称重单（含载泥前的称重单和载泥时的称重单），建立半干污泥运输台账，详细、如实记录半干污泥接收量、装车地点、卸车地点、运输距离等情况，并接受采购人的监督、管理，并如实向采购人反映半干污泥收运情况。</w:t>
      </w:r>
    </w:p>
    <w:p w14:paraId="5BC97693">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、服务单位按7</w:t>
      </w:r>
      <w:r>
        <w:rPr>
          <w:rFonts w:hint="eastAsia" w:ascii="宋体" w:hAnsi="宋体" w:eastAsia="宋体" w:cs="宋体"/>
          <w:color w:val="000000"/>
          <w:kern w:val="0"/>
          <w:sz w:val="21"/>
          <w:szCs w:val="21"/>
        </w:rPr>
        <w:t>天/</w:t>
      </w:r>
      <w:r>
        <w:rPr>
          <w:rFonts w:hint="eastAsia" w:ascii="宋体" w:hAnsi="宋体" w:eastAsia="宋体" w:cs="宋体"/>
          <w:color w:val="000000"/>
          <w:kern w:val="0"/>
          <w:sz w:val="21"/>
          <w:szCs w:val="21"/>
        </w:rPr>
        <w:t>次的频次，根据初次核对确认的半干污泥外运数量和资料填报要求，向采购人提交经服务单位确认的运输台账（含电子文档）、磅单等资料。采购人对接收的资料复核后，发现资料有误的，服务单位必须在3</w:t>
      </w:r>
      <w:r>
        <w:rPr>
          <w:rFonts w:hint="eastAsia" w:ascii="宋体" w:hAnsi="宋体" w:eastAsia="宋体" w:cs="宋体"/>
          <w:color w:val="000000"/>
          <w:kern w:val="0"/>
          <w:sz w:val="21"/>
          <w:szCs w:val="21"/>
        </w:rPr>
        <w:t>日内按要求重新提交。采购人将复核后的资料送半干污泥产生单位盖章确认，经服务单位、半干污泥产生单位、采购人共同签字/</w:t>
      </w:r>
      <w:r>
        <w:rPr>
          <w:rFonts w:hint="eastAsia" w:ascii="宋体" w:hAnsi="宋体" w:eastAsia="宋体" w:cs="宋体"/>
          <w:color w:val="000000"/>
          <w:kern w:val="0"/>
          <w:sz w:val="21"/>
          <w:szCs w:val="21"/>
        </w:rPr>
        <w:t>盖章确认后，确定该批次半干污泥实际转移数量，并由采购人留存备查。</w:t>
      </w:r>
    </w:p>
    <w:p w14:paraId="3EE988F2">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、服务单位不得将采购人交付的半干污泥交由第三方运输，禁止转包，否则，由此导致的一切责任和风险全部由服务单位承担，并根据合同的约定承担违约责任，赔偿由此给采购人造成的损失。</w:t>
      </w:r>
    </w:p>
    <w:p w14:paraId="2CA7DB28">
      <w:pPr>
        <w:pStyle w:val="60"/>
        <w:keepNext w:val="0"/>
        <w:keepLines w:val="0"/>
        <w:widowControl/>
        <w:suppressLineNumbers w:val="0"/>
        <w:spacing w:line="36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、要求服务单位承诺在采购人书面通知启动污泥运输之日起，3</w:t>
      </w:r>
      <w:r>
        <w:rPr>
          <w:rFonts w:hint="eastAsia" w:ascii="宋体" w:hAnsi="宋体" w:eastAsia="宋体" w:cs="宋体"/>
          <w:color w:val="000000"/>
          <w:kern w:val="0"/>
          <w:sz w:val="21"/>
          <w:szCs w:val="21"/>
        </w:rPr>
        <w:t>日内按采购人要求的运力实施本项目半干污泥转移提供运输服务。</w:t>
      </w:r>
    </w:p>
    <w:p w14:paraId="186F9F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2" w:firstLineChars="200"/>
        <w:contextualSpacing/>
        <w:jc w:val="both"/>
        <w:textAlignment w:val="baseline"/>
        <w:rPr>
          <w:rFonts w:hint="eastAsia" w:ascii="宋体" w:hAnsi="宋体" w:eastAsia="宋体" w:cs="宋体"/>
          <w:b/>
          <w:bCs/>
          <w:color w:val="000000"/>
          <w:kern w:val="0"/>
          <w:sz w:val="21"/>
          <w:szCs w:val="21"/>
        </w:rPr>
      </w:pPr>
      <w:r>
        <w:rPr>
          <w:rFonts w:hint="eastAsia" w:ascii="宋体" w:hAnsi="宋体" w:eastAsia="宋体" w:cs="宋体"/>
          <w:b/>
          <w:bCs/>
          <w:snapToGrid/>
          <w:color w:val="000000"/>
          <w:kern w:val="0"/>
          <w:sz w:val="21"/>
          <w:szCs w:val="21"/>
          <w:lang w:val="en-US" w:eastAsia="zh-CN" w:bidi="ar"/>
        </w:rPr>
        <w:t>四、其他说明</w:t>
      </w:r>
    </w:p>
    <w:p w14:paraId="11C4988B">
      <w:pPr>
        <w:pStyle w:val="6"/>
        <w:keepNext w:val="0"/>
        <w:keepLines w:val="0"/>
        <w:widowControl/>
        <w:suppressLineNumbers w:val="0"/>
        <w:spacing w:line="360" w:lineRule="auto"/>
        <w:ind w:left="0"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单位承诺成交后，将严格遵守采购人（或采购人上级单位）提出或调整的日常管理制度或相关管理要求。服务单位服务期间，出现不服从采购人（或采购人上级单位）提出或调整的日常管理制度或相关管理要求，采购人有权取消其服务资格。</w:t>
      </w:r>
    </w:p>
    <w:p w14:paraId="393DACB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7BB1B8B5">
      <w:pPr>
        <w:pStyle w:val="18"/>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721A27C8">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516EBA40">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59CB0F3A">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3B4AF437">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14C2FDAF">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4BDD255A">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5F62D0FB">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4DA0AB0D">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669B12E0">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691CF389">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 xml:space="preserve"> </w:t>
      </w:r>
    </w:p>
    <w:p w14:paraId="57694427">
      <w:pPr>
        <w:pStyle w:val="61"/>
        <w:keepNext/>
        <w:keepLines/>
        <w:pageBreakBefore w:val="0"/>
        <w:widowControl/>
        <w:kinsoku w:val="0"/>
        <w:wordWrap/>
        <w:overflowPunct/>
        <w:topLinePunct w:val="0"/>
        <w:autoSpaceDE w:val="0"/>
        <w:autoSpaceDN/>
        <w:bidi w:val="0"/>
        <w:adjustRightInd/>
        <w:snapToGrid w:val="0"/>
        <w:spacing w:beforeLines="0" w:beforeAutospacing="0" w:afterLines="0" w:afterAutospacing="0"/>
        <w:ind w:left="0" w:leftChars="0" w:right="0" w:firstLine="480" w:firstLineChars="200"/>
        <w:textAlignment w:val="baseline"/>
        <w:outlineLvl w:val="9"/>
        <w:rPr>
          <w:rFonts w:hint="default" w:ascii="Times New Roman" w:hAnsi="Times New Roman" w:eastAsia="方正小标宋简体" w:cs="Times New Roman"/>
          <w:b w:val="0"/>
          <w:bCs/>
          <w:color w:val="000000"/>
          <w:kern w:val="2"/>
          <w:sz w:val="44"/>
          <w:szCs w:val="44"/>
        </w:rPr>
      </w:pPr>
      <w:r>
        <w:rPr>
          <w:rFonts w:hint="eastAsia" w:ascii="宋体" w:hAnsi="宋体" w:eastAsia="宋体" w:cs="宋体"/>
          <w:b w:val="0"/>
          <w:color w:val="000000"/>
          <w:kern w:val="2"/>
          <w:sz w:val="24"/>
          <w:szCs w:val="24"/>
        </w:rPr>
        <w:t>附件</w:t>
      </w:r>
      <w:r>
        <w:rPr>
          <w:rFonts w:hint="default" w:ascii="Times New Roman" w:hAnsi="Times New Roman" w:eastAsia="宋体" w:cs="Times New Roman"/>
          <w:b w:val="0"/>
          <w:color w:val="000000"/>
          <w:kern w:val="2"/>
          <w:sz w:val="24"/>
          <w:szCs w:val="24"/>
        </w:rPr>
        <w:t>2</w:t>
      </w:r>
    </w:p>
    <w:p w14:paraId="4ABFD3B0">
      <w:pPr>
        <w:keepNext w:val="0"/>
        <w:keepLines w:val="0"/>
        <w:widowControl/>
        <w:suppressLineNumbers w:val="0"/>
        <w:kinsoku w:val="0"/>
        <w:autoSpaceDE w:val="0"/>
        <w:autoSpaceDN/>
        <w:adjustRightInd w:val="0"/>
        <w:snapToGrid w:val="0"/>
        <w:spacing w:before="0" w:beforeAutospacing="0" w:after="0" w:afterAutospacing="0" w:line="580" w:lineRule="exact"/>
        <w:ind w:left="0" w:right="0"/>
        <w:jc w:val="center"/>
        <w:textAlignment w:val="baseline"/>
        <w:rPr>
          <w:rFonts w:hint="default" w:ascii="Times New Roman" w:hAnsi="Times New Roman" w:eastAsia="方正小标宋简体" w:cs="Times New Roman"/>
          <w:bCs/>
          <w:color w:val="000000"/>
          <w:kern w:val="2"/>
          <w:sz w:val="44"/>
          <w:szCs w:val="44"/>
        </w:rPr>
      </w:pPr>
      <w:r>
        <w:rPr>
          <w:rFonts w:hint="eastAsia" w:ascii="方正小标宋简体" w:hAnsi="方正小标宋简体" w:eastAsia="方正小标宋简体" w:cs="方正小标宋简体"/>
          <w:bCs/>
          <w:snapToGrid/>
          <w:color w:val="000000"/>
          <w:kern w:val="2"/>
          <w:sz w:val="44"/>
          <w:szCs w:val="44"/>
          <w:lang w:val="en-US" w:eastAsia="zh-CN" w:bidi="ar"/>
        </w:rPr>
        <w:t>阳光合作告知函</w:t>
      </w:r>
    </w:p>
    <w:p w14:paraId="27C4257D">
      <w:pPr>
        <w:keepNext w:val="0"/>
        <w:keepLines w:val="0"/>
        <w:widowControl/>
        <w:suppressLineNumbers w:val="0"/>
        <w:kinsoku w:val="0"/>
        <w:autoSpaceDE w:val="0"/>
        <w:autoSpaceDN/>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color w:val="000000"/>
          <w:kern w:val="2"/>
          <w:sz w:val="32"/>
          <w:szCs w:val="32"/>
        </w:rPr>
      </w:pPr>
      <w:r>
        <w:rPr>
          <w:rFonts w:hint="default" w:ascii="Times New Roman" w:hAnsi="Times New Roman" w:eastAsia="仿宋_GB2312" w:cs="Times New Roman"/>
          <w:b/>
          <w:bCs/>
          <w:snapToGrid/>
          <w:color w:val="000000"/>
          <w:kern w:val="2"/>
          <w:sz w:val="32"/>
          <w:szCs w:val="32"/>
          <w:lang w:val="en-US" w:eastAsia="zh-CN" w:bidi="ar"/>
        </w:rPr>
        <w:t xml:space="preserve"> </w:t>
      </w:r>
    </w:p>
    <w:p w14:paraId="05974549">
      <w:pPr>
        <w:keepNext w:val="0"/>
        <w:keepLines w:val="0"/>
        <w:widowControl/>
        <w:suppressLineNumbers w:val="0"/>
        <w:kinsoku w:val="0"/>
        <w:autoSpaceDE w:val="0"/>
        <w:autoSpaceDN/>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color w:val="000000"/>
          <w:kern w:val="2"/>
          <w:sz w:val="32"/>
          <w:szCs w:val="32"/>
          <w:u w:val="single"/>
        </w:rPr>
      </w:pPr>
      <w:r>
        <w:rPr>
          <w:rFonts w:hint="eastAsia" w:ascii="仿宋_GB2312" w:hAnsi="Times New Roman" w:eastAsia="仿宋_GB2312" w:cs="仿宋_GB2312"/>
          <w:b/>
          <w:bCs/>
          <w:snapToGrid/>
          <w:color w:val="000000"/>
          <w:kern w:val="2"/>
          <w:sz w:val="32"/>
          <w:szCs w:val="32"/>
          <w:lang w:val="en-US" w:eastAsia="zh-CN" w:bidi="ar"/>
        </w:rPr>
        <w:t>项目名称：</w:t>
      </w:r>
      <w:r>
        <w:rPr>
          <w:rFonts w:hint="eastAsia" w:ascii="仿宋_GB2312" w:hAnsi="Times New Roman" w:eastAsia="仿宋_GB2312" w:cs="仿宋_GB2312"/>
          <w:b/>
          <w:bCs/>
          <w:snapToGrid/>
          <w:color w:val="000000"/>
          <w:kern w:val="2"/>
          <w:sz w:val="32"/>
          <w:szCs w:val="32"/>
          <w:u w:val="single"/>
          <w:lang w:val="en-US" w:eastAsia="zh-CN" w:bidi="ar"/>
        </w:rPr>
        <w:t>东莞市污泥集中处理处置项目调试期污泥运输服务采购项目</w:t>
      </w:r>
    </w:p>
    <w:p w14:paraId="0DCF07F7">
      <w:pPr>
        <w:keepNext w:val="0"/>
        <w:keepLines w:val="0"/>
        <w:widowControl/>
        <w:suppressLineNumbers w:val="0"/>
        <w:kinsoku w:val="0"/>
        <w:autoSpaceDE w:val="0"/>
        <w:autoSpaceDN/>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snapToGrid/>
          <w:color w:val="000000"/>
          <w:kern w:val="2"/>
          <w:sz w:val="32"/>
          <w:szCs w:val="32"/>
          <w:lang w:val="en-US" w:eastAsia="zh-CN" w:bidi="ar"/>
        </w:rPr>
        <w:t>（采购编号：</w:t>
      </w:r>
      <w:r>
        <w:rPr>
          <w:rFonts w:hint="default" w:ascii="Times New Roman" w:hAnsi="Times New Roman" w:eastAsia="仿宋_GB2312" w:cs="Times New Roman"/>
          <w:snapToGrid/>
          <w:color w:val="000000"/>
          <w:kern w:val="2"/>
          <w:sz w:val="32"/>
          <w:szCs w:val="32"/>
          <w:u w:val="single"/>
          <w:lang w:val="en-US" w:eastAsia="zh-CN" w:bidi="ar"/>
        </w:rPr>
        <w:t>JS-2026-007</w:t>
      </w:r>
      <w:r>
        <w:rPr>
          <w:rFonts w:hint="eastAsia" w:ascii="仿宋_GB2312" w:hAnsi="Times New Roman" w:eastAsia="仿宋_GB2312" w:cs="仿宋_GB2312"/>
          <w:snapToGrid/>
          <w:color w:val="000000"/>
          <w:kern w:val="2"/>
          <w:sz w:val="32"/>
          <w:szCs w:val="32"/>
          <w:lang w:val="en-US" w:eastAsia="zh-CN" w:bidi="ar"/>
        </w:rPr>
        <w:t>）</w:t>
      </w:r>
    </w:p>
    <w:p w14:paraId="6726C41C">
      <w:pPr>
        <w:pStyle w:val="6"/>
        <w:keepNext w:val="0"/>
        <w:keepLines w:val="0"/>
        <w:widowControl/>
        <w:suppressLineNumbers w:val="0"/>
        <w:rPr>
          <w:rFonts w:hint="default" w:ascii="Times New Roman" w:hAnsi="Times New Roman" w:eastAsia="Arial" w:cs="Times New Roman"/>
          <w:color w:val="000000"/>
          <w:kern w:val="0"/>
          <w:sz w:val="21"/>
          <w:szCs w:val="21"/>
        </w:rPr>
      </w:pPr>
      <w:r>
        <w:rPr>
          <w:rFonts w:hint="default" w:ascii="Times New Roman" w:hAnsi="Times New Roman" w:eastAsia="Arial" w:cs="Times New Roman"/>
          <w:color w:val="000000"/>
          <w:kern w:val="0"/>
          <w:sz w:val="21"/>
          <w:szCs w:val="21"/>
        </w:rPr>
        <w:t xml:space="preserve"> </w:t>
      </w:r>
    </w:p>
    <w:p w14:paraId="070F620A">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both"/>
        <w:textAlignment w:val="baseline"/>
        <w:rPr>
          <w:rFonts w:hint="default" w:ascii="Times New Roman" w:hAnsi="Times New Roman" w:eastAsia="仿宋_GB2312" w:cs="Times New Roman"/>
          <w:color w:val="000000"/>
          <w:kern w:val="2"/>
          <w:sz w:val="32"/>
          <w:szCs w:val="32"/>
          <w:u w:val="single"/>
          <w:vertAlign w:val="baseline"/>
        </w:rPr>
      </w:pPr>
      <w:r>
        <w:rPr>
          <w:rFonts w:hint="default" w:ascii="Times New Roman" w:hAnsi="Times New Roman" w:eastAsia="仿宋_GB2312" w:cs="Times New Roman"/>
          <w:snapToGrid/>
          <w:color w:val="000000"/>
          <w:kern w:val="2"/>
          <w:sz w:val="32"/>
          <w:szCs w:val="32"/>
          <w:u w:val="single"/>
          <w:vertAlign w:val="baseline"/>
          <w:lang w:val="en-US" w:eastAsia="zh-CN" w:bidi="ar"/>
        </w:rPr>
        <w:t>XXX</w:t>
      </w:r>
      <w:r>
        <w:rPr>
          <w:rFonts w:hint="eastAsia" w:ascii="仿宋_GB2312" w:hAnsi="Times New Roman" w:eastAsia="仿宋_GB2312" w:cs="仿宋_GB2312"/>
          <w:snapToGrid/>
          <w:color w:val="000000"/>
          <w:kern w:val="2"/>
          <w:sz w:val="32"/>
          <w:szCs w:val="32"/>
          <w:u w:val="single"/>
          <w:vertAlign w:val="baseline"/>
          <w:lang w:val="en-US" w:eastAsia="zh-CN" w:bidi="ar"/>
        </w:rPr>
        <w:t>公司</w:t>
      </w:r>
      <w:r>
        <w:rPr>
          <w:rFonts w:hint="eastAsia" w:ascii="仿宋_GB2312" w:hAnsi="Times New Roman" w:eastAsia="仿宋_GB2312" w:cs="仿宋_GB2312"/>
          <w:snapToGrid/>
          <w:color w:val="000000"/>
          <w:kern w:val="2"/>
          <w:sz w:val="32"/>
          <w:szCs w:val="32"/>
          <w:vertAlign w:val="baseline"/>
          <w:lang w:val="en-US" w:eastAsia="zh-CN" w:bidi="ar"/>
        </w:rPr>
        <w:t>：</w:t>
      </w:r>
    </w:p>
    <w:p w14:paraId="630CE499">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为保证我集团人员廉洁从业，规范和鼓励诚信交易行为，防止腐败和商业贿赂发生，推动双方建立阳光合作关系，现将我方推行阳光合作的相关管理规定函告如下：</w:t>
      </w:r>
    </w:p>
    <w:p w14:paraId="543C72E0">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一、我方负责对本单位有关人员进行阳光合作教育和管理。</w:t>
      </w:r>
    </w:p>
    <w:p w14:paraId="13E00B5A">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二、我方人员有责任向贵方介绍本单位有关阳光合作的相关规定。</w:t>
      </w:r>
    </w:p>
    <w:p w14:paraId="6FE7E9AE">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三、我方人员应本着诚实守信、公平公开、平等互利原则开展交易合作，遵守国家相关法律法规。</w:t>
      </w:r>
    </w:p>
    <w:p w14:paraId="76D5423B">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四、我方人员应廉洁从业，自觉抵制商业贿赂及不正当交易行为，在交易业务中涉及本人、亲属或其他相关人员时，应主动提请回避。</w:t>
      </w:r>
    </w:p>
    <w:p w14:paraId="61A3CC90">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五、在业务合作过程中，我方人员不得有以下违法违规行为：</w:t>
      </w:r>
    </w:p>
    <w:p w14:paraId="0C397788">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（一）合作过程中通过各种方式向贵方索贿、行贿，或为亲属、其他相关人员索取其他协助或服务；</w:t>
      </w:r>
    </w:p>
    <w:p w14:paraId="1E928161">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napToGrid/>
          <w:color w:val="000000"/>
          <w:kern w:val="2"/>
          <w:sz w:val="32"/>
          <w:szCs w:val="32"/>
          <w:vertAlign w:val="baseline"/>
          <w:lang w:val="en-US" w:eastAsia="zh-CN" w:bidi="ar"/>
        </w:rPr>
        <w:t>“</w:t>
      </w:r>
      <w:r>
        <w:rPr>
          <w:rFonts w:hint="eastAsia" w:ascii="仿宋_GB2312" w:hAnsi="Times New Roman" w:eastAsia="仿宋_GB2312" w:cs="仿宋_GB2312"/>
          <w:snapToGrid/>
          <w:color w:val="000000"/>
          <w:kern w:val="2"/>
          <w:sz w:val="32"/>
          <w:szCs w:val="32"/>
          <w:vertAlign w:val="baseline"/>
          <w:lang w:val="en-US" w:eastAsia="zh-CN" w:bidi="ar"/>
        </w:rPr>
        <w:t>财物</w:t>
      </w:r>
      <w:r>
        <w:rPr>
          <w:rFonts w:hint="default" w:ascii="Times New Roman" w:hAnsi="Times New Roman" w:eastAsia="仿宋_GB2312" w:cs="Times New Roman"/>
          <w:snapToGrid/>
          <w:color w:val="000000"/>
          <w:kern w:val="2"/>
          <w:sz w:val="32"/>
          <w:szCs w:val="32"/>
          <w:vertAlign w:val="baseline"/>
          <w:lang w:val="en-US" w:eastAsia="zh-CN" w:bidi="ar"/>
        </w:rPr>
        <w:t>”</w:t>
      </w:r>
      <w:r>
        <w:rPr>
          <w:rFonts w:hint="eastAsia" w:ascii="仿宋_GB2312" w:hAnsi="Times New Roman" w:eastAsia="仿宋_GB2312" w:cs="仿宋_GB2312"/>
          <w:snapToGrid/>
          <w:color w:val="000000"/>
          <w:kern w:val="2"/>
          <w:sz w:val="32"/>
          <w:szCs w:val="32"/>
          <w:vertAlign w:val="baseline"/>
          <w:lang w:val="en-US" w:eastAsia="zh-CN" w:bidi="ar"/>
        </w:rPr>
        <w:t>），不得参加贵方提供的旅游或其他可能影响职务廉洁的活动；</w:t>
      </w:r>
    </w:p>
    <w:p w14:paraId="027C7D89">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（三）擅自截留、挪用或侵占贵方财物；</w:t>
      </w:r>
    </w:p>
    <w:p w14:paraId="08FDABC8">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（四）以各种形式参与民间借贷，帮助贵方过桥借贷；</w:t>
      </w:r>
    </w:p>
    <w:p w14:paraId="03EE68BA">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（五）参与黄、赌、毒等违法犯罪活动；</w:t>
      </w:r>
    </w:p>
    <w:p w14:paraId="49265DC8">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（六）其他违反国家法律法规和违反廉洁从业的行为。</w:t>
      </w:r>
    </w:p>
    <w:p w14:paraId="032E6295">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六、在业务合作期间，我方有权通过回访等方式监督阳光合作执行情况。贵方及贵方人员发现我方任何人员任何形式的行贿、索贿、受贿或其他违反阳光合作的行为，可及时向我方举报。</w:t>
      </w:r>
    </w:p>
    <w:p w14:paraId="3788702C">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七、烦请贵方及贵方人员在投诉举报时，积极配合我方的相关调查工作，并提供联系方式等，便于我方纪检监察机构联系与调查核实。我方承诺对贵方的投诉举报人进行保密。</w:t>
      </w:r>
    </w:p>
    <w:p w14:paraId="6822D6A2">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八、贵方投诉举报的情况，经查证属实，我方将视情节轻重和影响恶劣程度对相关人员进行内部处理；构成犯罪的，依法移送司法机关处置，并将调查结果及时向贵方反馈。</w:t>
      </w:r>
    </w:p>
    <w:p w14:paraId="58203ADA">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九、如贵方经办人员或其他相关人员主动诱使我方人员作出本告知函第五点列明的违法违规行为的，我方有权终止双方的合作，由此造成的损失由贵方承担。</w:t>
      </w:r>
    </w:p>
    <w:p w14:paraId="7AF53886">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十、我方对如实举报和严格遵守阳光合作精神的合作方，在同等条件下给予后续合作的优先权。</w:t>
      </w:r>
    </w:p>
    <w:p w14:paraId="3EA59EE6">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十一、其他</w:t>
      </w:r>
    </w:p>
    <w:p w14:paraId="2AE990BB">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（一）本告知函所言</w:t>
      </w:r>
      <w:r>
        <w:rPr>
          <w:rFonts w:hint="default" w:ascii="Times New Roman" w:hAnsi="Times New Roman" w:eastAsia="仿宋_GB2312" w:cs="Times New Roman"/>
          <w:snapToGrid/>
          <w:color w:val="000000"/>
          <w:kern w:val="2"/>
          <w:sz w:val="32"/>
          <w:szCs w:val="32"/>
          <w:vertAlign w:val="baseline"/>
          <w:lang w:val="en-US" w:eastAsia="zh-CN" w:bidi="ar"/>
        </w:rPr>
        <w:t>“</w:t>
      </w:r>
      <w:r>
        <w:rPr>
          <w:rFonts w:hint="eastAsia" w:ascii="仿宋_GB2312" w:hAnsi="Times New Roman" w:eastAsia="仿宋_GB2312" w:cs="仿宋_GB2312"/>
          <w:snapToGrid/>
          <w:color w:val="000000"/>
          <w:kern w:val="2"/>
          <w:sz w:val="32"/>
          <w:szCs w:val="32"/>
          <w:vertAlign w:val="baseline"/>
          <w:lang w:val="en-US" w:eastAsia="zh-CN" w:bidi="ar"/>
        </w:rPr>
        <w:t>其他相关人员</w:t>
      </w:r>
      <w:r>
        <w:rPr>
          <w:rFonts w:hint="default" w:ascii="Times New Roman" w:hAnsi="Times New Roman" w:eastAsia="仿宋_GB2312" w:cs="Times New Roman"/>
          <w:snapToGrid/>
          <w:color w:val="000000"/>
          <w:kern w:val="2"/>
          <w:sz w:val="32"/>
          <w:szCs w:val="32"/>
          <w:vertAlign w:val="baseline"/>
          <w:lang w:val="en-US" w:eastAsia="zh-CN" w:bidi="ar"/>
        </w:rPr>
        <w:t>”</w:t>
      </w:r>
      <w:r>
        <w:rPr>
          <w:rFonts w:hint="eastAsia" w:ascii="仿宋_GB2312" w:hAnsi="Times New Roman" w:eastAsia="仿宋_GB2312" w:cs="仿宋_GB2312"/>
          <w:snapToGrid/>
          <w:color w:val="000000"/>
          <w:kern w:val="2"/>
          <w:sz w:val="32"/>
          <w:szCs w:val="32"/>
          <w:vertAlign w:val="baseline"/>
          <w:lang w:val="en-US" w:eastAsia="zh-CN" w:bidi="ar"/>
        </w:rPr>
        <w:t>是指经办人以外的与合作项目有直接或间接利益关系的人员，包括但不仅限于项目经办人的亲友。</w:t>
      </w:r>
    </w:p>
    <w:p w14:paraId="6800F97F">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黑体" w:cs="Times New Roman"/>
          <w:color w:val="000000"/>
          <w:kern w:val="2"/>
          <w:sz w:val="32"/>
          <w:szCs w:val="32"/>
          <w:vertAlign w:val="baseline"/>
        </w:rPr>
      </w:pPr>
      <w:r>
        <w:rPr>
          <w:rFonts w:hint="eastAsia" w:ascii="黑体" w:hAnsi="宋体" w:eastAsia="黑体" w:cs="黑体"/>
          <w:snapToGrid/>
          <w:color w:val="000000"/>
          <w:kern w:val="2"/>
          <w:sz w:val="32"/>
          <w:szCs w:val="32"/>
          <w:vertAlign w:val="baseline"/>
          <w:lang w:val="en-US" w:eastAsia="zh-CN" w:bidi="ar"/>
        </w:rPr>
        <w:t>（二）我方常设投诉举报受理部门及联系方式：</w:t>
      </w:r>
    </w:p>
    <w:p w14:paraId="0710098A">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default" w:ascii="Times New Roman" w:hAnsi="Times New Roman" w:eastAsia="仿宋_GB2312" w:cs="Times New Roman"/>
          <w:b/>
          <w:bCs/>
          <w:snapToGrid/>
          <w:color w:val="000000"/>
          <w:kern w:val="2"/>
          <w:sz w:val="32"/>
          <w:szCs w:val="32"/>
          <w:vertAlign w:val="baseline"/>
          <w:lang w:val="en-US" w:eastAsia="zh-CN" w:bidi="ar"/>
        </w:rPr>
        <w:t>1.</w:t>
      </w:r>
      <w:r>
        <w:rPr>
          <w:rFonts w:hint="eastAsia" w:ascii="仿宋_GB2312" w:hAnsi="Times New Roman" w:eastAsia="仿宋_GB2312" w:cs="仿宋_GB2312"/>
          <w:b/>
          <w:bCs/>
          <w:snapToGrid/>
          <w:color w:val="000000"/>
          <w:kern w:val="2"/>
          <w:sz w:val="32"/>
          <w:szCs w:val="32"/>
          <w:vertAlign w:val="baseline"/>
          <w:lang w:val="en-US" w:eastAsia="zh-CN" w:bidi="ar"/>
        </w:rPr>
        <w:t>投诉举报受理部门：</w:t>
      </w:r>
      <w:r>
        <w:rPr>
          <w:rFonts w:hint="eastAsia" w:ascii="仿宋_GB2312" w:hAnsi="Times New Roman" w:eastAsia="仿宋_GB2312" w:cs="仿宋_GB2312"/>
          <w:snapToGrid/>
          <w:color w:val="000000"/>
          <w:kern w:val="2"/>
          <w:sz w:val="32"/>
          <w:szCs w:val="32"/>
          <w:vertAlign w:val="baseline"/>
          <w:lang w:val="en-US" w:eastAsia="zh-CN" w:bidi="ar"/>
        </w:rPr>
        <w:t>东莞市水务环境投资控股集团有限公司纪检监察部；</w:t>
      </w:r>
    </w:p>
    <w:p w14:paraId="7F4511E4">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default" w:ascii="Times New Roman" w:hAnsi="Times New Roman" w:eastAsia="仿宋_GB2312" w:cs="Times New Roman"/>
          <w:b/>
          <w:bCs/>
          <w:snapToGrid/>
          <w:color w:val="000000"/>
          <w:kern w:val="2"/>
          <w:sz w:val="32"/>
          <w:szCs w:val="32"/>
          <w:vertAlign w:val="baseline"/>
          <w:lang w:val="en-US" w:eastAsia="zh-CN" w:bidi="ar"/>
        </w:rPr>
        <w:t>2.</w:t>
      </w:r>
      <w:r>
        <w:rPr>
          <w:rFonts w:hint="eastAsia" w:ascii="仿宋_GB2312" w:hAnsi="Times New Roman" w:eastAsia="仿宋_GB2312" w:cs="仿宋_GB2312"/>
          <w:b/>
          <w:bCs/>
          <w:snapToGrid/>
          <w:color w:val="000000"/>
          <w:kern w:val="2"/>
          <w:sz w:val="32"/>
          <w:szCs w:val="32"/>
          <w:vertAlign w:val="baseline"/>
          <w:lang w:val="en-US" w:eastAsia="zh-CN" w:bidi="ar"/>
        </w:rPr>
        <w:t>投诉举报电话：</w:t>
      </w:r>
      <w:r>
        <w:rPr>
          <w:rFonts w:hint="default" w:ascii="Times New Roman" w:hAnsi="Times New Roman" w:eastAsia="仿宋_GB2312" w:cs="Times New Roman"/>
          <w:snapToGrid/>
          <w:color w:val="000000"/>
          <w:kern w:val="2"/>
          <w:sz w:val="32"/>
          <w:szCs w:val="32"/>
          <w:vertAlign w:val="baseline"/>
          <w:lang w:val="en-US" w:eastAsia="zh-CN" w:bidi="ar"/>
        </w:rPr>
        <w:t>0769</w:t>
      </w:r>
      <w:r>
        <w:rPr>
          <w:rFonts w:hint="default" w:ascii="Times New Roman" w:hAnsi="Times New Roman" w:eastAsia="微软雅黑" w:cs="Times New Roman"/>
          <w:snapToGrid/>
          <w:color w:val="000000"/>
          <w:kern w:val="2"/>
          <w:sz w:val="32"/>
          <w:szCs w:val="32"/>
          <w:vertAlign w:val="baseline"/>
          <w:lang w:val="en-US" w:eastAsia="zh-CN" w:bidi="ar"/>
        </w:rPr>
        <w:t>–</w:t>
      </w:r>
      <w:r>
        <w:rPr>
          <w:rFonts w:hint="default" w:ascii="Times New Roman" w:hAnsi="Times New Roman" w:eastAsia="仿宋_GB2312" w:cs="Times New Roman"/>
          <w:snapToGrid/>
          <w:color w:val="000000"/>
          <w:kern w:val="2"/>
          <w:sz w:val="32"/>
          <w:szCs w:val="32"/>
          <w:vertAlign w:val="baseline"/>
          <w:lang w:val="en-US" w:eastAsia="zh-CN" w:bidi="ar"/>
        </w:rPr>
        <w:t>28823293</w:t>
      </w:r>
      <w:r>
        <w:rPr>
          <w:rFonts w:hint="eastAsia" w:ascii="仿宋_GB2312" w:hAnsi="Times New Roman" w:eastAsia="仿宋_GB2312" w:cs="仿宋_GB2312"/>
          <w:snapToGrid/>
          <w:color w:val="000000"/>
          <w:kern w:val="2"/>
          <w:sz w:val="32"/>
          <w:szCs w:val="32"/>
          <w:vertAlign w:val="baseline"/>
          <w:lang w:val="en-US" w:eastAsia="zh-CN" w:bidi="ar"/>
        </w:rPr>
        <w:t>（星期一至星期五：</w:t>
      </w:r>
      <w:r>
        <w:rPr>
          <w:rFonts w:hint="default" w:ascii="Times New Roman" w:hAnsi="Times New Roman" w:eastAsia="仿宋_GB2312" w:cs="Times New Roman"/>
          <w:snapToGrid/>
          <w:color w:val="000000"/>
          <w:kern w:val="2"/>
          <w:sz w:val="32"/>
          <w:szCs w:val="32"/>
          <w:vertAlign w:val="baseline"/>
          <w:lang w:val="en-US" w:eastAsia="zh-CN" w:bidi="ar"/>
        </w:rPr>
        <w:t>8:30-17:30</w:t>
      </w:r>
      <w:r>
        <w:rPr>
          <w:rFonts w:hint="eastAsia" w:ascii="仿宋_GB2312" w:hAnsi="Times New Roman" w:eastAsia="仿宋_GB2312" w:cs="仿宋_GB2312"/>
          <w:snapToGrid/>
          <w:color w:val="000000"/>
          <w:kern w:val="2"/>
          <w:sz w:val="32"/>
          <w:szCs w:val="32"/>
          <w:vertAlign w:val="baseline"/>
          <w:lang w:val="en-US" w:eastAsia="zh-CN" w:bidi="ar"/>
        </w:rPr>
        <w:t>）；</w:t>
      </w:r>
    </w:p>
    <w:p w14:paraId="4CB78E13">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default" w:ascii="Times New Roman" w:hAnsi="Times New Roman" w:eastAsia="仿宋_GB2312" w:cs="Times New Roman"/>
          <w:b/>
          <w:bCs/>
          <w:snapToGrid/>
          <w:color w:val="000000"/>
          <w:kern w:val="2"/>
          <w:sz w:val="32"/>
          <w:szCs w:val="32"/>
          <w:vertAlign w:val="baseline"/>
          <w:lang w:val="en-US" w:eastAsia="zh-CN" w:bidi="ar"/>
        </w:rPr>
        <w:t>3.</w:t>
      </w:r>
      <w:r>
        <w:rPr>
          <w:rFonts w:hint="eastAsia" w:ascii="仿宋_GB2312" w:hAnsi="Times New Roman" w:eastAsia="仿宋_GB2312" w:cs="仿宋_GB2312"/>
          <w:b/>
          <w:bCs/>
          <w:snapToGrid/>
          <w:color w:val="000000"/>
          <w:kern w:val="2"/>
          <w:sz w:val="32"/>
          <w:szCs w:val="32"/>
          <w:vertAlign w:val="baseline"/>
          <w:lang w:val="en-US" w:eastAsia="zh-CN" w:bidi="ar"/>
        </w:rPr>
        <w:t>联系地址：</w:t>
      </w:r>
      <w:r>
        <w:rPr>
          <w:rFonts w:hint="eastAsia" w:ascii="仿宋_GB2312" w:hAnsi="Times New Roman" w:eastAsia="仿宋_GB2312" w:cs="仿宋_GB2312"/>
          <w:snapToGrid/>
          <w:color w:val="000000"/>
          <w:kern w:val="2"/>
          <w:sz w:val="32"/>
          <w:szCs w:val="32"/>
          <w:vertAlign w:val="baseline"/>
          <w:lang w:val="en-US" w:eastAsia="zh-CN" w:bidi="ar"/>
        </w:rPr>
        <w:t>东莞市东城街道育华路</w:t>
      </w:r>
      <w:r>
        <w:rPr>
          <w:rFonts w:hint="default" w:ascii="Times New Roman" w:hAnsi="Times New Roman" w:eastAsia="仿宋_GB2312" w:cs="Times New Roman"/>
          <w:snapToGrid/>
          <w:color w:val="000000"/>
          <w:kern w:val="2"/>
          <w:sz w:val="32"/>
          <w:szCs w:val="32"/>
          <w:vertAlign w:val="baseline"/>
          <w:lang w:val="en-US" w:eastAsia="zh-CN" w:bidi="ar"/>
        </w:rPr>
        <w:t>1</w:t>
      </w:r>
      <w:r>
        <w:rPr>
          <w:rFonts w:hint="eastAsia" w:ascii="仿宋_GB2312" w:hAnsi="Times New Roman" w:eastAsia="仿宋_GB2312" w:cs="仿宋_GB2312"/>
          <w:snapToGrid/>
          <w:color w:val="000000"/>
          <w:kern w:val="2"/>
          <w:sz w:val="32"/>
          <w:szCs w:val="32"/>
          <w:vertAlign w:val="baseline"/>
          <w:lang w:val="en-US" w:eastAsia="zh-CN" w:bidi="ar"/>
        </w:rPr>
        <w:t>号；</w:t>
      </w:r>
    </w:p>
    <w:p w14:paraId="1B2AC14F">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default" w:ascii="Times New Roman" w:hAnsi="Times New Roman" w:eastAsia="仿宋_GB2312" w:cs="Times New Roman"/>
          <w:b/>
          <w:bCs/>
          <w:snapToGrid/>
          <w:color w:val="000000"/>
          <w:kern w:val="2"/>
          <w:sz w:val="32"/>
          <w:szCs w:val="32"/>
          <w:vertAlign w:val="baseline"/>
          <w:lang w:val="en-US" w:eastAsia="zh-CN" w:bidi="ar"/>
        </w:rPr>
        <w:t>4.</w:t>
      </w:r>
      <w:r>
        <w:rPr>
          <w:rFonts w:hint="eastAsia" w:ascii="仿宋_GB2312" w:hAnsi="Times New Roman" w:eastAsia="仿宋_GB2312" w:cs="仿宋_GB2312"/>
          <w:b/>
          <w:bCs/>
          <w:snapToGrid/>
          <w:color w:val="000000"/>
          <w:kern w:val="2"/>
          <w:sz w:val="32"/>
          <w:szCs w:val="32"/>
          <w:vertAlign w:val="baseline"/>
          <w:lang w:val="en-US" w:eastAsia="zh-CN" w:bidi="ar"/>
        </w:rPr>
        <w:t>邮编：</w:t>
      </w:r>
      <w:r>
        <w:rPr>
          <w:rFonts w:hint="default" w:ascii="Times New Roman" w:hAnsi="Times New Roman" w:eastAsia="仿宋_GB2312" w:cs="Times New Roman"/>
          <w:snapToGrid/>
          <w:color w:val="000000"/>
          <w:kern w:val="2"/>
          <w:sz w:val="32"/>
          <w:szCs w:val="32"/>
          <w:vertAlign w:val="baseline"/>
          <w:lang w:val="en-US" w:eastAsia="zh-CN" w:bidi="ar"/>
        </w:rPr>
        <w:t>523000</w:t>
      </w:r>
      <w:r>
        <w:rPr>
          <w:rFonts w:hint="eastAsia" w:ascii="仿宋_GB2312" w:hAnsi="Times New Roman" w:eastAsia="仿宋_GB2312" w:cs="仿宋_GB2312"/>
          <w:snapToGrid/>
          <w:color w:val="000000"/>
          <w:kern w:val="2"/>
          <w:sz w:val="32"/>
          <w:szCs w:val="32"/>
          <w:vertAlign w:val="baseline"/>
          <w:lang w:val="en-US" w:eastAsia="zh-CN" w:bidi="ar"/>
        </w:rPr>
        <w:t>。</w:t>
      </w:r>
    </w:p>
    <w:p w14:paraId="389B8A1B">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让我们共同为建立健康、公平的商业秩序和实现双赢而努力。</w:t>
      </w:r>
    </w:p>
    <w:p w14:paraId="6C8D2422">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特此致函。</w:t>
      </w:r>
    </w:p>
    <w:p w14:paraId="4383A6F2">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00"/>
          <w:kern w:val="2"/>
          <w:sz w:val="32"/>
          <w:szCs w:val="32"/>
          <w:vertAlign w:val="baseline"/>
        </w:rPr>
      </w:pPr>
      <w:r>
        <w:rPr>
          <w:rFonts w:hint="default" w:ascii="Times New Roman" w:hAnsi="Times New Roman" w:eastAsia="仿宋_GB2312" w:cs="Times New Roman"/>
          <w:snapToGrid/>
          <w:color w:val="000000"/>
          <w:kern w:val="2"/>
          <w:sz w:val="32"/>
          <w:szCs w:val="32"/>
          <w:vertAlign w:val="baseline"/>
          <w:lang w:val="en-US" w:eastAsia="zh-CN" w:bidi="ar"/>
        </w:rPr>
        <w:t xml:space="preserve"> </w:t>
      </w:r>
    </w:p>
    <w:p w14:paraId="6303C7AA">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right"/>
        <w:textAlignment w:val="baseline"/>
        <w:rPr>
          <w:rFonts w:hint="default" w:ascii="Times New Roman" w:hAnsi="Times New Roman" w:eastAsia="仿宋_GB2312" w:cs="Times New Roman"/>
          <w:color w:val="000000"/>
          <w:kern w:val="2"/>
          <w:sz w:val="32"/>
          <w:szCs w:val="32"/>
          <w:vertAlign w:val="baseline"/>
        </w:rPr>
      </w:pPr>
      <w:r>
        <w:rPr>
          <w:rFonts w:hint="default" w:ascii="Times New Roman" w:hAnsi="Times New Roman" w:eastAsia="仿宋_GB2312" w:cs="Times New Roman"/>
          <w:snapToGrid/>
          <w:color w:val="000000"/>
          <w:kern w:val="2"/>
          <w:sz w:val="32"/>
          <w:szCs w:val="32"/>
          <w:vertAlign w:val="baseline"/>
          <w:lang w:val="en-US" w:eastAsia="zh-CN" w:bidi="ar"/>
        </w:rPr>
        <w:t xml:space="preserve"> </w:t>
      </w:r>
    </w:p>
    <w:p w14:paraId="615D2B94">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right"/>
        <w:textAlignment w:val="baseline"/>
        <w:rPr>
          <w:rFonts w:hint="default" w:ascii="Times New Roman" w:hAnsi="Times New Roman" w:eastAsia="仿宋_GB2312" w:cs="Times New Roman"/>
          <w:color w:val="000000"/>
          <w:kern w:val="2"/>
          <w:sz w:val="32"/>
          <w:szCs w:val="32"/>
          <w:vertAlign w:val="baseline"/>
        </w:rPr>
      </w:pPr>
      <w:r>
        <w:rPr>
          <w:rFonts w:hint="eastAsia" w:ascii="仿宋_GB2312" w:hAnsi="Times New Roman" w:eastAsia="仿宋_GB2312" w:cs="仿宋_GB2312"/>
          <w:snapToGrid/>
          <w:color w:val="000000"/>
          <w:kern w:val="2"/>
          <w:sz w:val="32"/>
          <w:szCs w:val="32"/>
          <w:vertAlign w:val="baseline"/>
          <w:lang w:val="en-US" w:eastAsia="zh-CN" w:bidi="ar"/>
        </w:rPr>
        <w:t>东莞市尚源环能科技有限公司</w:t>
      </w:r>
    </w:p>
    <w:p w14:paraId="7D87829C">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right"/>
        <w:textAlignment w:val="baseline"/>
      </w:pPr>
      <w:r>
        <w:rPr>
          <w:rFonts w:hint="eastAsia" w:ascii="仿宋_GB2312" w:hAnsi="Times New Roman" w:eastAsia="仿宋_GB2312" w:cs="仿宋_GB2312"/>
          <w:snapToGrid/>
          <w:color w:val="000000"/>
          <w:kern w:val="2"/>
          <w:sz w:val="32"/>
          <w:szCs w:val="32"/>
          <w:vertAlign w:val="baseline"/>
          <w:lang w:val="en-US" w:eastAsia="zh-CN" w:bidi="ar"/>
        </w:rPr>
        <w:t>年</w:t>
      </w:r>
      <w:r>
        <w:rPr>
          <w:rFonts w:hint="default" w:ascii="Times New Roman" w:hAnsi="Times New Roman" w:eastAsia="仿宋_GB2312" w:cs="Times New Roman"/>
          <w:snapToGrid/>
          <w:color w:val="000000"/>
          <w:kern w:val="2"/>
          <w:sz w:val="32"/>
          <w:szCs w:val="32"/>
          <w:vertAlign w:val="baseline"/>
          <w:lang w:val="en-US" w:eastAsia="zh-CN" w:bidi="ar"/>
        </w:rPr>
        <w:t xml:space="preserve">  </w:t>
      </w:r>
      <w:r>
        <w:rPr>
          <w:rFonts w:hint="eastAsia" w:ascii="仿宋_GB2312" w:hAnsi="Times New Roman" w:eastAsia="仿宋_GB2312" w:cs="仿宋_GB2312"/>
          <w:snapToGrid/>
          <w:color w:val="000000"/>
          <w:kern w:val="2"/>
          <w:sz w:val="32"/>
          <w:szCs w:val="32"/>
          <w:vertAlign w:val="baseline"/>
          <w:lang w:val="en-US" w:eastAsia="zh-CN" w:bidi="ar"/>
        </w:rPr>
        <w:t>月</w:t>
      </w:r>
      <w:r>
        <w:rPr>
          <w:rFonts w:hint="default" w:ascii="Times New Roman" w:hAnsi="Times New Roman" w:eastAsia="仿宋_GB2312" w:cs="Times New Roman"/>
          <w:snapToGrid/>
          <w:color w:val="000000"/>
          <w:kern w:val="2"/>
          <w:sz w:val="32"/>
          <w:szCs w:val="32"/>
          <w:vertAlign w:val="baseline"/>
          <w:lang w:val="en-US" w:eastAsia="zh-CN" w:bidi="ar"/>
        </w:rPr>
        <w:t xml:space="preserve">   </w:t>
      </w:r>
      <w:r>
        <w:rPr>
          <w:rFonts w:hint="eastAsia" w:ascii="仿宋_GB2312" w:hAnsi="Times New Roman" w:eastAsia="仿宋_GB2312" w:cs="仿宋_GB2312"/>
          <w:snapToGrid/>
          <w:color w:val="000000"/>
          <w:kern w:val="2"/>
          <w:sz w:val="32"/>
          <w:szCs w:val="32"/>
          <w:vertAlign w:val="baseline"/>
          <w:lang w:val="en-US" w:eastAsia="zh-CN" w:bidi="ar"/>
        </w:rPr>
        <w:t>日</w:t>
      </w:r>
    </w:p>
    <w:p w14:paraId="49EB0821">
      <w:pPr>
        <w:rPr>
          <w:rFonts w:hint="default" w:ascii="Times New Roman" w:hAnsi="Times New Roman" w:eastAsia="仿宋_GB2312" w:cs="Times New Roman"/>
          <w:color w:val="000000"/>
          <w:kern w:val="2"/>
          <w:sz w:val="32"/>
          <w:szCs w:val="32"/>
        </w:rPr>
        <w:sectPr>
          <w:pgSz w:w="11906" w:h="16838"/>
          <w:pgMar w:top="2098" w:right="1474" w:bottom="1984" w:left="1587" w:header="851" w:footer="992" w:gutter="0"/>
          <w:cols w:space="0" w:num="1"/>
          <w:docGrid w:type="lines" w:linePitch="312" w:charSpace="0"/>
        </w:sectPr>
      </w:pPr>
    </w:p>
    <w:p w14:paraId="3086AF0F">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center"/>
        <w:textAlignment w:val="baseline"/>
        <w:rPr>
          <w:rFonts w:hint="eastAsia" w:ascii="黑体" w:hAnsi="宋体" w:eastAsia="黑体" w:cs="黑体"/>
          <w:snapToGrid/>
          <w:color w:val="000000"/>
          <w:kern w:val="2"/>
          <w:sz w:val="48"/>
          <w:szCs w:val="48"/>
          <w:vertAlign w:val="baseline"/>
          <w:lang w:val="en-US" w:eastAsia="zh-CN" w:bidi="ar"/>
        </w:rPr>
      </w:pPr>
    </w:p>
    <w:p w14:paraId="193A4A8F">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center"/>
        <w:textAlignment w:val="baseline"/>
        <w:rPr>
          <w:rFonts w:hint="default" w:ascii="Times New Roman" w:hAnsi="Times New Roman" w:eastAsia="黑体" w:cs="Times New Roman"/>
          <w:color w:val="000000"/>
          <w:kern w:val="2"/>
          <w:sz w:val="48"/>
          <w:szCs w:val="48"/>
          <w:vertAlign w:val="baseline"/>
        </w:rPr>
      </w:pPr>
      <w:r>
        <w:rPr>
          <w:rFonts w:hint="eastAsia" w:ascii="黑体" w:hAnsi="宋体" w:eastAsia="黑体" w:cs="黑体"/>
          <w:snapToGrid/>
          <w:color w:val="000000"/>
          <w:kern w:val="2"/>
          <w:sz w:val="48"/>
          <w:szCs w:val="48"/>
          <w:vertAlign w:val="baseline"/>
          <w:lang w:val="en-US" w:eastAsia="zh-CN" w:bidi="ar"/>
        </w:rPr>
        <w:t>阳光合作告知函回执</w:t>
      </w:r>
    </w:p>
    <w:p w14:paraId="3B8B16AD">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center"/>
        <w:textAlignment w:val="baseline"/>
        <w:rPr>
          <w:rFonts w:hint="default" w:ascii="Times New Roman" w:hAnsi="Times New Roman" w:eastAsia="仿宋_GB2312" w:cs="Times New Roman"/>
          <w:color w:val="000000"/>
          <w:kern w:val="2"/>
          <w:sz w:val="30"/>
          <w:szCs w:val="30"/>
          <w:vertAlign w:val="baseline"/>
        </w:rPr>
      </w:pPr>
      <w:r>
        <w:rPr>
          <w:rFonts w:hint="default" w:ascii="Times New Roman" w:hAnsi="Times New Roman" w:eastAsia="仿宋_GB2312" w:cs="Times New Roman"/>
          <w:snapToGrid/>
          <w:color w:val="000000"/>
          <w:kern w:val="2"/>
          <w:sz w:val="30"/>
          <w:szCs w:val="30"/>
          <w:vertAlign w:val="baseline"/>
          <w:lang w:val="en-US" w:eastAsia="zh-CN" w:bidi="ar"/>
        </w:rPr>
        <w:t xml:space="preserve">                            </w:t>
      </w:r>
    </w:p>
    <w:p w14:paraId="37AD66DC">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center"/>
        <w:textAlignment w:val="baseline"/>
        <w:rPr>
          <w:rFonts w:hint="default" w:ascii="Times New Roman" w:hAnsi="Times New Roman" w:eastAsia="楷体_GB2312" w:cs="Times New Roman"/>
          <w:color w:val="000000"/>
          <w:kern w:val="2"/>
          <w:sz w:val="28"/>
          <w:szCs w:val="28"/>
          <w:vertAlign w:val="baseline"/>
        </w:rPr>
      </w:pPr>
      <w:r>
        <w:rPr>
          <w:rFonts w:hint="default" w:ascii="Times New Roman" w:hAnsi="Times New Roman" w:eastAsia="仿宋_GB2312" w:cs="Times New Roman"/>
          <w:snapToGrid/>
          <w:color w:val="000000"/>
          <w:kern w:val="2"/>
          <w:sz w:val="30"/>
          <w:szCs w:val="30"/>
          <w:vertAlign w:val="baseline"/>
          <w:lang w:val="en-US" w:eastAsia="zh-CN" w:bidi="ar"/>
        </w:rPr>
        <w:t xml:space="preserve">                   </w:t>
      </w:r>
      <w:r>
        <w:rPr>
          <w:rFonts w:hint="default" w:ascii="Times New Roman" w:hAnsi="Times New Roman" w:eastAsia="楷体_GB2312" w:cs="Times New Roman"/>
          <w:snapToGrid/>
          <w:color w:val="000000"/>
          <w:kern w:val="2"/>
          <w:sz w:val="30"/>
          <w:szCs w:val="30"/>
          <w:vertAlign w:val="baseline"/>
          <w:lang w:val="en-US" w:eastAsia="zh-CN" w:bidi="ar"/>
        </w:rPr>
        <w:t xml:space="preserve">    </w:t>
      </w:r>
      <w:r>
        <w:rPr>
          <w:rFonts w:hint="eastAsia" w:ascii="楷体_GB2312" w:hAnsi="Times New Roman" w:eastAsia="楷体_GB2312" w:cs="楷体_GB2312"/>
          <w:snapToGrid/>
          <w:color w:val="000000"/>
          <w:kern w:val="2"/>
          <w:sz w:val="28"/>
          <w:szCs w:val="28"/>
          <w:vertAlign w:val="baseline"/>
          <w:lang w:val="en-US" w:eastAsia="zh-CN" w:bidi="ar"/>
        </w:rPr>
        <w:t>编号：</w:t>
      </w:r>
      <w:r>
        <w:rPr>
          <w:rFonts w:hint="default" w:ascii="Times New Roman" w:hAnsi="Times New Roman" w:eastAsia="楷体_GB2312" w:cs="Times New Roman"/>
          <w:snapToGrid/>
          <w:color w:val="000000"/>
          <w:kern w:val="2"/>
          <w:sz w:val="28"/>
          <w:szCs w:val="28"/>
          <w:vertAlign w:val="baseline"/>
          <w:lang w:val="en-US" w:eastAsia="zh-CN" w:bidi="ar"/>
        </w:rPr>
        <w:t>JS-2026-007</w:t>
      </w:r>
    </w:p>
    <w:p w14:paraId="5C0A0B58">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center"/>
        <w:textAlignment w:val="baseline"/>
        <w:rPr>
          <w:rFonts w:hint="default" w:ascii="Times New Roman" w:hAnsi="Times New Roman" w:eastAsia="楷体_GB2312" w:cs="Times New Roman"/>
          <w:color w:val="000000"/>
          <w:kern w:val="2"/>
          <w:sz w:val="28"/>
          <w:szCs w:val="28"/>
          <w:vertAlign w:val="baseline"/>
        </w:rPr>
      </w:pPr>
      <w:r>
        <w:rPr>
          <w:rFonts w:hint="default" w:ascii="Times New Roman" w:hAnsi="Times New Roman" w:eastAsia="楷体_GB2312" w:cs="Times New Roman"/>
          <w:snapToGrid/>
          <w:color w:val="000000"/>
          <w:kern w:val="2"/>
          <w:sz w:val="28"/>
          <w:szCs w:val="28"/>
          <w:vertAlign w:val="baseline"/>
          <w:lang w:val="en-US" w:eastAsia="zh-CN" w:bidi="ar"/>
        </w:rPr>
        <w:t xml:space="preserve"> </w:t>
      </w:r>
    </w:p>
    <w:p w14:paraId="60CB498F">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800" w:firstLineChars="250"/>
        <w:jc w:val="both"/>
        <w:textAlignment w:val="baseline"/>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snapToGrid/>
          <w:color w:val="000000"/>
          <w:kern w:val="2"/>
          <w:sz w:val="32"/>
          <w:szCs w:val="32"/>
          <w:lang w:val="en-US" w:eastAsia="zh-CN" w:bidi="ar"/>
        </w:rPr>
        <w:t>我单位于</w:t>
      </w:r>
      <w:r>
        <w:rPr>
          <w:rFonts w:hint="default" w:ascii="Times New Roman" w:hAnsi="Times New Roman" w:eastAsia="仿宋_GB2312" w:cs="Times New Roman"/>
          <w:snapToGrid/>
          <w:color w:val="000000"/>
          <w:kern w:val="2"/>
          <w:sz w:val="32"/>
          <w:szCs w:val="32"/>
          <w:u w:val="single"/>
          <w:lang w:val="en-US" w:eastAsia="zh-CN" w:bidi="ar"/>
        </w:rPr>
        <w:t xml:space="preserve">  </w:t>
      </w:r>
      <w:r>
        <w:rPr>
          <w:rFonts w:hint="eastAsia" w:ascii="仿宋_GB2312" w:hAnsi="Times New Roman" w:eastAsia="仿宋_GB2312" w:cs="仿宋_GB2312"/>
          <w:snapToGrid/>
          <w:color w:val="000000"/>
          <w:kern w:val="2"/>
          <w:sz w:val="32"/>
          <w:szCs w:val="32"/>
          <w:lang w:val="en-US" w:eastAsia="zh-CN" w:bidi="ar"/>
        </w:rPr>
        <w:t>年</w:t>
      </w:r>
      <w:r>
        <w:rPr>
          <w:rFonts w:hint="default" w:ascii="Times New Roman" w:hAnsi="Times New Roman" w:eastAsia="仿宋_GB2312" w:cs="Times New Roman"/>
          <w:snapToGrid/>
          <w:color w:val="000000"/>
          <w:kern w:val="2"/>
          <w:sz w:val="32"/>
          <w:szCs w:val="32"/>
          <w:u w:val="single"/>
          <w:lang w:val="en-US" w:eastAsia="zh-CN" w:bidi="ar"/>
        </w:rPr>
        <w:t xml:space="preserve">  </w:t>
      </w:r>
      <w:r>
        <w:rPr>
          <w:rFonts w:hint="eastAsia" w:ascii="仿宋_GB2312" w:hAnsi="Times New Roman" w:eastAsia="仿宋_GB2312" w:cs="仿宋_GB2312"/>
          <w:snapToGrid/>
          <w:color w:val="000000"/>
          <w:kern w:val="2"/>
          <w:sz w:val="32"/>
          <w:szCs w:val="32"/>
          <w:lang w:val="en-US" w:eastAsia="zh-CN" w:bidi="ar"/>
        </w:rPr>
        <w:t>月</w:t>
      </w:r>
      <w:r>
        <w:rPr>
          <w:rFonts w:hint="default" w:ascii="Times New Roman" w:hAnsi="Times New Roman" w:eastAsia="仿宋_GB2312" w:cs="Times New Roman"/>
          <w:snapToGrid/>
          <w:color w:val="000000"/>
          <w:kern w:val="2"/>
          <w:sz w:val="32"/>
          <w:szCs w:val="32"/>
          <w:u w:val="single"/>
          <w:lang w:val="en-US" w:eastAsia="zh-CN" w:bidi="ar"/>
        </w:rPr>
        <w:t xml:space="preserve">   </w:t>
      </w:r>
      <w:r>
        <w:rPr>
          <w:rFonts w:hint="eastAsia" w:ascii="仿宋_GB2312" w:hAnsi="Times New Roman" w:eastAsia="仿宋_GB2312" w:cs="仿宋_GB2312"/>
          <w:snapToGrid/>
          <w:color w:val="000000"/>
          <w:kern w:val="2"/>
          <w:sz w:val="32"/>
          <w:szCs w:val="32"/>
          <w:lang w:val="en-US" w:eastAsia="zh-CN" w:bidi="ar"/>
        </w:rPr>
        <w:t>日收到</w:t>
      </w:r>
      <w:r>
        <w:rPr>
          <w:rFonts w:hint="eastAsia" w:ascii="仿宋_GB2312" w:hAnsi="Times New Roman" w:eastAsia="仿宋_GB2312" w:cs="仿宋_GB2312"/>
          <w:snapToGrid/>
          <w:color w:val="000000"/>
          <w:kern w:val="2"/>
          <w:sz w:val="32"/>
          <w:szCs w:val="32"/>
          <w:u w:val="single"/>
          <w:lang w:val="en-US" w:eastAsia="zh-CN" w:bidi="ar"/>
        </w:rPr>
        <w:t>东莞市尚源环能有限公司</w:t>
      </w:r>
      <w:r>
        <w:rPr>
          <w:rFonts w:hint="eastAsia" w:ascii="仿宋_GB2312" w:hAnsi="Times New Roman" w:eastAsia="仿宋_GB2312" w:cs="仿宋_GB2312"/>
          <w:snapToGrid/>
          <w:color w:val="000000"/>
          <w:kern w:val="2"/>
          <w:sz w:val="32"/>
          <w:szCs w:val="32"/>
          <w:lang w:val="en-US" w:eastAsia="zh-CN" w:bidi="ar"/>
        </w:rPr>
        <w:t>的《阳光合作告知</w:t>
      </w:r>
      <w:r>
        <w:rPr>
          <w:rFonts w:hint="eastAsia" w:ascii="仿宋_GB2312" w:hAnsi="Times New Roman" w:eastAsia="仿宋_GB2312" w:cs="仿宋_GB2312"/>
          <w:snapToGrid/>
          <w:color w:val="000000"/>
          <w:kern w:val="0"/>
          <w:sz w:val="32"/>
          <w:szCs w:val="32"/>
          <w:lang w:val="en-US" w:eastAsia="zh-CN" w:bidi="ar"/>
        </w:rPr>
        <w:t>函</w:t>
      </w:r>
      <w:r>
        <w:rPr>
          <w:rFonts w:hint="eastAsia" w:ascii="仿宋_GB2312" w:hAnsi="Times New Roman" w:eastAsia="仿宋_GB2312" w:cs="仿宋_GB2312"/>
          <w:snapToGrid/>
          <w:color w:val="000000"/>
          <w:kern w:val="2"/>
          <w:sz w:val="32"/>
          <w:szCs w:val="32"/>
          <w:lang w:val="en-US" w:eastAsia="zh-CN" w:bidi="ar"/>
        </w:rPr>
        <w:t>》</w:t>
      </w:r>
      <w:r>
        <w:rPr>
          <w:rFonts w:hint="eastAsia" w:ascii="仿宋_GB2312" w:hAnsi="Times New Roman" w:eastAsia="仿宋_GB2312" w:cs="仿宋_GB2312"/>
          <w:snapToGrid/>
          <w:color w:val="000000"/>
          <w:kern w:val="0"/>
          <w:sz w:val="32"/>
          <w:szCs w:val="32"/>
          <w:lang w:val="en-US" w:eastAsia="zh-CN" w:bidi="ar"/>
        </w:rPr>
        <w:t>，承诺理解函告内容并告知相关人员严格执行其中规定。</w:t>
      </w:r>
    </w:p>
    <w:p w14:paraId="527E6870">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snapToGrid/>
          <w:color w:val="000000"/>
          <w:kern w:val="2"/>
          <w:sz w:val="32"/>
          <w:szCs w:val="32"/>
          <w:lang w:val="en-US" w:eastAsia="zh-CN" w:bidi="ar"/>
        </w:rPr>
        <w:t xml:space="preserve"> </w:t>
      </w:r>
    </w:p>
    <w:p w14:paraId="13215D97">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right"/>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snapToGrid/>
          <w:color w:val="000000"/>
          <w:kern w:val="2"/>
          <w:sz w:val="32"/>
          <w:szCs w:val="32"/>
          <w:lang w:val="en-US" w:eastAsia="zh-CN" w:bidi="ar"/>
        </w:rPr>
        <w:t xml:space="preserve">          </w:t>
      </w:r>
      <w:r>
        <w:rPr>
          <w:rFonts w:hint="eastAsia" w:ascii="仿宋_GB2312" w:hAnsi="Times New Roman" w:eastAsia="仿宋_GB2312" w:cs="仿宋_GB2312"/>
          <w:snapToGrid/>
          <w:color w:val="000000"/>
          <w:kern w:val="2"/>
          <w:sz w:val="32"/>
          <w:szCs w:val="32"/>
          <w:lang w:val="en-US" w:eastAsia="zh-CN" w:bidi="ar"/>
        </w:rPr>
        <w:t>公司（盖章）</w:t>
      </w:r>
    </w:p>
    <w:p w14:paraId="764F07C8">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snapToGrid/>
          <w:color w:val="000000"/>
          <w:kern w:val="2"/>
          <w:sz w:val="32"/>
          <w:szCs w:val="32"/>
          <w:lang w:val="en-US" w:eastAsia="zh-CN" w:bidi="ar"/>
        </w:rPr>
        <w:t xml:space="preserve"> </w:t>
      </w:r>
    </w:p>
    <w:p w14:paraId="7EB8C9FF">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1280" w:firstLine="4480" w:firstLineChars="1400"/>
        <w:jc w:val="both"/>
        <w:textAlignment w:val="baseline"/>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snapToGrid/>
          <w:color w:val="000000"/>
          <w:kern w:val="2"/>
          <w:sz w:val="32"/>
          <w:szCs w:val="32"/>
          <w:lang w:val="en-US" w:eastAsia="zh-CN" w:bidi="ar"/>
        </w:rPr>
        <w:t>法定代表人（签章）：</w:t>
      </w:r>
      <w:r>
        <w:rPr>
          <w:rFonts w:hint="default" w:ascii="Times New Roman" w:hAnsi="Times New Roman" w:eastAsia="仿宋_GB2312" w:cs="Times New Roman"/>
          <w:snapToGrid/>
          <w:color w:val="000000"/>
          <w:kern w:val="2"/>
          <w:sz w:val="32"/>
          <w:szCs w:val="32"/>
          <w:lang w:val="en-US" w:eastAsia="zh-CN" w:bidi="ar"/>
        </w:rPr>
        <w:t xml:space="preserve">           </w:t>
      </w:r>
    </w:p>
    <w:p w14:paraId="5DF0BA8B">
      <w:pPr>
        <w:keepNext w:val="0"/>
        <w:keepLines w:val="0"/>
        <w:widowControl/>
        <w:suppressLineNumbers w:val="0"/>
        <w:kinsoku w:val="0"/>
        <w:wordWrap w:val="0"/>
        <w:autoSpaceDE w:val="0"/>
        <w:autoSpaceDN w:val="0"/>
        <w:adjustRightInd w:val="0"/>
        <w:snapToGrid w:val="0"/>
        <w:spacing w:before="0" w:beforeAutospacing="0" w:after="0" w:afterAutospacing="0" w:line="580" w:lineRule="exact"/>
        <w:ind w:left="0" w:right="0"/>
        <w:jc w:val="right"/>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snapToGrid/>
          <w:color w:val="000000"/>
          <w:kern w:val="2"/>
          <w:sz w:val="32"/>
          <w:szCs w:val="32"/>
          <w:lang w:val="en-US" w:eastAsia="zh-CN" w:bidi="ar"/>
        </w:rPr>
        <w:t xml:space="preserve"> </w:t>
      </w:r>
    </w:p>
    <w:p w14:paraId="5D9E0B61">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right"/>
        <w:textAlignment w:val="baseline"/>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snapToGrid/>
          <w:color w:val="000000"/>
          <w:kern w:val="2"/>
          <w:sz w:val="32"/>
          <w:szCs w:val="32"/>
          <w:lang w:val="en-US" w:eastAsia="zh-CN" w:bidi="ar"/>
        </w:rPr>
        <w:t>年</w:t>
      </w:r>
      <w:r>
        <w:rPr>
          <w:rFonts w:hint="default" w:ascii="Times New Roman" w:hAnsi="Times New Roman" w:eastAsia="仿宋_GB2312" w:cs="Times New Roman"/>
          <w:snapToGrid/>
          <w:color w:val="000000"/>
          <w:kern w:val="2"/>
          <w:sz w:val="32"/>
          <w:szCs w:val="32"/>
          <w:lang w:val="en-US" w:eastAsia="zh-CN" w:bidi="ar"/>
        </w:rPr>
        <w:t xml:space="preserve">  </w:t>
      </w:r>
      <w:r>
        <w:rPr>
          <w:rFonts w:hint="eastAsia" w:ascii="仿宋_GB2312" w:hAnsi="Times New Roman" w:eastAsia="仿宋_GB2312" w:cs="仿宋_GB2312"/>
          <w:snapToGrid/>
          <w:color w:val="000000"/>
          <w:kern w:val="2"/>
          <w:sz w:val="32"/>
          <w:szCs w:val="32"/>
          <w:lang w:val="en-US" w:eastAsia="zh-CN" w:bidi="ar"/>
        </w:rPr>
        <w:t>月</w:t>
      </w:r>
      <w:r>
        <w:rPr>
          <w:rFonts w:hint="default" w:ascii="Times New Roman" w:hAnsi="Times New Roman" w:eastAsia="仿宋_GB2312" w:cs="Times New Roman"/>
          <w:snapToGrid/>
          <w:color w:val="000000"/>
          <w:kern w:val="2"/>
          <w:sz w:val="32"/>
          <w:szCs w:val="32"/>
          <w:lang w:val="en-US" w:eastAsia="zh-CN" w:bidi="ar"/>
        </w:rPr>
        <w:t xml:space="preserve">  </w:t>
      </w:r>
      <w:r>
        <w:rPr>
          <w:rFonts w:hint="eastAsia" w:ascii="仿宋_GB2312" w:hAnsi="Times New Roman" w:eastAsia="仿宋_GB2312" w:cs="仿宋_GB2312"/>
          <w:snapToGrid/>
          <w:color w:val="000000"/>
          <w:kern w:val="2"/>
          <w:sz w:val="32"/>
          <w:szCs w:val="32"/>
          <w:lang w:val="en-US" w:eastAsia="zh-CN" w:bidi="ar"/>
        </w:rPr>
        <w:t>日</w:t>
      </w:r>
    </w:p>
    <w:p w14:paraId="28A86305">
      <w:pPr>
        <w:pStyle w:val="18"/>
        <w:keepNext w:val="0"/>
        <w:keepLines w:val="0"/>
        <w:widowControl/>
        <w:suppressLineNumbers w:val="0"/>
        <w:kinsoku w:val="0"/>
        <w:autoSpaceDE w:val="0"/>
        <w:autoSpaceDN w:val="0"/>
        <w:adjustRightInd/>
        <w:snapToGrid w:val="0"/>
        <w:spacing w:before="0" w:beforeAutospacing="1" w:after="120" w:afterAutospacing="0"/>
        <w:ind w:left="0" w:right="0" w:firstLine="210" w:firstLineChars="100"/>
        <w:jc w:val="both"/>
        <w:textAlignment w:val="baseline"/>
        <w:rPr>
          <w:rFonts w:hint="default" w:ascii="Times New Roman" w:hAnsi="Times New Roman" w:eastAsia="宋体" w:cs="Times New Roman"/>
          <w:color w:val="000000"/>
          <w:kern w:val="0"/>
          <w:sz w:val="21"/>
          <w:szCs w:val="21"/>
        </w:rPr>
      </w:pPr>
    </w:p>
    <w:p w14:paraId="3833D878">
      <w:pPr>
        <w:rPr>
          <w:rFonts w:hint="eastAsia"/>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8" w:name="_Toc19461"/>
      <w:r>
        <w:rPr>
          <w:rFonts w:hint="eastAsia" w:ascii="宋体" w:hAnsi="宋体" w:eastAsia="宋体" w:cs="宋体"/>
          <w:szCs w:val="32"/>
        </w:rPr>
        <w:t>第四章 报价须知</w:t>
      </w:r>
      <w:bookmarkEnd w:id="8"/>
    </w:p>
    <w:p w14:paraId="57A5FE85">
      <w:pPr>
        <w:spacing w:line="360" w:lineRule="auto"/>
        <w:rPr>
          <w:rFonts w:hint="eastAsia" w:ascii="宋体" w:hAnsi="宋体" w:eastAsia="宋体" w:cs="宋体"/>
          <w:b/>
          <w:bCs/>
        </w:rPr>
      </w:pPr>
      <w:r>
        <w:rPr>
          <w:rFonts w:hint="eastAsia" w:ascii="宋体" w:hAnsi="宋体" w:eastAsia="宋体" w:cs="宋体"/>
          <w:b/>
          <w:bCs/>
        </w:rPr>
        <w:t>一、项目费用说明</w:t>
      </w:r>
    </w:p>
    <w:p w14:paraId="16220D8F">
      <w:pPr>
        <w:spacing w:line="360" w:lineRule="auto"/>
        <w:ind w:firstLine="424" w:firstLineChars="177"/>
        <w:rPr>
          <w:rFonts w:hint="eastAsia" w:ascii="宋体" w:hAnsi="宋体" w:eastAsia="宋体" w:cs="宋体"/>
        </w:rPr>
      </w:pPr>
      <w:r>
        <w:rPr>
          <w:rFonts w:hint="eastAsia" w:ascii="宋体" w:hAnsi="宋体" w:eastAsia="宋体" w:cs="宋体"/>
        </w:rPr>
        <w:t>报价人应按询价文件要求及企业的自身情况进行报价。所报的价格包含完成询价文件规定的工作所需的全部费用（除了</w:t>
      </w:r>
      <w:r>
        <w:rPr>
          <w:rFonts w:hint="eastAsia" w:ascii="宋体" w:hAnsi="宋体" w:eastAsia="宋体" w:cs="宋体"/>
          <w:lang w:val="en-US" w:eastAsia="zh-CN"/>
        </w:rPr>
        <w:t>供应商</w:t>
      </w:r>
      <w:r>
        <w:rPr>
          <w:rFonts w:hint="eastAsia" w:ascii="宋体" w:hAnsi="宋体" w:eastAsia="宋体" w:cs="宋体"/>
        </w:rPr>
        <w:t>销项税额），并承担所有相应项目风险。</w:t>
      </w:r>
    </w:p>
    <w:p w14:paraId="336EE73D">
      <w:pPr>
        <w:spacing w:line="360" w:lineRule="auto"/>
        <w:rPr>
          <w:rFonts w:hint="eastAsia" w:ascii="宋体" w:hAnsi="宋体" w:eastAsia="宋体" w:cs="宋体"/>
          <w:b/>
          <w:bCs/>
        </w:rPr>
      </w:pPr>
    </w:p>
    <w:p w14:paraId="40A9E328">
      <w:pPr>
        <w:spacing w:line="360" w:lineRule="auto"/>
        <w:rPr>
          <w:rFonts w:hint="eastAsia" w:ascii="宋体" w:hAnsi="宋体" w:eastAsia="宋体" w:cs="宋体"/>
          <w:b/>
          <w:bCs/>
        </w:rPr>
      </w:pPr>
      <w:r>
        <w:rPr>
          <w:rFonts w:hint="eastAsia" w:ascii="宋体" w:hAnsi="宋体" w:eastAsia="宋体" w:cs="宋体"/>
          <w:b/>
          <w:bCs/>
        </w:rPr>
        <w:t>二、报价文件的组成</w:t>
      </w:r>
    </w:p>
    <w:p w14:paraId="1D375EF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1.报价表；</w:t>
      </w:r>
    </w:p>
    <w:p w14:paraId="0B9A0995">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2.项目响应声明；</w:t>
      </w:r>
    </w:p>
    <w:p w14:paraId="7DA91630">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3.营业执照；</w:t>
      </w:r>
    </w:p>
    <w:p w14:paraId="13B2C2F5">
      <w:pPr>
        <w:spacing w:line="360" w:lineRule="auto"/>
        <w:ind w:firstLine="424" w:firstLineChars="177"/>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rPr>
        <w:t>报价人</w:t>
      </w:r>
      <w:r>
        <w:rPr>
          <w:rFonts w:hint="eastAsia" w:ascii="宋体" w:hAnsi="宋体" w:eastAsia="宋体" w:cs="宋体"/>
          <w:lang w:val="en-US" w:eastAsia="zh-CN"/>
        </w:rPr>
        <w:t>提供</w:t>
      </w:r>
      <w:r>
        <w:rPr>
          <w:rFonts w:hint="eastAsia" w:ascii="宋体" w:hAnsi="宋体" w:eastAsia="宋体" w:cs="宋体"/>
        </w:rPr>
        <w:t>一</w:t>
      </w:r>
      <w:r>
        <w:rPr>
          <w:rFonts w:hint="eastAsia" w:ascii="宋体" w:hAnsi="宋体" w:eastAsia="宋体" w:cs="宋体"/>
          <w:lang w:val="en-US" w:eastAsia="zh-CN"/>
        </w:rPr>
        <w:t>份</w:t>
      </w:r>
      <w:r>
        <w:rPr>
          <w:rFonts w:hint="eastAsia" w:ascii="宋体" w:hAnsi="宋体" w:eastAsia="宋体" w:cs="宋体"/>
          <w:lang w:eastAsia="zh-CN"/>
        </w:rPr>
        <w:t>运输服务项目业绩</w:t>
      </w:r>
      <w:r>
        <w:rPr>
          <w:rFonts w:hint="eastAsia" w:ascii="宋体" w:hAnsi="宋体" w:eastAsia="宋体" w:cs="宋体"/>
        </w:rPr>
        <w:t>（合同签订日期为</w:t>
      </w:r>
      <w:r>
        <w:rPr>
          <w:rFonts w:hint="eastAsia" w:ascii="宋体" w:hAnsi="宋体" w:eastAsia="宋体" w:cs="宋体"/>
          <w:lang w:eastAsia="zh-CN"/>
        </w:rPr>
        <w:t>2023年1月1日</w:t>
      </w:r>
      <w:r>
        <w:rPr>
          <w:rFonts w:hint="eastAsia" w:ascii="宋体" w:hAnsi="宋体" w:eastAsia="宋体" w:cs="宋体"/>
        </w:rPr>
        <w:t>或以后）；</w:t>
      </w:r>
    </w:p>
    <w:p w14:paraId="6512F6A2">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.承诺函。</w:t>
      </w:r>
    </w:p>
    <w:p w14:paraId="740B6A7D">
      <w:pPr>
        <w:spacing w:line="360" w:lineRule="auto"/>
        <w:rPr>
          <w:rFonts w:hint="eastAsia" w:ascii="宋体" w:hAnsi="宋体" w:eastAsia="宋体" w:cs="宋体"/>
          <w:b/>
          <w:bCs/>
        </w:rPr>
      </w:pPr>
    </w:p>
    <w:p w14:paraId="16683D33">
      <w:pPr>
        <w:spacing w:line="360" w:lineRule="auto"/>
        <w:rPr>
          <w:rFonts w:hint="eastAsia" w:ascii="宋体" w:hAnsi="宋体" w:eastAsia="宋体" w:cs="宋体"/>
          <w:b/>
          <w:bCs/>
        </w:rPr>
      </w:pPr>
      <w:r>
        <w:rPr>
          <w:rFonts w:hint="eastAsia" w:ascii="宋体" w:hAnsi="宋体" w:eastAsia="宋体" w:cs="宋体"/>
          <w:b/>
          <w:bCs/>
        </w:rPr>
        <w:t>三、报价文件的封装和递交</w:t>
      </w:r>
    </w:p>
    <w:p w14:paraId="135AAD21">
      <w:pPr>
        <w:spacing w:line="360" w:lineRule="auto"/>
        <w:ind w:firstLine="424" w:firstLineChars="177"/>
        <w:rPr>
          <w:rFonts w:hint="eastAsia" w:ascii="宋体" w:hAnsi="宋体" w:eastAsia="宋体" w:cs="宋体"/>
        </w:rPr>
      </w:pPr>
      <w:r>
        <w:rPr>
          <w:rFonts w:hint="eastAsia" w:ascii="宋体" w:hAnsi="宋体" w:eastAsia="宋体" w:cs="宋体"/>
        </w:rPr>
        <w:t>1.报价人应将报价文件一起密封在一个不透明的外层封装中。外层密封封装表面应正确标明项目名称、项目编号、报价人单位名称，封口位置</w:t>
      </w:r>
      <w:r>
        <w:rPr>
          <w:rFonts w:hint="eastAsia" w:ascii="宋体" w:hAnsi="宋体" w:eastAsia="宋体" w:cs="宋体"/>
          <w:lang w:val="en-US" w:eastAsia="zh-CN"/>
        </w:rPr>
        <w:t>加盖公章</w:t>
      </w:r>
      <w:r>
        <w:rPr>
          <w:rFonts w:hint="eastAsia" w:ascii="宋体" w:hAnsi="宋体" w:eastAsia="宋体" w:cs="宋体"/>
        </w:rPr>
        <w:t>。</w:t>
      </w:r>
    </w:p>
    <w:p w14:paraId="2133BD16">
      <w:pPr>
        <w:spacing w:line="360" w:lineRule="auto"/>
        <w:ind w:firstLine="424" w:firstLineChars="177"/>
        <w:rPr>
          <w:rFonts w:hint="eastAsia" w:ascii="宋体" w:hAnsi="宋体" w:eastAsia="宋体" w:cs="宋体"/>
        </w:rPr>
      </w:pPr>
      <w:r>
        <w:rPr>
          <w:rFonts w:hint="eastAsia" w:ascii="宋体" w:hAnsi="宋体" w:eastAsia="宋体" w:cs="宋体"/>
        </w:rPr>
        <w:t>2. 报价文件无须装订成册。若报价文件装订成册，需同时提供电子文件，内容包括：签字、</w:t>
      </w:r>
      <w:r>
        <w:rPr>
          <w:rFonts w:hint="eastAsia" w:ascii="宋体" w:hAnsi="宋体" w:eastAsia="宋体" w:cs="宋体"/>
          <w:lang w:val="en-US" w:eastAsia="zh-CN"/>
        </w:rPr>
        <w:t>加盖公章</w:t>
      </w:r>
      <w:r>
        <w:rPr>
          <w:rFonts w:hint="eastAsia" w:ascii="宋体" w:hAnsi="宋体" w:eastAsia="宋体" w:cs="宋体"/>
        </w:rPr>
        <w:t>后的报价文件扫描版PDF格式电子文件。电子文件不可设置密码，用U盘或DVD或CD-R光盘储存</w:t>
      </w:r>
      <w:r>
        <w:rPr>
          <w:rFonts w:hint="eastAsia" w:ascii="宋体" w:hAnsi="宋体" w:eastAsia="宋体" w:cs="宋体"/>
          <w:lang w:eastAsia="zh-CN"/>
        </w:rPr>
        <w:t>，</w:t>
      </w:r>
      <w:r>
        <w:rPr>
          <w:rFonts w:hint="eastAsia" w:ascii="宋体" w:hAnsi="宋体" w:eastAsia="宋体" w:cs="宋体"/>
        </w:rPr>
        <w:t>并密封于“电子文件”内（电子文件的包装封面需注明项目名称、项目编号、报价人单位名称，并</w:t>
      </w:r>
      <w:r>
        <w:rPr>
          <w:rFonts w:hint="eastAsia" w:ascii="宋体" w:hAnsi="宋体" w:eastAsia="宋体" w:cs="宋体"/>
          <w:lang w:val="en-US" w:eastAsia="zh-CN"/>
        </w:rPr>
        <w:t>加盖公章</w:t>
      </w:r>
      <w:r>
        <w:rPr>
          <w:rFonts w:hint="eastAsia" w:ascii="宋体" w:hAnsi="宋体" w:eastAsia="宋体" w:cs="宋体"/>
        </w:rPr>
        <w:t>）。</w:t>
      </w:r>
    </w:p>
    <w:p w14:paraId="7974CC97">
      <w:pPr>
        <w:spacing w:line="360" w:lineRule="auto"/>
        <w:ind w:firstLine="424" w:firstLineChars="177"/>
        <w:rPr>
          <w:rFonts w:hint="eastAsia" w:ascii="宋体" w:hAnsi="宋体" w:eastAsia="宋体" w:cs="宋体"/>
        </w:rPr>
      </w:pPr>
      <w:r>
        <w:rPr>
          <w:rFonts w:hint="eastAsia" w:ascii="宋体" w:hAnsi="宋体" w:eastAsia="宋体" w:cs="宋体"/>
        </w:rPr>
        <w:t>3.</w:t>
      </w:r>
      <w:r>
        <w:rPr>
          <w:rFonts w:hint="eastAsia" w:ascii="宋体" w:hAnsi="宋体" w:eastAsia="宋体" w:cs="宋体"/>
          <w:b/>
          <w:bCs/>
        </w:rPr>
        <w:t>密封好的报价文件，应于询价邀请函中规定的截止时间前递交到采购人指定的递交地点，否则视为放弃参与本项目。</w:t>
      </w:r>
    </w:p>
    <w:p w14:paraId="10D9BD5C">
      <w:pPr>
        <w:spacing w:line="360" w:lineRule="auto"/>
        <w:rPr>
          <w:rFonts w:hint="eastAsia" w:ascii="宋体" w:hAnsi="宋体" w:eastAsia="宋体" w:cs="宋体"/>
        </w:rPr>
      </w:pPr>
    </w:p>
    <w:p w14:paraId="0C4239AF">
      <w:pPr>
        <w:spacing w:line="360" w:lineRule="auto"/>
        <w:rPr>
          <w:rFonts w:hint="eastAsia" w:ascii="宋体" w:hAnsi="宋体" w:eastAsia="宋体" w:cs="宋体"/>
          <w:b/>
          <w:bCs/>
        </w:rPr>
      </w:pPr>
      <w:r>
        <w:rPr>
          <w:rFonts w:hint="eastAsia" w:ascii="宋体" w:hAnsi="宋体" w:eastAsia="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1.报价人不符合合格报价人的基本条件[被列入“信用中国”网站（www.creditchina.gov.cn）失信被执行人、重大税收违法失信主体、政府采购严重违法失信行为记录名单（处罚期限届满的除外）]。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hint="eastAsia" w:ascii="宋体" w:hAnsi="宋体" w:eastAsia="宋体" w:cs="宋体"/>
          <w:b/>
          <w:bCs/>
        </w:rPr>
      </w:pPr>
      <w:r>
        <w:rPr>
          <w:rFonts w:hint="eastAsia" w:ascii="宋体" w:hAnsi="宋体" w:eastAsia="宋体" w:cs="宋体"/>
          <w:b/>
          <w:bCs/>
        </w:rPr>
        <w:t>2.不含税</w:t>
      </w:r>
      <w:r>
        <w:rPr>
          <w:rFonts w:hint="eastAsia" w:ascii="宋体" w:hAnsi="宋体" w:eastAsia="宋体" w:cs="宋体"/>
          <w:b/>
          <w:bCs/>
          <w:lang w:val="en-US" w:eastAsia="zh-CN"/>
        </w:rPr>
        <w:t>综合单价</w:t>
      </w:r>
      <w:r>
        <w:rPr>
          <w:rFonts w:hint="eastAsia" w:ascii="宋体" w:hAnsi="宋体" w:eastAsia="宋体" w:cs="宋体"/>
          <w:b/>
          <w:bCs/>
        </w:rPr>
        <w:t>报价不得高于本项目不含税最高限价，否则视为无效报价。</w:t>
      </w:r>
    </w:p>
    <w:p w14:paraId="7CCD6336">
      <w:pPr>
        <w:spacing w:line="360" w:lineRule="auto"/>
        <w:ind w:firstLine="482" w:firstLineChars="200"/>
        <w:rPr>
          <w:rFonts w:hint="eastAsia" w:ascii="宋体" w:hAnsi="宋体" w:eastAsia="宋体" w:cs="宋体"/>
          <w:b/>
          <w:bCs/>
        </w:rPr>
      </w:pPr>
      <w:r>
        <w:rPr>
          <w:rFonts w:hint="eastAsia" w:ascii="宋体" w:hAnsi="宋体" w:eastAsia="宋体" w:cs="宋体"/>
          <w:b/>
          <w:bCs/>
        </w:rPr>
        <w:t>3.报价人未按报价文件格式提供相应材料的，按无效报价处理。</w:t>
      </w:r>
    </w:p>
    <w:p w14:paraId="7A734568">
      <w:pPr>
        <w:spacing w:line="360" w:lineRule="auto"/>
        <w:ind w:firstLine="482" w:firstLineChars="200"/>
        <w:rPr>
          <w:rFonts w:hint="eastAsia" w:ascii="宋体" w:hAnsi="宋体" w:eastAsia="宋体" w:cs="宋体"/>
          <w:b/>
          <w:bCs/>
        </w:rPr>
      </w:pPr>
      <w:r>
        <w:rPr>
          <w:rFonts w:hint="eastAsia" w:ascii="宋体" w:hAnsi="宋体" w:eastAsia="宋体" w:cs="宋体"/>
          <w:b/>
          <w:bCs/>
        </w:rPr>
        <w:t>4.若有效报价文件不足三家时，采购人有权重新进行采购。</w:t>
      </w:r>
    </w:p>
    <w:p w14:paraId="12F178DD">
      <w:pPr>
        <w:spacing w:line="360" w:lineRule="auto"/>
        <w:ind w:firstLine="482" w:firstLineChars="200"/>
        <w:rPr>
          <w:rFonts w:hint="eastAsia" w:ascii="宋体" w:hAnsi="宋体" w:eastAsia="宋体" w:cs="宋体"/>
          <w:b/>
          <w:bCs/>
        </w:rPr>
      </w:pPr>
      <w:r>
        <w:rPr>
          <w:rFonts w:hint="eastAsia" w:ascii="宋体" w:hAnsi="宋体" w:eastAsia="宋体" w:cs="宋体"/>
          <w:b/>
          <w:bCs/>
        </w:rPr>
        <w:t>5.在实质性满足采购需求的情况下，若2家以上（含本数）供应商报价一致且同为最低价时，报价相同的供应商再进行一次报价，且再次报价不得高于前一次报价，以此类推，最终价低者得。</w:t>
      </w:r>
    </w:p>
    <w:p w14:paraId="216FF30C">
      <w:pPr>
        <w:spacing w:line="360" w:lineRule="auto"/>
        <w:ind w:firstLine="482" w:firstLineChars="200"/>
        <w:rPr>
          <w:rFonts w:hint="eastAsia" w:ascii="宋体" w:hAnsi="宋体" w:eastAsia="宋体" w:cs="宋体"/>
          <w:b/>
          <w:bCs/>
        </w:rPr>
      </w:pPr>
      <w:r>
        <w:rPr>
          <w:rFonts w:hint="eastAsia" w:ascii="宋体" w:hAnsi="宋体" w:eastAsia="宋体" w:cs="宋体"/>
          <w:b/>
          <w:bCs/>
        </w:rPr>
        <w:t>6.当报价文件完全响应需求的最低价供应商放弃成交资格或经确认未实质性满足采购需求时，我公司有权确定实质性满足采购需求的第二低价供应商作为成交供应商，或重新进行采购。</w:t>
      </w:r>
    </w:p>
    <w:p w14:paraId="588C011B">
      <w:pPr>
        <w:spacing w:line="360" w:lineRule="auto"/>
        <w:rPr>
          <w:rFonts w:hint="eastAsia" w:ascii="宋体" w:hAnsi="宋体" w:eastAsia="宋体" w:cs="宋体"/>
          <w:b/>
        </w:rPr>
      </w:pPr>
    </w:p>
    <w:p w14:paraId="37E4073C">
      <w:pPr>
        <w:spacing w:line="360" w:lineRule="auto"/>
        <w:rPr>
          <w:rFonts w:hint="eastAsia" w:ascii="宋体" w:hAnsi="宋体" w:eastAsia="宋体" w:cs="宋体"/>
          <w:b/>
        </w:rPr>
      </w:pPr>
      <w:r>
        <w:rPr>
          <w:rFonts w:hint="eastAsia" w:ascii="宋体" w:hAnsi="宋体" w:eastAsia="宋体" w:cs="宋体"/>
          <w:b/>
        </w:rPr>
        <w:t>五、合同签订说明</w:t>
      </w:r>
    </w:p>
    <w:p w14:paraId="78069EE3">
      <w:pPr>
        <w:spacing w:line="360" w:lineRule="auto"/>
        <w:ind w:firstLine="481"/>
        <w:rPr>
          <w:rFonts w:hint="eastAsia" w:ascii="宋体" w:hAnsi="宋体" w:eastAsia="宋体" w:cs="宋体"/>
          <w:b/>
          <w:highlight w:val="none"/>
        </w:rPr>
      </w:pPr>
      <w:r>
        <w:rPr>
          <w:rFonts w:hint="eastAsia" w:ascii="宋体" w:hAnsi="宋体" w:eastAsia="宋体" w:cs="宋体"/>
          <w:b/>
          <w:highlight w:val="none"/>
        </w:rPr>
        <w:t>本项目成交单位会根据项目实际情况与</w:t>
      </w:r>
      <w:r>
        <w:rPr>
          <w:rFonts w:hint="eastAsia" w:ascii="宋体" w:hAnsi="宋体" w:eastAsia="宋体" w:cs="宋体"/>
          <w:b/>
          <w:bCs/>
          <w:color w:val="000000" w:themeColor="text1"/>
          <w:highlight w:val="none"/>
          <w14:textFill>
            <w14:solidFill>
              <w14:schemeClr w14:val="tx1"/>
            </w14:solidFill>
          </w14:textFill>
        </w:rPr>
        <w:t>东莞市水务环境投资控股</w:t>
      </w:r>
      <w:r>
        <w:rPr>
          <w:rFonts w:hint="eastAsia" w:ascii="宋体" w:hAnsi="宋体" w:eastAsia="宋体" w:cs="宋体"/>
          <w:b/>
          <w:bCs/>
          <w:color w:val="000000" w:themeColor="text1"/>
          <w:highlight w:val="none"/>
          <w:lang w:val="en-US" w:eastAsia="zh-CN"/>
          <w14:textFill>
            <w14:solidFill>
              <w14:schemeClr w14:val="tx1"/>
            </w14:solidFill>
          </w14:textFill>
        </w:rPr>
        <w:t>集团净水有限公</w:t>
      </w:r>
      <w:r>
        <w:rPr>
          <w:rFonts w:hint="eastAsia" w:ascii="宋体" w:hAnsi="宋体" w:eastAsia="宋体" w:cs="宋体"/>
          <w:b/>
          <w:bCs/>
          <w:color w:val="000000" w:themeColor="text1"/>
          <w:highlight w:val="none"/>
          <w14:textFill>
            <w14:solidFill>
              <w14:schemeClr w14:val="tx1"/>
            </w14:solidFill>
          </w14:textFill>
        </w:rPr>
        <w:t>司</w:t>
      </w:r>
      <w:r>
        <w:rPr>
          <w:rFonts w:hint="eastAsia" w:ascii="宋体" w:hAnsi="宋体" w:eastAsia="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ascii="宋体" w:hAnsi="宋体" w:eastAsia="宋体" w:cs="宋体"/>
          <w:b/>
        </w:rPr>
      </w:pPr>
    </w:p>
    <w:p w14:paraId="7E96256A">
      <w:pPr>
        <w:spacing w:line="360" w:lineRule="auto"/>
        <w:rPr>
          <w:rFonts w:hint="eastAsia" w:ascii="宋体" w:hAnsi="宋体" w:eastAsia="宋体" w:cs="宋体"/>
          <w:b/>
        </w:rPr>
      </w:pPr>
      <w:r>
        <w:rPr>
          <w:rFonts w:hint="eastAsia" w:ascii="宋体" w:hAnsi="宋体" w:eastAsia="宋体" w:cs="宋体"/>
          <w:b/>
        </w:rPr>
        <w:t>六、特别说明</w:t>
      </w:r>
    </w:p>
    <w:p w14:paraId="4618AA25">
      <w:pPr>
        <w:spacing w:line="360" w:lineRule="auto"/>
        <w:ind w:firstLine="482" w:firstLineChars="200"/>
        <w:rPr>
          <w:rFonts w:hint="eastAsia" w:ascii="宋体" w:hAnsi="宋体" w:eastAsia="宋体" w:cs="宋体"/>
          <w:b/>
        </w:rPr>
      </w:pPr>
      <w:r>
        <w:rPr>
          <w:rFonts w:hint="eastAsia" w:ascii="宋体" w:hAnsi="宋体" w:eastAsia="宋体" w:cs="宋体"/>
          <w:b/>
        </w:rPr>
        <w:t>1.与采购人存在利害关系可能影响采购公正性的法人、其他组织或者个人，不得参与报价；</w:t>
      </w:r>
    </w:p>
    <w:p w14:paraId="4577B1C1">
      <w:pPr>
        <w:spacing w:line="360" w:lineRule="auto"/>
        <w:ind w:firstLine="482" w:firstLineChars="200"/>
        <w:rPr>
          <w:rFonts w:hint="eastAsia" w:ascii="宋体" w:hAnsi="宋体" w:eastAsia="宋体" w:cs="宋体"/>
          <w:b/>
        </w:rPr>
      </w:pPr>
      <w:r>
        <w:rPr>
          <w:rFonts w:hint="eastAsia" w:ascii="宋体" w:hAnsi="宋体" w:eastAsia="宋体" w:cs="宋体"/>
          <w:b/>
        </w:rPr>
        <w:t>2.供应商负责人为同一人或者存在控股管理关系的不同供应商，不得参加同一项目报价。</w:t>
      </w:r>
    </w:p>
    <w:p w14:paraId="281FD32A">
      <w:pPr>
        <w:spacing w:line="360" w:lineRule="auto"/>
        <w:ind w:firstLine="482" w:firstLineChars="200"/>
        <w:rPr>
          <w:rFonts w:hint="eastAsia" w:ascii="宋体" w:hAnsi="宋体" w:eastAsia="宋体" w:cs="宋体"/>
          <w:b/>
        </w:rPr>
      </w:pPr>
      <w:r>
        <w:rPr>
          <w:rFonts w:hint="eastAsia" w:ascii="宋体" w:hAnsi="宋体" w:eastAsia="宋体" w:cs="宋体"/>
          <w:b/>
        </w:rPr>
        <w:t>上述情况一经发现，相关报价均无效。</w:t>
      </w:r>
    </w:p>
    <w:p w14:paraId="00B6DBF0">
      <w:pPr>
        <w:spacing w:line="360" w:lineRule="auto"/>
        <w:rPr>
          <w:rFonts w:hint="eastAsia" w:ascii="宋体" w:hAnsi="宋体" w:eastAsia="宋体" w:cs="宋体"/>
        </w:rPr>
      </w:pPr>
      <w:r>
        <w:rPr>
          <w:rFonts w:hint="eastAsia" w:ascii="宋体" w:hAnsi="宋体" w:eastAsia="宋体" w:cs="宋体"/>
        </w:rPr>
        <w:br w:type="page"/>
      </w:r>
    </w:p>
    <w:p w14:paraId="2C585EA0">
      <w:pPr>
        <w:pStyle w:val="3"/>
        <w:spacing w:before="0" w:after="0"/>
        <w:jc w:val="center"/>
        <w:rPr>
          <w:rFonts w:hint="eastAsia" w:ascii="宋体" w:hAnsi="宋体" w:eastAsia="宋体" w:cs="宋体"/>
          <w:szCs w:val="32"/>
        </w:rPr>
      </w:pPr>
      <w:bookmarkStart w:id="9" w:name="_Toc19652"/>
      <w:r>
        <w:rPr>
          <w:rFonts w:hint="eastAsia" w:ascii="宋体" w:hAnsi="宋体" w:eastAsia="宋体" w:cs="宋体"/>
          <w:szCs w:val="32"/>
        </w:rPr>
        <w:t>第五章 报价文件（格式）</w:t>
      </w:r>
      <w:bookmarkEnd w:id="9"/>
    </w:p>
    <w:p w14:paraId="5532E2E3">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6587"/>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jc w:val="center"/>
        </w:trPr>
        <w:tc>
          <w:tcPr>
            <w:tcW w:w="2622" w:type="dxa"/>
            <w:shd w:val="clear" w:color="auto" w:fill="auto"/>
            <w:vAlign w:val="center"/>
          </w:tcPr>
          <w:p w14:paraId="1C36F23D">
            <w:pPr>
              <w:pStyle w:val="10"/>
              <w:jc w:val="center"/>
              <w:rPr>
                <w:rFonts w:hint="eastAsia" w:ascii="宋体" w:hAnsi="宋体" w:eastAsia="宋体" w:cs="宋体"/>
                <w:color w:val="000000"/>
                <w:sz w:val="24"/>
                <w:szCs w:val="28"/>
              </w:rPr>
            </w:pPr>
            <w:r>
              <w:rPr>
                <w:rFonts w:hint="eastAsia" w:ascii="宋体" w:hAnsi="宋体" w:eastAsia="宋体" w:cs="宋体"/>
                <w:color w:val="000000"/>
                <w:sz w:val="24"/>
                <w:szCs w:val="28"/>
              </w:rPr>
              <w:t>项目名称</w:t>
            </w:r>
          </w:p>
        </w:tc>
        <w:tc>
          <w:tcPr>
            <w:tcW w:w="6587" w:type="dxa"/>
            <w:shd w:val="clear" w:color="auto" w:fill="auto"/>
            <w:vAlign w:val="center"/>
          </w:tcPr>
          <w:p w14:paraId="02F7C47D">
            <w:pPr>
              <w:autoSpaceDE/>
              <w:autoSpaceDN/>
              <w:adjustRightInd/>
              <w:jc w:val="center"/>
              <w:rPr>
                <w:rFonts w:hint="eastAsia" w:ascii="宋体" w:hAnsi="宋体" w:eastAsia="宋体" w:cs="宋体"/>
                <w:color w:val="000000"/>
                <w:szCs w:val="28"/>
                <w:lang w:eastAsia="zh-CN"/>
              </w:rPr>
            </w:pPr>
            <w:r>
              <w:rPr>
                <w:rFonts w:hint="eastAsia" w:ascii="宋体" w:hAnsi="宋体" w:eastAsia="宋体" w:cs="宋体"/>
                <w:color w:val="auto"/>
                <w:szCs w:val="28"/>
                <w:lang w:eastAsia="zh-CN"/>
              </w:rPr>
              <w:t>东莞市污泥集中处理处置项目调试期污泥运输服务采购项目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622" w:type="dxa"/>
            <w:shd w:val="clear" w:color="auto" w:fill="auto"/>
            <w:vAlign w:val="center"/>
          </w:tcPr>
          <w:p w14:paraId="1A61A4B4">
            <w:pPr>
              <w:pStyle w:val="10"/>
              <w:jc w:val="center"/>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rPr>
              <w:t>不含税</w:t>
            </w:r>
            <w:r>
              <w:rPr>
                <w:rFonts w:hint="eastAsia" w:ascii="宋体" w:hAnsi="宋体" w:eastAsia="宋体" w:cs="宋体"/>
                <w:color w:val="000000"/>
                <w:sz w:val="24"/>
                <w:szCs w:val="28"/>
                <w:lang w:val="en-US" w:eastAsia="zh-CN"/>
              </w:rPr>
              <w:t>综合单价</w:t>
            </w:r>
          </w:p>
          <w:p w14:paraId="2EF85A7E">
            <w:pPr>
              <w:pStyle w:val="10"/>
              <w:jc w:val="center"/>
              <w:rPr>
                <w:rFonts w:hint="eastAsia" w:ascii="宋体" w:hAnsi="宋体" w:eastAsia="宋体" w:cs="宋体"/>
                <w:color w:val="000000"/>
                <w:sz w:val="24"/>
                <w:szCs w:val="28"/>
                <w:lang w:eastAsia="zh-CN"/>
              </w:rPr>
            </w:pPr>
            <w:r>
              <w:rPr>
                <w:rFonts w:hint="eastAsia" w:ascii="宋体" w:hAnsi="宋体" w:eastAsia="宋体" w:cs="宋体"/>
                <w:color w:val="000000"/>
                <w:spacing w:val="-11"/>
                <w:sz w:val="24"/>
                <w:szCs w:val="28"/>
              </w:rPr>
              <w:t>（单位：</w:t>
            </w:r>
            <w:r>
              <w:rPr>
                <w:rFonts w:hint="eastAsia" w:ascii="宋体" w:hAnsi="宋体" w:eastAsia="宋体" w:cs="宋体"/>
                <w:color w:val="000000"/>
                <w:spacing w:val="-11"/>
                <w:sz w:val="24"/>
                <w:szCs w:val="28"/>
                <w:lang w:val="en-US" w:eastAsia="zh-CN"/>
              </w:rPr>
              <w:t>元/（吨•公里</w:t>
            </w:r>
            <w:r>
              <w:rPr>
                <w:rFonts w:hint="eastAsia" w:ascii="宋体" w:hAnsi="宋体" w:eastAsia="宋体" w:cs="宋体"/>
                <w:color w:val="000000"/>
                <w:spacing w:val="-11"/>
                <w:sz w:val="24"/>
                <w:szCs w:val="28"/>
              </w:rPr>
              <w:t>）</w:t>
            </w:r>
            <w:r>
              <w:rPr>
                <w:rFonts w:hint="eastAsia" w:ascii="宋体" w:hAnsi="宋体" w:eastAsia="宋体" w:cs="宋体"/>
                <w:color w:val="000000"/>
                <w:spacing w:val="-11"/>
                <w:sz w:val="24"/>
                <w:szCs w:val="28"/>
                <w:lang w:eastAsia="zh-CN"/>
              </w:rPr>
              <w:t>）</w:t>
            </w:r>
          </w:p>
        </w:tc>
        <w:tc>
          <w:tcPr>
            <w:tcW w:w="6587" w:type="dxa"/>
            <w:shd w:val="clear" w:color="auto" w:fill="auto"/>
            <w:vAlign w:val="center"/>
          </w:tcPr>
          <w:p w14:paraId="0C56D7CA">
            <w:pPr>
              <w:pStyle w:val="10"/>
              <w:ind w:firstLine="720" w:firstLineChars="300"/>
              <w:rPr>
                <w:rFonts w:hint="eastAsia" w:ascii="宋体" w:hAnsi="宋体" w:eastAsia="宋体" w:cs="宋体"/>
                <w:color w:val="000000"/>
                <w:sz w:val="24"/>
                <w:szCs w:val="28"/>
                <w:u w:val="single"/>
              </w:rPr>
            </w:pPr>
            <w:r>
              <w:rPr>
                <w:rFonts w:hint="eastAsia" w:ascii="宋体" w:hAnsi="宋体" w:eastAsia="宋体" w:cs="宋体"/>
                <w:color w:val="000000"/>
                <w:sz w:val="24"/>
                <w:szCs w:val="28"/>
              </w:rPr>
              <w:t>人民币（小写）：</w:t>
            </w:r>
            <w:r>
              <w:rPr>
                <w:rFonts w:hint="eastAsia" w:ascii="宋体" w:hAnsi="宋体" w:eastAsia="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622" w:type="dxa"/>
            <w:shd w:val="clear" w:color="auto" w:fill="auto"/>
            <w:vAlign w:val="center"/>
          </w:tcPr>
          <w:p w14:paraId="10BA4E24">
            <w:pPr>
              <w:pStyle w:val="10"/>
              <w:jc w:val="center"/>
              <w:rPr>
                <w:rFonts w:hint="eastAsia" w:ascii="宋体" w:hAnsi="宋体" w:eastAsia="宋体" w:cs="宋体"/>
                <w:color w:val="000000"/>
                <w:sz w:val="24"/>
                <w:szCs w:val="28"/>
                <w:u w:val="single"/>
              </w:rPr>
            </w:pPr>
            <w:r>
              <w:rPr>
                <w:rFonts w:hint="eastAsia" w:ascii="宋体" w:hAnsi="宋体" w:eastAsia="宋体" w:cs="宋体"/>
                <w:color w:val="000000"/>
                <w:sz w:val="24"/>
                <w:szCs w:val="28"/>
                <w:lang w:val="en-US" w:eastAsia="zh-CN"/>
              </w:rPr>
              <w:t>完成</w:t>
            </w:r>
            <w:r>
              <w:rPr>
                <w:rFonts w:hint="eastAsia" w:ascii="宋体" w:hAnsi="宋体" w:eastAsia="宋体" w:cs="宋体"/>
                <w:color w:val="000000"/>
                <w:sz w:val="24"/>
                <w:szCs w:val="28"/>
              </w:rPr>
              <w:t>时间</w:t>
            </w:r>
          </w:p>
        </w:tc>
        <w:tc>
          <w:tcPr>
            <w:tcW w:w="6587" w:type="dxa"/>
            <w:shd w:val="clear" w:color="auto" w:fill="auto"/>
            <w:vAlign w:val="center"/>
          </w:tcPr>
          <w:p w14:paraId="56546C9B">
            <w:pPr>
              <w:autoSpaceDE/>
              <w:autoSpaceDN/>
              <w:adjustRightInd/>
              <w:jc w:val="center"/>
              <w:rPr>
                <w:rFonts w:hint="eastAsia" w:ascii="宋体" w:hAnsi="宋体" w:eastAsia="宋体" w:cs="宋体"/>
                <w:bCs/>
                <w:color w:val="000000"/>
                <w:lang w:val="en-US" w:eastAsia="zh-CN"/>
              </w:rPr>
            </w:pPr>
            <w:r>
              <w:rPr>
                <w:rFonts w:hint="eastAsia" w:ascii="宋体" w:hAnsi="宋体" w:eastAsia="宋体" w:cs="宋体"/>
                <w:bCs/>
                <w:color w:val="000000"/>
                <w:szCs w:val="21"/>
              </w:rPr>
              <w:t>详见用户需求书</w:t>
            </w:r>
            <w:r>
              <w:rPr>
                <w:rFonts w:hint="eastAsia" w:ascii="宋体" w:hAnsi="宋体" w:eastAsia="宋体" w:cs="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622" w:type="dxa"/>
            <w:shd w:val="clear" w:color="auto" w:fill="auto"/>
            <w:vAlign w:val="center"/>
          </w:tcPr>
          <w:p w14:paraId="02896F36">
            <w:pPr>
              <w:pStyle w:val="10"/>
              <w:jc w:val="center"/>
              <w:rPr>
                <w:rFonts w:hint="eastAsia" w:ascii="宋体" w:hAnsi="宋体" w:eastAsia="宋体" w:cs="宋体"/>
                <w:color w:val="000000"/>
                <w:sz w:val="24"/>
                <w:szCs w:val="28"/>
              </w:rPr>
            </w:pPr>
            <w:r>
              <w:rPr>
                <w:rFonts w:hint="eastAsia" w:ascii="宋体" w:hAnsi="宋体" w:eastAsia="宋体" w:cs="宋体"/>
                <w:color w:val="000000"/>
                <w:sz w:val="24"/>
                <w:szCs w:val="28"/>
              </w:rPr>
              <w:t>报价人纳税类型</w:t>
            </w:r>
          </w:p>
        </w:tc>
        <w:tc>
          <w:tcPr>
            <w:tcW w:w="6587" w:type="dxa"/>
            <w:shd w:val="clear" w:color="auto" w:fill="auto"/>
            <w:vAlign w:val="center"/>
          </w:tcPr>
          <w:p w14:paraId="6D7C2F2D">
            <w:pPr>
              <w:autoSpaceDE/>
              <w:autoSpaceDN/>
              <w:adjustRightInd/>
              <w:ind w:firstLine="1800" w:firstLineChars="750"/>
              <w:rPr>
                <w:rFonts w:hint="eastAsia" w:ascii="宋体" w:hAnsi="宋体" w:eastAsia="宋体" w:cs="宋体"/>
                <w:szCs w:val="28"/>
              </w:rPr>
            </w:pPr>
            <w:r>
              <w:rPr>
                <w:rFonts w:hint="eastAsia" w:ascii="宋体" w:hAnsi="宋体" w:eastAsia="宋体" w:cs="宋体"/>
                <w:szCs w:val="28"/>
              </w:rPr>
              <w:t>□ 一般纳税人</w:t>
            </w:r>
          </w:p>
          <w:p w14:paraId="502AB2E8">
            <w:pPr>
              <w:autoSpaceDE/>
              <w:autoSpaceDN/>
              <w:adjustRightInd/>
              <w:ind w:firstLine="1800" w:firstLineChars="750"/>
              <w:rPr>
                <w:rFonts w:hint="eastAsia" w:ascii="宋体" w:hAnsi="宋体" w:eastAsia="宋体" w:cs="宋体"/>
                <w:szCs w:val="28"/>
              </w:rPr>
            </w:pPr>
            <w:r>
              <w:rPr>
                <w:rFonts w:hint="eastAsia" w:ascii="宋体" w:hAnsi="宋体" w:eastAsia="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622" w:type="dxa"/>
            <w:shd w:val="clear" w:color="auto" w:fill="auto"/>
            <w:vAlign w:val="center"/>
          </w:tcPr>
          <w:p w14:paraId="52515877">
            <w:pPr>
              <w:pStyle w:val="10"/>
              <w:jc w:val="center"/>
              <w:rPr>
                <w:rFonts w:hint="eastAsia" w:ascii="宋体" w:hAnsi="宋体" w:eastAsia="宋体" w:cs="宋体"/>
                <w:color w:val="000000"/>
                <w:sz w:val="24"/>
                <w:szCs w:val="28"/>
              </w:rPr>
            </w:pPr>
            <w:r>
              <w:rPr>
                <w:rFonts w:hint="eastAsia" w:ascii="宋体" w:hAnsi="宋体" w:eastAsia="宋体" w:cs="宋体"/>
                <w:color w:val="000000"/>
                <w:sz w:val="24"/>
                <w:szCs w:val="28"/>
              </w:rPr>
              <w:t>报价人提供的增值税专用发票的税率</w:t>
            </w:r>
          </w:p>
        </w:tc>
        <w:tc>
          <w:tcPr>
            <w:tcW w:w="6587" w:type="dxa"/>
            <w:shd w:val="clear" w:color="auto" w:fill="auto"/>
            <w:vAlign w:val="center"/>
          </w:tcPr>
          <w:p w14:paraId="15BBBEC0">
            <w:pPr>
              <w:autoSpaceDE/>
              <w:autoSpaceDN/>
              <w:adjustRightInd/>
              <w:jc w:val="center"/>
              <w:rPr>
                <w:rFonts w:hint="eastAsia" w:ascii="宋体" w:hAnsi="宋体" w:eastAsia="宋体" w:cs="宋体"/>
                <w:szCs w:val="28"/>
              </w:rPr>
            </w:pPr>
            <w:r>
              <w:rPr>
                <w:rFonts w:hint="eastAsia" w:ascii="宋体" w:hAnsi="宋体" w:eastAsia="宋体" w:cs="宋体"/>
                <w:szCs w:val="28"/>
                <w:u w:val="single"/>
              </w:rPr>
              <w:t xml:space="preserve">     </w:t>
            </w:r>
            <w:r>
              <w:rPr>
                <w:rFonts w:hint="eastAsia" w:ascii="宋体" w:hAnsi="宋体" w:eastAsia="宋体" w:cs="宋体"/>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2622" w:type="dxa"/>
            <w:shd w:val="clear" w:color="auto" w:fill="auto"/>
            <w:vAlign w:val="center"/>
          </w:tcPr>
          <w:p w14:paraId="0FDBB976">
            <w:pPr>
              <w:pStyle w:val="1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6587" w:type="dxa"/>
            <w:shd w:val="clear" w:color="auto" w:fill="auto"/>
            <w:vAlign w:val="center"/>
          </w:tcPr>
          <w:p w14:paraId="7B668F06">
            <w:pPr>
              <w:numPr>
                <w:ilvl w:val="0"/>
                <w:numId w:val="2"/>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本次所报价格为不含销项税额，包含供应商销项税额以外的税费及完成本项目所需的全部费用。</w:t>
            </w:r>
          </w:p>
          <w:p w14:paraId="2889CAFF">
            <w:pPr>
              <w:numPr>
                <w:ilvl w:val="0"/>
                <w:numId w:val="2"/>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不含税</w:t>
            </w:r>
            <w:r>
              <w:rPr>
                <w:rFonts w:hint="eastAsia" w:ascii="宋体" w:hAnsi="宋体" w:eastAsia="宋体" w:cs="宋体"/>
                <w:b w:val="0"/>
                <w:bCs w:val="0"/>
                <w:lang w:val="en-US" w:eastAsia="zh-CN"/>
              </w:rPr>
              <w:t>综合单价</w:t>
            </w:r>
            <w:r>
              <w:rPr>
                <w:rFonts w:hint="eastAsia" w:ascii="宋体" w:hAnsi="宋体" w:eastAsia="宋体" w:cs="宋体"/>
                <w:b w:val="0"/>
                <w:bCs w:val="0"/>
              </w:rPr>
              <w:t>不得高于不含税</w:t>
            </w:r>
            <w:r>
              <w:rPr>
                <w:rFonts w:hint="eastAsia" w:ascii="宋体" w:hAnsi="宋体" w:eastAsia="宋体" w:cs="宋体"/>
                <w:b w:val="0"/>
                <w:bCs w:val="0"/>
                <w:lang w:val="en-US" w:eastAsia="zh-CN"/>
              </w:rPr>
              <w:t>的</w:t>
            </w:r>
            <w:r>
              <w:rPr>
                <w:rFonts w:hint="eastAsia" w:ascii="宋体" w:hAnsi="宋体" w:eastAsia="宋体" w:cs="宋体"/>
                <w:b w:val="0"/>
                <w:bCs w:val="0"/>
              </w:rPr>
              <w:t>最高限价（</w:t>
            </w:r>
            <w:r>
              <w:rPr>
                <w:rFonts w:hint="eastAsia" w:ascii="宋体" w:hAnsi="宋体" w:eastAsia="宋体" w:cs="宋体"/>
                <w:b/>
                <w:bCs/>
                <w:lang w:val="en-US" w:eastAsia="zh-CN"/>
              </w:rPr>
              <w:t>0.79</w:t>
            </w:r>
            <w:r>
              <w:rPr>
                <w:rFonts w:hint="eastAsia" w:ascii="宋体" w:hAnsi="宋体" w:eastAsia="宋体" w:cs="宋体"/>
                <w:b/>
                <w:bCs/>
                <w:color w:val="auto"/>
                <w:lang w:val="en-US" w:eastAsia="zh-CN"/>
              </w:rPr>
              <w:t>元/（吨•公里）</w:t>
            </w:r>
            <w:r>
              <w:rPr>
                <w:rFonts w:hint="eastAsia" w:ascii="宋体" w:hAnsi="宋体" w:eastAsia="宋体" w:cs="宋体"/>
                <w:b w:val="0"/>
                <w:bCs w:val="0"/>
              </w:rPr>
              <w:t>），否则视为无效报价。</w:t>
            </w:r>
          </w:p>
          <w:p w14:paraId="493D6F2E">
            <w:pPr>
              <w:numPr>
                <w:ilvl w:val="0"/>
                <w:numId w:val="2"/>
              </w:numPr>
              <w:autoSpaceDE/>
              <w:autoSpaceDN/>
              <w:adjustRightInd/>
              <w:jc w:val="both"/>
              <w:rPr>
                <w:rFonts w:hint="eastAsia" w:ascii="宋体" w:hAnsi="宋体" w:eastAsia="宋体" w:cs="宋体"/>
                <w:b/>
                <w:bCs/>
              </w:rPr>
            </w:pPr>
            <w:r>
              <w:rPr>
                <w:rFonts w:hint="eastAsia" w:ascii="宋体" w:hAnsi="宋体" w:eastAsia="宋体" w:cs="宋体"/>
                <w:b w:val="0"/>
                <w:bCs w:val="0"/>
              </w:rPr>
              <w:t>上述报价数值如需保留小数点后2位，从小数点后第3位四舍五入。</w:t>
            </w:r>
          </w:p>
        </w:tc>
      </w:tr>
    </w:tbl>
    <w:p w14:paraId="0B834D7A">
      <w:pPr>
        <w:pStyle w:val="10"/>
        <w:spacing w:line="360" w:lineRule="auto"/>
        <w:rPr>
          <w:rFonts w:hint="eastAsia" w:ascii="宋体" w:hAnsi="宋体" w:eastAsia="宋体" w:cs="宋体"/>
          <w:color w:val="000000"/>
          <w:sz w:val="24"/>
          <w:szCs w:val="24"/>
        </w:rPr>
      </w:pPr>
    </w:p>
    <w:p w14:paraId="473FFF10">
      <w:pPr>
        <w:pStyle w:val="1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联系人：                          联系电话：</w:t>
      </w:r>
    </w:p>
    <w:p w14:paraId="4B334444">
      <w:pPr>
        <w:wordWrap w:val="0"/>
        <w:spacing w:line="360" w:lineRule="auto"/>
        <w:jc w:val="right"/>
        <w:rPr>
          <w:rFonts w:hint="eastAsia" w:ascii="宋体" w:hAnsi="宋体" w:eastAsia="宋体" w:cs="宋体"/>
          <w:color w:val="000000"/>
          <w:kern w:val="2"/>
          <w:szCs w:val="28"/>
          <w:lang w:val="zh-CN"/>
        </w:rPr>
      </w:pPr>
    </w:p>
    <w:p w14:paraId="31D85A31">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eastAsia="宋体"/>
          <w:lang w:val="en-US" w:eastAsia="zh-CN"/>
        </w:rPr>
      </w:pPr>
      <w:r>
        <w:rPr>
          <w:rFonts w:hint="eastAsia"/>
          <w:lang w:val="en-US" w:eastAsia="zh-CN"/>
        </w:rPr>
        <w:t>联系邮箱：                        联系地址：</w:t>
      </w:r>
    </w:p>
    <w:p w14:paraId="0A42F9A4">
      <w:pPr>
        <w:wordWrap w:val="0"/>
        <w:spacing w:line="360" w:lineRule="auto"/>
        <w:jc w:val="right"/>
        <w:rPr>
          <w:rFonts w:hint="eastAsia" w:ascii="宋体" w:hAnsi="宋体" w:eastAsia="宋体" w:cs="宋体"/>
          <w:color w:val="000000"/>
          <w:kern w:val="2"/>
          <w:szCs w:val="28"/>
          <w:lang w:val="zh-CN"/>
        </w:rPr>
      </w:pPr>
    </w:p>
    <w:p w14:paraId="22A90812">
      <w:pPr>
        <w:wordWrap w:val="0"/>
        <w:spacing w:line="360" w:lineRule="auto"/>
        <w:jc w:val="right"/>
        <w:rPr>
          <w:rFonts w:hint="eastAsia" w:ascii="宋体" w:hAnsi="宋体" w:eastAsia="宋体" w:cs="宋体"/>
          <w:color w:val="000000"/>
          <w:kern w:val="2"/>
          <w:szCs w:val="28"/>
        </w:rPr>
      </w:pPr>
      <w:r>
        <w:rPr>
          <w:rFonts w:hint="eastAsia" w:ascii="宋体" w:hAnsi="宋体" w:eastAsia="宋体" w:cs="宋体"/>
          <w:color w:val="000000"/>
          <w:kern w:val="2"/>
          <w:szCs w:val="28"/>
          <w:lang w:val="zh-CN"/>
        </w:rPr>
        <w:t>报价人：（</w:t>
      </w:r>
      <w:r>
        <w:rPr>
          <w:rFonts w:hint="eastAsia" w:ascii="宋体" w:hAnsi="宋体" w:eastAsia="宋体" w:cs="宋体"/>
          <w:color w:val="000000"/>
          <w:kern w:val="2"/>
          <w:szCs w:val="28"/>
          <w:lang w:val="zh-CN" w:eastAsia="zh-CN"/>
        </w:rPr>
        <w:t>加盖公章</w:t>
      </w:r>
      <w:r>
        <w:rPr>
          <w:rFonts w:hint="eastAsia" w:ascii="宋体" w:hAnsi="宋体" w:eastAsia="宋体" w:cs="宋体"/>
          <w:color w:val="000000"/>
          <w:kern w:val="2"/>
          <w:szCs w:val="28"/>
          <w:lang w:val="zh-CN"/>
        </w:rPr>
        <w:t>）</w:t>
      </w:r>
      <w:r>
        <w:rPr>
          <w:rFonts w:hint="eastAsia" w:ascii="宋体" w:hAnsi="宋体" w:eastAsia="宋体" w:cs="宋体"/>
          <w:color w:val="000000"/>
          <w:kern w:val="2"/>
          <w:szCs w:val="28"/>
        </w:rPr>
        <w:t xml:space="preserve">       </w:t>
      </w:r>
    </w:p>
    <w:p w14:paraId="49A74F83">
      <w:pPr>
        <w:spacing w:line="360" w:lineRule="auto"/>
        <w:jc w:val="center"/>
        <w:rPr>
          <w:rFonts w:hint="eastAsia" w:ascii="宋体" w:hAnsi="宋体" w:eastAsia="宋体" w:cs="宋体"/>
          <w:color w:val="000000"/>
          <w:kern w:val="2"/>
          <w:szCs w:val="28"/>
          <w:lang w:val="zh-CN"/>
        </w:rPr>
      </w:pPr>
      <w:r>
        <w:rPr>
          <w:rFonts w:hint="eastAsia" w:ascii="宋体" w:hAnsi="宋体" w:eastAsia="宋体" w:cs="宋体"/>
          <w:color w:val="000000"/>
          <w:kern w:val="2"/>
          <w:szCs w:val="28"/>
          <w:lang w:val="en-US" w:eastAsia="zh-CN"/>
        </w:rPr>
        <w:t xml:space="preserve">                                     </w:t>
      </w:r>
      <w:r>
        <w:rPr>
          <w:rFonts w:hint="eastAsia" w:ascii="宋体" w:hAnsi="宋体" w:eastAsia="宋体" w:cs="宋体"/>
          <w:color w:val="000000"/>
          <w:kern w:val="2"/>
          <w:szCs w:val="28"/>
          <w:lang w:val="zh-CN"/>
        </w:rPr>
        <w:t>日期：   年    月   日</w:t>
      </w:r>
    </w:p>
    <w:p w14:paraId="4CE43B83">
      <w:pPr>
        <w:numPr>
          <w:ilvl w:val="0"/>
          <w:numId w:val="0"/>
        </w:num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项目响应声明</w:t>
      </w:r>
    </w:p>
    <w:p w14:paraId="2240E8BA">
      <w:pPr>
        <w:spacing w:line="360" w:lineRule="auto"/>
        <w:jc w:val="center"/>
        <w:rPr>
          <w:rFonts w:hint="eastAsia" w:ascii="宋体" w:hAnsi="宋体" w:eastAsia="宋体" w:cs="宋体"/>
          <w:b/>
          <w:color w:val="000000"/>
          <w:sz w:val="28"/>
          <w:szCs w:val="28"/>
        </w:rPr>
      </w:pPr>
      <w:bookmarkStart w:id="10" w:name="_Hlk26973180"/>
      <w:r>
        <w:rPr>
          <w:rFonts w:hint="eastAsia" w:ascii="宋体" w:hAnsi="宋体" w:eastAsia="宋体" w:cs="宋体"/>
          <w:b/>
          <w:color w:val="000000"/>
          <w:sz w:val="28"/>
          <w:szCs w:val="28"/>
        </w:rPr>
        <w:t>响应声明</w:t>
      </w:r>
    </w:p>
    <w:bookmarkEnd w:id="10"/>
    <w:p w14:paraId="5464570B">
      <w:pPr>
        <w:spacing w:line="360" w:lineRule="auto"/>
        <w:ind w:firstLine="480" w:firstLineChars="200"/>
        <w:rPr>
          <w:rFonts w:hint="eastAsia" w:ascii="宋体" w:hAnsi="宋体" w:eastAsia="宋体" w:cs="宋体"/>
        </w:rPr>
      </w:pPr>
      <w:bookmarkStart w:id="11" w:name="_Toc534701786"/>
      <w:bookmarkStart w:id="12" w:name="_Toc513226437"/>
      <w:bookmarkStart w:id="13" w:name="_Toc534278252"/>
      <w:r>
        <w:rPr>
          <w:rFonts w:hint="eastAsia" w:ascii="宋体" w:hAnsi="宋体" w:eastAsia="宋体" w:cs="宋体"/>
        </w:rPr>
        <w:t>我方已详细查阅了询价文件的所有内容，对询价文件中的“第二章 用户需求”和“第三章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 取消二年内参加东莞市水务环境投资控股集团净水有限公司采购项目的报价资格。</w:t>
      </w:r>
    </w:p>
    <w:p w14:paraId="363D71A1">
      <w:pPr>
        <w:spacing w:line="360" w:lineRule="auto"/>
        <w:ind w:firstLine="480" w:firstLineChars="200"/>
        <w:rPr>
          <w:rFonts w:hint="eastAsia" w:ascii="宋体" w:hAnsi="宋体" w:eastAsia="宋体" w:cs="宋体"/>
        </w:rPr>
      </w:pPr>
      <w:r>
        <w:rPr>
          <w:rFonts w:hint="eastAsia" w:ascii="宋体" w:hAnsi="宋体" w:eastAsia="宋体" w:cs="宋体"/>
        </w:rPr>
        <w:t>特此声明。</w:t>
      </w:r>
    </w:p>
    <w:p w14:paraId="032256CA">
      <w:pPr>
        <w:spacing w:line="360" w:lineRule="auto"/>
        <w:ind w:firstLine="480" w:firstLineChars="200"/>
        <w:rPr>
          <w:rFonts w:hint="eastAsia" w:ascii="宋体" w:hAnsi="宋体" w:eastAsia="宋体" w:cs="宋体"/>
        </w:rPr>
      </w:pPr>
    </w:p>
    <w:p w14:paraId="6B38E873">
      <w:pPr>
        <w:spacing w:line="360" w:lineRule="auto"/>
        <w:ind w:firstLine="480" w:firstLineChars="200"/>
        <w:rPr>
          <w:rFonts w:hint="eastAsia" w:ascii="宋体" w:hAnsi="宋体" w:eastAsia="宋体" w:cs="宋体"/>
        </w:rPr>
      </w:pPr>
    </w:p>
    <w:p w14:paraId="4D5065B6">
      <w:pPr>
        <w:spacing w:line="360" w:lineRule="auto"/>
        <w:ind w:firstLine="5280" w:firstLineChars="2200"/>
        <w:rPr>
          <w:rFonts w:hint="eastAsia" w:ascii="宋体" w:hAnsi="宋体" w:eastAsia="宋体" w:cs="宋体"/>
        </w:rPr>
      </w:pPr>
      <w:r>
        <w:rPr>
          <w:rFonts w:hint="eastAsia" w:ascii="宋体" w:hAnsi="宋体" w:eastAsia="宋体" w:cs="宋体"/>
        </w:rPr>
        <w:t>报价人：（</w:t>
      </w:r>
      <w:r>
        <w:rPr>
          <w:rFonts w:hint="eastAsia" w:ascii="宋体" w:hAnsi="宋体" w:eastAsia="宋体" w:cs="宋体"/>
          <w:lang w:val="en-US" w:eastAsia="zh-CN"/>
        </w:rPr>
        <w:t>加盖公章</w:t>
      </w:r>
      <w:r>
        <w:rPr>
          <w:rFonts w:hint="eastAsia" w:ascii="宋体" w:hAnsi="宋体" w:eastAsia="宋体" w:cs="宋体"/>
        </w:rPr>
        <w:t>）</w:t>
      </w:r>
    </w:p>
    <w:p w14:paraId="061077E0">
      <w:pPr>
        <w:spacing w:line="360" w:lineRule="auto"/>
        <w:ind w:firstLine="5280" w:firstLineChars="2200"/>
        <w:rPr>
          <w:rFonts w:hint="eastAsia" w:ascii="宋体" w:hAnsi="宋体" w:eastAsia="宋体" w:cs="宋体"/>
        </w:rPr>
      </w:pPr>
      <w:r>
        <w:rPr>
          <w:rFonts w:hint="eastAsia" w:ascii="宋体" w:hAnsi="宋体" w:eastAsia="宋体" w:cs="宋体"/>
        </w:rPr>
        <w:t>日期：    年    月    日</w:t>
      </w:r>
    </w:p>
    <w:p w14:paraId="5643C88B">
      <w:pPr>
        <w:spacing w:line="360" w:lineRule="auto"/>
        <w:rPr>
          <w:rFonts w:hint="eastAsia" w:ascii="宋体" w:hAnsi="宋体" w:eastAsia="宋体" w:cs="宋体"/>
        </w:rPr>
      </w:pPr>
    </w:p>
    <w:p w14:paraId="3178459A">
      <w:pPr>
        <w:spacing w:line="360" w:lineRule="auto"/>
        <w:rPr>
          <w:rFonts w:hint="eastAsia" w:ascii="宋体" w:hAnsi="宋体" w:eastAsia="宋体" w:cs="宋体"/>
          <w:b/>
          <w:bCs/>
          <w:color w:val="000000"/>
          <w:sz w:val="21"/>
          <w:szCs w:val="21"/>
        </w:rPr>
      </w:pPr>
    </w:p>
    <w:p w14:paraId="74517536">
      <w:pPr>
        <w:spacing w:line="360" w:lineRule="auto"/>
        <w:rPr>
          <w:rFonts w:hint="eastAsia" w:ascii="宋体" w:hAnsi="宋体" w:eastAsia="宋体" w:cs="宋体"/>
          <w:b/>
          <w:bCs/>
          <w:color w:val="000000"/>
          <w:sz w:val="21"/>
          <w:szCs w:val="21"/>
        </w:rPr>
      </w:pPr>
    </w:p>
    <w:p w14:paraId="76C6C981">
      <w:pPr>
        <w:spacing w:line="360" w:lineRule="auto"/>
        <w:rPr>
          <w:rFonts w:hint="eastAsia" w:ascii="宋体" w:hAnsi="宋体" w:eastAsia="宋体" w:cs="宋体"/>
          <w:b/>
          <w:bCs/>
          <w:color w:val="000000"/>
          <w:sz w:val="21"/>
          <w:szCs w:val="21"/>
        </w:rPr>
      </w:pPr>
    </w:p>
    <w:p w14:paraId="5F72A6F0">
      <w:pPr>
        <w:spacing w:line="360" w:lineRule="auto"/>
        <w:rPr>
          <w:rFonts w:hint="eastAsia" w:ascii="宋体" w:hAnsi="宋体" w:eastAsia="宋体" w:cs="宋体"/>
          <w:b/>
          <w:bCs/>
          <w:color w:val="000000"/>
          <w:sz w:val="21"/>
          <w:szCs w:val="21"/>
        </w:rPr>
      </w:pPr>
    </w:p>
    <w:p w14:paraId="6CD02EA0">
      <w:pPr>
        <w:spacing w:line="360" w:lineRule="auto"/>
        <w:rPr>
          <w:rFonts w:hint="eastAsia" w:ascii="宋体" w:hAnsi="宋体" w:eastAsia="宋体" w:cs="宋体"/>
          <w:b/>
          <w:bCs/>
          <w:color w:val="000000"/>
          <w:sz w:val="21"/>
          <w:szCs w:val="21"/>
        </w:rPr>
      </w:pPr>
    </w:p>
    <w:p w14:paraId="77BE3AC2">
      <w:pPr>
        <w:spacing w:line="360" w:lineRule="auto"/>
        <w:rPr>
          <w:rFonts w:hint="eastAsia" w:ascii="宋体" w:hAnsi="宋体" w:eastAsia="宋体" w:cs="宋体"/>
          <w:b/>
          <w:bCs/>
          <w:color w:val="000000"/>
          <w:sz w:val="21"/>
          <w:szCs w:val="21"/>
        </w:rPr>
      </w:pPr>
    </w:p>
    <w:p w14:paraId="35499DB9">
      <w:pPr>
        <w:spacing w:line="360" w:lineRule="auto"/>
        <w:rPr>
          <w:rFonts w:hint="eastAsia" w:ascii="宋体" w:hAnsi="宋体" w:eastAsia="宋体" w:cs="宋体"/>
          <w:b/>
          <w:bCs/>
          <w:color w:val="000000"/>
          <w:sz w:val="21"/>
          <w:szCs w:val="21"/>
        </w:rPr>
      </w:pPr>
    </w:p>
    <w:p w14:paraId="2B4C281F">
      <w:pPr>
        <w:spacing w:line="360" w:lineRule="auto"/>
        <w:rPr>
          <w:rFonts w:hint="eastAsia" w:ascii="宋体" w:hAnsi="宋体" w:eastAsia="宋体" w:cs="宋体"/>
          <w:b/>
          <w:bCs/>
          <w:color w:val="000000"/>
          <w:sz w:val="21"/>
          <w:szCs w:val="21"/>
        </w:rPr>
      </w:pPr>
    </w:p>
    <w:p w14:paraId="48C18F08">
      <w:pPr>
        <w:spacing w:line="360" w:lineRule="auto"/>
        <w:rPr>
          <w:rFonts w:hint="eastAsia" w:ascii="宋体" w:hAnsi="宋体" w:eastAsia="宋体" w:cs="宋体"/>
          <w:b/>
          <w:bCs/>
          <w:color w:val="000000"/>
          <w:sz w:val="21"/>
          <w:szCs w:val="21"/>
        </w:rPr>
      </w:pPr>
    </w:p>
    <w:p w14:paraId="6448200A">
      <w:pPr>
        <w:bidi w:val="0"/>
        <w:rPr>
          <w:rFonts w:hint="eastAsia" w:ascii="宋体" w:hAnsi="宋体" w:eastAsia="宋体" w:cs="宋体"/>
        </w:rPr>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3.营业执照</w:t>
      </w:r>
    </w:p>
    <w:p w14:paraId="029FED8F">
      <w:pPr>
        <w:bidi w:val="0"/>
        <w:rPr>
          <w:rFonts w:hint="eastAsia" w:ascii="宋体" w:hAnsi="宋体" w:eastAsia="宋体" w:cs="宋体"/>
        </w:rPr>
      </w:pPr>
    </w:p>
    <w:p w14:paraId="17C4C265">
      <w:pPr>
        <w:bidi w:val="0"/>
        <w:rPr>
          <w:rFonts w:hint="eastAsia" w:ascii="宋体" w:hAnsi="宋体" w:eastAsia="宋体" w:cs="宋体"/>
        </w:rPr>
      </w:pPr>
    </w:p>
    <w:p w14:paraId="60D6FDA0">
      <w:pPr>
        <w:bidi w:val="0"/>
        <w:rPr>
          <w:rFonts w:hint="eastAsia" w:ascii="宋体" w:hAnsi="宋体" w:eastAsia="宋体" w:cs="宋体"/>
        </w:rPr>
      </w:pPr>
    </w:p>
    <w:p w14:paraId="78082535">
      <w:pPr>
        <w:bidi w:val="0"/>
        <w:rPr>
          <w:rFonts w:hint="eastAsia" w:ascii="宋体" w:hAnsi="宋体" w:eastAsia="宋体" w:cs="宋体"/>
        </w:rPr>
      </w:pPr>
    </w:p>
    <w:p w14:paraId="50015BD8">
      <w:pPr>
        <w:bidi w:val="0"/>
        <w:rPr>
          <w:rFonts w:hint="eastAsia" w:ascii="宋体" w:hAnsi="宋体" w:eastAsia="宋体" w:cs="宋体"/>
        </w:rPr>
      </w:pPr>
    </w:p>
    <w:p w14:paraId="49363A27">
      <w:pPr>
        <w:bidi w:val="0"/>
        <w:rPr>
          <w:rFonts w:hint="eastAsia" w:ascii="宋体" w:hAnsi="宋体" w:eastAsia="宋体" w:cs="宋体"/>
        </w:rPr>
      </w:pPr>
    </w:p>
    <w:p w14:paraId="21E27018">
      <w:pPr>
        <w:bidi w:val="0"/>
        <w:rPr>
          <w:rFonts w:hint="eastAsia" w:ascii="宋体" w:hAnsi="宋体" w:eastAsia="宋体" w:cs="宋体"/>
        </w:rPr>
      </w:pPr>
    </w:p>
    <w:p w14:paraId="423E8DBC">
      <w:pPr>
        <w:bidi w:val="0"/>
        <w:rPr>
          <w:rFonts w:hint="eastAsia" w:ascii="宋体" w:hAnsi="宋体" w:eastAsia="宋体" w:cs="宋体"/>
        </w:rPr>
      </w:pPr>
    </w:p>
    <w:p w14:paraId="758CDF07">
      <w:pPr>
        <w:bidi w:val="0"/>
        <w:rPr>
          <w:rFonts w:hint="eastAsia" w:ascii="宋体" w:hAnsi="宋体" w:eastAsia="宋体" w:cs="宋体"/>
        </w:rPr>
      </w:pPr>
    </w:p>
    <w:p w14:paraId="0A9763F4">
      <w:pPr>
        <w:bidi w:val="0"/>
        <w:rPr>
          <w:rFonts w:hint="eastAsia" w:ascii="宋体" w:hAnsi="宋体" w:eastAsia="宋体" w:cs="宋体"/>
        </w:rPr>
      </w:pPr>
    </w:p>
    <w:p w14:paraId="080A5FE8">
      <w:pPr>
        <w:bidi w:val="0"/>
        <w:rPr>
          <w:rFonts w:hint="eastAsia" w:ascii="宋体" w:hAnsi="宋体" w:eastAsia="宋体" w:cs="宋体"/>
        </w:rPr>
      </w:pPr>
    </w:p>
    <w:p w14:paraId="17742FEB">
      <w:pPr>
        <w:bidi w:val="0"/>
        <w:rPr>
          <w:rFonts w:hint="eastAsia" w:ascii="宋体" w:hAnsi="宋体" w:eastAsia="宋体" w:cs="宋体"/>
        </w:rPr>
      </w:pPr>
    </w:p>
    <w:p w14:paraId="23A2A6F4">
      <w:pPr>
        <w:bidi w:val="0"/>
        <w:rPr>
          <w:rFonts w:hint="eastAsia" w:ascii="宋体" w:hAnsi="宋体" w:eastAsia="宋体" w:cs="宋体"/>
        </w:rPr>
      </w:pPr>
    </w:p>
    <w:p w14:paraId="0C7A01B1">
      <w:pPr>
        <w:bidi w:val="0"/>
        <w:rPr>
          <w:rFonts w:hint="eastAsia" w:ascii="宋体" w:hAnsi="宋体" w:eastAsia="宋体" w:cs="宋体"/>
        </w:rPr>
      </w:pPr>
    </w:p>
    <w:p w14:paraId="1B417F84">
      <w:pPr>
        <w:bidi w:val="0"/>
        <w:rPr>
          <w:rFonts w:hint="eastAsia" w:ascii="宋体" w:hAnsi="宋体" w:eastAsia="宋体" w:cs="宋体"/>
        </w:rPr>
      </w:pPr>
    </w:p>
    <w:p w14:paraId="6A21C9E1">
      <w:pPr>
        <w:bidi w:val="0"/>
        <w:rPr>
          <w:rFonts w:hint="eastAsia" w:ascii="宋体" w:hAnsi="宋体" w:eastAsia="宋体" w:cs="宋体"/>
        </w:rPr>
      </w:pPr>
    </w:p>
    <w:p w14:paraId="3F6E2F33">
      <w:pPr>
        <w:bidi w:val="0"/>
        <w:rPr>
          <w:rFonts w:hint="eastAsia" w:ascii="宋体" w:hAnsi="宋体" w:eastAsia="宋体" w:cs="宋体"/>
        </w:rPr>
      </w:pPr>
    </w:p>
    <w:p w14:paraId="6AAA54DE">
      <w:pPr>
        <w:bidi w:val="0"/>
        <w:rPr>
          <w:rFonts w:hint="eastAsia" w:ascii="宋体" w:hAnsi="宋体" w:eastAsia="宋体" w:cs="宋体"/>
        </w:rPr>
      </w:pPr>
    </w:p>
    <w:p w14:paraId="60EED31F">
      <w:pPr>
        <w:bidi w:val="0"/>
        <w:rPr>
          <w:rFonts w:hint="eastAsia" w:ascii="宋体" w:hAnsi="宋体" w:eastAsia="宋体" w:cs="宋体"/>
        </w:rPr>
      </w:pPr>
    </w:p>
    <w:p w14:paraId="3CF67262">
      <w:pPr>
        <w:bidi w:val="0"/>
        <w:rPr>
          <w:rFonts w:hint="eastAsia" w:ascii="宋体" w:hAnsi="宋体" w:eastAsia="宋体" w:cs="宋体"/>
        </w:rPr>
      </w:pPr>
    </w:p>
    <w:p w14:paraId="343EFFBF">
      <w:pPr>
        <w:bidi w:val="0"/>
        <w:rPr>
          <w:rFonts w:hint="eastAsia" w:ascii="宋体" w:hAnsi="宋体" w:eastAsia="宋体" w:cs="宋体"/>
        </w:rPr>
      </w:pPr>
    </w:p>
    <w:p w14:paraId="434E0FD9">
      <w:pPr>
        <w:bidi w:val="0"/>
        <w:rPr>
          <w:rFonts w:hint="eastAsia" w:ascii="宋体" w:hAnsi="宋体" w:eastAsia="宋体" w:cs="宋体"/>
        </w:rPr>
      </w:pPr>
    </w:p>
    <w:p w14:paraId="73411DA7">
      <w:pPr>
        <w:bidi w:val="0"/>
        <w:rPr>
          <w:rFonts w:hint="eastAsia" w:ascii="宋体" w:hAnsi="宋体" w:eastAsia="宋体" w:cs="宋体"/>
        </w:rPr>
      </w:pPr>
    </w:p>
    <w:p w14:paraId="444BE5DA">
      <w:pPr>
        <w:bidi w:val="0"/>
        <w:rPr>
          <w:rFonts w:hint="eastAsia" w:ascii="宋体" w:hAnsi="宋体" w:eastAsia="宋体" w:cs="宋体"/>
        </w:rPr>
      </w:pPr>
    </w:p>
    <w:p w14:paraId="3493CF63">
      <w:pPr>
        <w:bidi w:val="0"/>
        <w:rPr>
          <w:rFonts w:hint="eastAsia" w:ascii="宋体" w:hAnsi="宋体" w:eastAsia="宋体" w:cs="宋体"/>
        </w:rPr>
      </w:pPr>
    </w:p>
    <w:p w14:paraId="3477AA51">
      <w:pPr>
        <w:bidi w:val="0"/>
        <w:rPr>
          <w:rFonts w:hint="eastAsia" w:ascii="宋体" w:hAnsi="宋体" w:eastAsia="宋体" w:cs="宋体"/>
        </w:rPr>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4.报价人提供一份</w:t>
      </w:r>
      <w:r>
        <w:rPr>
          <w:rFonts w:hint="eastAsia" w:ascii="宋体" w:hAnsi="宋体" w:eastAsia="宋体" w:cs="宋体"/>
          <w:b/>
          <w:sz w:val="28"/>
          <w:szCs w:val="28"/>
          <w:lang w:eastAsia="zh-CN"/>
        </w:rPr>
        <w:t>运输服务项目业绩</w:t>
      </w:r>
      <w:r>
        <w:rPr>
          <w:rFonts w:hint="eastAsia" w:ascii="宋体" w:hAnsi="宋体" w:eastAsia="宋体" w:cs="宋体"/>
          <w:b/>
          <w:sz w:val="28"/>
          <w:szCs w:val="28"/>
        </w:rPr>
        <w:t>（合同签订日期为</w:t>
      </w:r>
      <w:r>
        <w:rPr>
          <w:rFonts w:hint="eastAsia" w:ascii="宋体" w:hAnsi="宋体" w:eastAsia="宋体" w:cs="宋体"/>
          <w:b/>
          <w:sz w:val="28"/>
          <w:szCs w:val="28"/>
          <w:lang w:eastAsia="zh-CN"/>
        </w:rPr>
        <w:t>2023年1月1日</w:t>
      </w:r>
      <w:r>
        <w:rPr>
          <w:rFonts w:hint="eastAsia" w:ascii="宋体" w:hAnsi="宋体" w:eastAsia="宋体" w:cs="宋体"/>
          <w:b/>
          <w:sz w:val="28"/>
          <w:szCs w:val="28"/>
        </w:rPr>
        <w:t>或以后）</w:t>
      </w:r>
    </w:p>
    <w:p w14:paraId="63BFFEEF">
      <w:pPr>
        <w:pStyle w:val="8"/>
        <w:bidi w:val="0"/>
        <w:rPr>
          <w:rFonts w:hint="eastAsia" w:ascii="宋体" w:hAnsi="宋体" w:eastAsia="宋体" w:cs="宋体"/>
        </w:rPr>
      </w:pPr>
    </w:p>
    <w:p w14:paraId="6B07C831">
      <w:pPr>
        <w:pStyle w:val="8"/>
        <w:bidi w:val="0"/>
        <w:rPr>
          <w:rFonts w:hint="eastAsia" w:ascii="宋体" w:hAnsi="宋体" w:eastAsia="宋体" w:cs="宋体"/>
        </w:rPr>
      </w:pPr>
    </w:p>
    <w:p w14:paraId="465539F2">
      <w:pPr>
        <w:pStyle w:val="8"/>
        <w:bidi w:val="0"/>
        <w:rPr>
          <w:rFonts w:hint="eastAsia" w:ascii="宋体" w:hAnsi="宋体" w:eastAsia="宋体" w:cs="宋体"/>
        </w:rPr>
      </w:pPr>
    </w:p>
    <w:p w14:paraId="6A1C40FE">
      <w:pPr>
        <w:pStyle w:val="8"/>
        <w:bidi w:val="0"/>
        <w:rPr>
          <w:rFonts w:hint="eastAsia" w:ascii="宋体" w:hAnsi="宋体" w:eastAsia="宋体" w:cs="宋体"/>
        </w:rPr>
      </w:pPr>
    </w:p>
    <w:p w14:paraId="67F9434C">
      <w:pPr>
        <w:pStyle w:val="8"/>
        <w:bidi w:val="0"/>
        <w:rPr>
          <w:rFonts w:hint="eastAsia" w:ascii="宋体" w:hAnsi="宋体" w:eastAsia="宋体" w:cs="宋体"/>
        </w:rPr>
      </w:pPr>
    </w:p>
    <w:p w14:paraId="2442A1BD">
      <w:pPr>
        <w:pStyle w:val="8"/>
        <w:bidi w:val="0"/>
        <w:rPr>
          <w:rFonts w:hint="eastAsia" w:ascii="宋体" w:hAnsi="宋体" w:eastAsia="宋体" w:cs="宋体"/>
        </w:rPr>
      </w:pPr>
    </w:p>
    <w:p w14:paraId="71781FEA">
      <w:pPr>
        <w:pStyle w:val="8"/>
        <w:bidi w:val="0"/>
        <w:rPr>
          <w:rFonts w:hint="eastAsia" w:ascii="宋体" w:hAnsi="宋体" w:eastAsia="宋体" w:cs="宋体"/>
        </w:rPr>
      </w:pPr>
    </w:p>
    <w:p w14:paraId="071C1936">
      <w:pPr>
        <w:pStyle w:val="8"/>
        <w:bidi w:val="0"/>
        <w:rPr>
          <w:rFonts w:hint="eastAsia" w:ascii="宋体" w:hAnsi="宋体" w:eastAsia="宋体" w:cs="宋体"/>
        </w:rPr>
      </w:pPr>
    </w:p>
    <w:p w14:paraId="66C40841">
      <w:pPr>
        <w:pStyle w:val="8"/>
        <w:bidi w:val="0"/>
        <w:rPr>
          <w:rFonts w:hint="eastAsia" w:ascii="宋体" w:hAnsi="宋体" w:eastAsia="宋体" w:cs="宋体"/>
        </w:rPr>
      </w:pPr>
    </w:p>
    <w:p w14:paraId="23A8E5E2">
      <w:pPr>
        <w:pStyle w:val="8"/>
        <w:bidi w:val="0"/>
        <w:rPr>
          <w:rFonts w:hint="eastAsia" w:ascii="宋体" w:hAnsi="宋体" w:eastAsia="宋体" w:cs="宋体"/>
        </w:rPr>
      </w:pPr>
    </w:p>
    <w:p w14:paraId="2D4FCA49">
      <w:pPr>
        <w:pStyle w:val="8"/>
        <w:bidi w:val="0"/>
        <w:rPr>
          <w:rFonts w:hint="eastAsia" w:ascii="宋体" w:hAnsi="宋体" w:eastAsia="宋体" w:cs="宋体"/>
        </w:rPr>
      </w:pPr>
    </w:p>
    <w:p w14:paraId="1590B75B">
      <w:pPr>
        <w:pStyle w:val="8"/>
        <w:bidi w:val="0"/>
        <w:rPr>
          <w:rFonts w:hint="eastAsia" w:ascii="宋体" w:hAnsi="宋体" w:eastAsia="宋体" w:cs="宋体"/>
        </w:rPr>
      </w:pPr>
    </w:p>
    <w:p w14:paraId="374B2ADB">
      <w:pPr>
        <w:pStyle w:val="8"/>
        <w:bidi w:val="0"/>
        <w:rPr>
          <w:rFonts w:hint="eastAsia" w:ascii="宋体" w:hAnsi="宋体" w:eastAsia="宋体" w:cs="宋体"/>
        </w:rPr>
      </w:pPr>
    </w:p>
    <w:p w14:paraId="7913907B">
      <w:pPr>
        <w:pStyle w:val="8"/>
        <w:bidi w:val="0"/>
        <w:rPr>
          <w:rFonts w:hint="eastAsia" w:ascii="宋体" w:hAnsi="宋体" w:eastAsia="宋体" w:cs="宋体"/>
        </w:rPr>
      </w:pPr>
    </w:p>
    <w:p w14:paraId="57884CF8">
      <w:pPr>
        <w:pStyle w:val="8"/>
        <w:bidi w:val="0"/>
        <w:rPr>
          <w:rFonts w:hint="eastAsia" w:ascii="宋体" w:hAnsi="宋体" w:eastAsia="宋体" w:cs="宋体"/>
        </w:rPr>
      </w:pPr>
    </w:p>
    <w:p w14:paraId="328A25E2">
      <w:pPr>
        <w:pStyle w:val="8"/>
        <w:bidi w:val="0"/>
        <w:rPr>
          <w:rFonts w:hint="eastAsia" w:ascii="宋体" w:hAnsi="宋体" w:eastAsia="宋体" w:cs="宋体"/>
        </w:rPr>
      </w:pPr>
    </w:p>
    <w:p w14:paraId="56F02EAA">
      <w:pPr>
        <w:pStyle w:val="8"/>
        <w:bidi w:val="0"/>
        <w:rPr>
          <w:rFonts w:hint="eastAsia" w:ascii="宋体" w:hAnsi="宋体" w:eastAsia="宋体" w:cs="宋体"/>
        </w:rPr>
      </w:pPr>
    </w:p>
    <w:p w14:paraId="77EC4B8C">
      <w:pPr>
        <w:pStyle w:val="8"/>
        <w:bidi w:val="0"/>
        <w:rPr>
          <w:rFonts w:hint="eastAsia" w:ascii="宋体" w:hAnsi="宋体" w:eastAsia="宋体" w:cs="宋体"/>
        </w:rPr>
      </w:pPr>
    </w:p>
    <w:p w14:paraId="611A4FF6">
      <w:pPr>
        <w:pStyle w:val="8"/>
        <w:bidi w:val="0"/>
        <w:rPr>
          <w:rFonts w:hint="eastAsia" w:ascii="宋体" w:hAnsi="宋体" w:eastAsia="宋体" w:cs="宋体"/>
        </w:rPr>
      </w:pPr>
    </w:p>
    <w:p w14:paraId="446E5FEF">
      <w:pPr>
        <w:pStyle w:val="8"/>
        <w:bidi w:val="0"/>
        <w:rPr>
          <w:rFonts w:hint="eastAsia" w:ascii="宋体" w:hAnsi="宋体" w:eastAsia="宋体" w:cs="宋体"/>
        </w:rPr>
      </w:pPr>
    </w:p>
    <w:p w14:paraId="4612E28F">
      <w:pPr>
        <w:pStyle w:val="8"/>
        <w:bidi w:val="0"/>
        <w:rPr>
          <w:rFonts w:hint="eastAsia" w:ascii="宋体" w:hAnsi="宋体" w:eastAsia="宋体" w:cs="宋体"/>
        </w:rPr>
      </w:pPr>
    </w:p>
    <w:p w14:paraId="37EAF989">
      <w:pPr>
        <w:pStyle w:val="8"/>
        <w:bidi w:val="0"/>
        <w:rPr>
          <w:rFonts w:hint="eastAsia" w:ascii="宋体" w:hAnsi="宋体" w:eastAsia="宋体" w:cs="宋体"/>
        </w:rPr>
      </w:pPr>
    </w:p>
    <w:p w14:paraId="59A42C71">
      <w:pPr>
        <w:pStyle w:val="8"/>
        <w:bidi w:val="0"/>
        <w:rPr>
          <w:rFonts w:hint="eastAsia" w:ascii="宋体" w:hAnsi="宋体" w:eastAsia="宋体" w:cs="宋体"/>
        </w:rPr>
      </w:pPr>
    </w:p>
    <w:p w14:paraId="2C212B07">
      <w:pPr>
        <w:pStyle w:val="8"/>
        <w:bidi w:val="0"/>
        <w:rPr>
          <w:rFonts w:hint="eastAsia" w:ascii="宋体" w:hAnsi="宋体" w:eastAsia="宋体" w:cs="宋体"/>
          <w:lang w:val="zh-CN"/>
        </w:rPr>
      </w:pPr>
    </w:p>
    <w:p w14:paraId="0AB8EBF4">
      <w:pPr>
        <w:pStyle w:val="8"/>
        <w:bidi w:val="0"/>
        <w:rPr>
          <w:rFonts w:hint="eastAsia" w:ascii="宋体" w:hAnsi="宋体" w:eastAsia="宋体" w:cs="宋体"/>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承诺函</w:t>
      </w:r>
    </w:p>
    <w:p w14:paraId="77A11E02">
      <w:pPr>
        <w:spacing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color w:val="000000" w:themeColor="text1"/>
          <w:highlight w:val="none"/>
          <w14:textFill>
            <w14:solidFill>
              <w14:schemeClr w14:val="tx1"/>
            </w14:solidFill>
          </w14:textFill>
        </w:rPr>
        <w:t>东莞市水务环境投资控股</w:t>
      </w:r>
      <w:r>
        <w:rPr>
          <w:rFonts w:hint="eastAsia" w:ascii="宋体" w:hAnsi="宋体" w:eastAsia="宋体" w:cs="宋体"/>
          <w:color w:val="000000" w:themeColor="text1"/>
          <w:highlight w:val="none"/>
          <w:lang w:val="en-US" w:eastAsia="zh-CN"/>
          <w14:textFill>
            <w14:solidFill>
              <w14:schemeClr w14:val="tx1"/>
            </w14:solidFill>
          </w14:textFill>
        </w:rPr>
        <w:t>集团净水有限公</w:t>
      </w:r>
      <w:r>
        <w:rPr>
          <w:rFonts w:hint="eastAsia" w:ascii="宋体" w:hAnsi="宋体" w:eastAsia="宋体" w:cs="宋体"/>
          <w:color w:val="000000" w:themeColor="text1"/>
          <w:highlight w:val="none"/>
          <w14:textFill>
            <w14:solidFill>
              <w14:schemeClr w14:val="tx1"/>
            </w14:solidFill>
          </w14:textFill>
        </w:rPr>
        <w:t>司</w:t>
      </w:r>
      <w:r>
        <w:rPr>
          <w:rFonts w:hint="eastAsia" w:ascii="宋体" w:hAnsi="宋体" w:eastAsia="宋体" w:cs="宋体"/>
          <w:highlight w:val="none"/>
        </w:rPr>
        <w:t>：</w:t>
      </w:r>
    </w:p>
    <w:p w14:paraId="7B093267">
      <w:pPr>
        <w:spacing w:line="360" w:lineRule="auto"/>
        <w:ind w:firstLine="480" w:firstLineChars="200"/>
        <w:rPr>
          <w:rFonts w:hint="eastAsia" w:ascii="宋体" w:hAnsi="宋体" w:eastAsia="宋体" w:cs="宋体"/>
        </w:rPr>
      </w:pPr>
      <w:r>
        <w:rPr>
          <w:rFonts w:hint="eastAsia" w:ascii="宋体" w:hAnsi="宋体" w:eastAsia="宋体" w:cs="宋体"/>
        </w:rPr>
        <w:t>我公司</w:t>
      </w:r>
      <w:r>
        <w:rPr>
          <w:rFonts w:hint="eastAsia" w:ascii="宋体" w:hAnsi="宋体" w:eastAsia="宋体" w:cs="宋体"/>
          <w:u w:val="single"/>
        </w:rPr>
        <w:t xml:space="preserve">              </w:t>
      </w:r>
      <w:r>
        <w:rPr>
          <w:rFonts w:hint="eastAsia" w:ascii="宋体" w:hAnsi="宋体" w:eastAsia="宋体" w:cs="宋体"/>
        </w:rPr>
        <w:t>为贵公司询价的</w:t>
      </w:r>
      <w:r>
        <w:rPr>
          <w:rFonts w:hint="eastAsia" w:ascii="宋体" w:hAnsi="宋体" w:eastAsia="宋体" w:cs="宋体"/>
          <w:u w:val="single"/>
          <w:lang w:eastAsia="zh-CN"/>
        </w:rPr>
        <w:t>东莞市污泥集中处理处置项目调试期污泥运输服务采购项目</w:t>
      </w:r>
      <w:r>
        <w:rPr>
          <w:rFonts w:hint="eastAsia" w:ascii="宋体" w:hAnsi="宋体" w:eastAsia="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int="eastAsia" w:ascii="宋体" w:hAnsi="宋体" w:eastAsia="宋体" w:cs="宋体"/>
        </w:rPr>
      </w:pPr>
      <w:r>
        <w:rPr>
          <w:rFonts w:hint="eastAsia" w:ascii="宋体" w:hAnsi="宋体" w:eastAsia="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int="eastAsia" w:ascii="宋体" w:hAnsi="宋体" w:eastAsia="宋体" w:cs="宋体"/>
        </w:rPr>
      </w:pPr>
      <w:r>
        <w:rPr>
          <w:rFonts w:hint="eastAsia" w:ascii="宋体" w:hAnsi="宋体" w:eastAsia="宋体" w:cs="宋体"/>
        </w:rPr>
        <w:t>2、我公司承诺将依法参加工伤保险，为安排至贵公司从事本项目的工作人员缴纳保险费，并为从事危险作业的人员办理意外伤害保险。</w:t>
      </w:r>
    </w:p>
    <w:p w14:paraId="783BD8B2">
      <w:pPr>
        <w:spacing w:line="360" w:lineRule="auto"/>
        <w:ind w:firstLine="480" w:firstLineChars="200"/>
        <w:rPr>
          <w:rFonts w:hint="eastAsia" w:ascii="宋体" w:hAnsi="宋体" w:eastAsia="宋体" w:cs="宋体"/>
        </w:rPr>
      </w:pPr>
      <w:r>
        <w:rPr>
          <w:rFonts w:hint="eastAsia" w:ascii="宋体" w:hAnsi="宋体" w:eastAsia="宋体" w:cs="宋体"/>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14:paraId="2AF52B50">
      <w:pPr>
        <w:spacing w:line="360" w:lineRule="auto"/>
        <w:ind w:firstLine="480" w:firstLineChars="200"/>
        <w:rPr>
          <w:rFonts w:hint="eastAsia" w:ascii="宋体" w:hAnsi="宋体" w:eastAsia="宋体" w:cs="宋体"/>
        </w:rPr>
      </w:pPr>
      <w:r>
        <w:rPr>
          <w:rFonts w:hint="eastAsia" w:ascii="宋体" w:hAnsi="宋体" w:eastAsia="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int="eastAsia" w:ascii="宋体" w:hAnsi="宋体" w:eastAsia="宋体" w:cs="宋体"/>
        </w:rPr>
      </w:pPr>
      <w:r>
        <w:rPr>
          <w:rFonts w:hint="eastAsia" w:ascii="宋体" w:hAnsi="宋体" w:eastAsia="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int="eastAsia" w:ascii="宋体" w:hAnsi="宋体" w:eastAsia="宋体" w:cs="宋体"/>
        </w:rPr>
      </w:pPr>
      <w:r>
        <w:rPr>
          <w:rFonts w:hint="eastAsia" w:ascii="宋体" w:hAnsi="宋体" w:eastAsia="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int="eastAsia" w:ascii="宋体" w:hAnsi="宋体" w:eastAsia="宋体" w:cs="宋体"/>
        </w:rPr>
      </w:pPr>
      <w:r>
        <w:rPr>
          <w:rFonts w:hint="eastAsia" w:ascii="宋体" w:hAnsi="宋体" w:eastAsia="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int="eastAsia" w:ascii="宋体" w:hAnsi="宋体" w:eastAsia="宋体" w:cs="宋体"/>
        </w:rPr>
      </w:pPr>
      <w:r>
        <w:rPr>
          <w:rFonts w:hint="eastAsia" w:ascii="宋体" w:hAnsi="宋体" w:eastAsia="宋体" w:cs="宋体"/>
        </w:rPr>
        <w:t>8、我公司车辆在贵公司场所行驶时，将严格遵守厂区道路限行，限速和限重要求，如因我公司未遵守前述要求，对厂区/贵公司（含其人员）、我公司人员、第三方造成损失的，由我公司承担赔偿责任。</w:t>
      </w:r>
    </w:p>
    <w:p w14:paraId="6F444FB8">
      <w:pPr>
        <w:spacing w:line="360" w:lineRule="auto"/>
        <w:ind w:firstLine="480" w:firstLineChars="200"/>
        <w:rPr>
          <w:rFonts w:hint="eastAsia" w:ascii="宋体" w:hAnsi="宋体" w:eastAsia="宋体" w:cs="宋体"/>
        </w:rPr>
      </w:pPr>
      <w:r>
        <w:rPr>
          <w:rFonts w:hint="eastAsia" w:ascii="宋体" w:hAnsi="宋体" w:eastAsia="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int="eastAsia" w:ascii="宋体" w:hAnsi="宋体" w:eastAsia="宋体" w:cs="宋体"/>
        </w:rPr>
      </w:pPr>
      <w:r>
        <w:rPr>
          <w:rFonts w:hint="eastAsia" w:ascii="宋体" w:hAnsi="宋体" w:eastAsia="宋体" w:cs="宋体"/>
        </w:rPr>
        <w:t>10、因我公司原因，造成我公司损失，由我公司自负，给贵公司造成财产损失和人员伤害，我公司承担全部责任，并全额赔偿贵公司。</w:t>
      </w:r>
    </w:p>
    <w:p w14:paraId="39179D2E">
      <w:pPr>
        <w:spacing w:line="360" w:lineRule="auto"/>
        <w:ind w:firstLine="480" w:firstLineChars="200"/>
        <w:rPr>
          <w:rFonts w:hint="eastAsia" w:ascii="宋体" w:hAnsi="宋体" w:eastAsia="宋体" w:cs="宋体"/>
        </w:rPr>
      </w:pPr>
      <w:r>
        <w:rPr>
          <w:rFonts w:hint="eastAsia" w:ascii="宋体" w:hAnsi="宋体" w:eastAsia="宋体" w:cs="宋体"/>
        </w:rPr>
        <w:t>11、非因贵公司原因，造成我公司损失的，贵公司无需承担任何责任，由我公司自行承担全部责任。</w:t>
      </w:r>
    </w:p>
    <w:p w14:paraId="59F5AE99">
      <w:pPr>
        <w:spacing w:line="360" w:lineRule="auto"/>
        <w:ind w:firstLine="480" w:firstLineChars="200"/>
        <w:rPr>
          <w:rFonts w:hint="eastAsia" w:ascii="宋体" w:hAnsi="宋体" w:eastAsia="宋体" w:cs="宋体"/>
        </w:rPr>
      </w:pPr>
      <w:r>
        <w:rPr>
          <w:rFonts w:hint="eastAsia" w:ascii="宋体" w:hAnsi="宋体" w:eastAsia="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int="eastAsia" w:ascii="宋体" w:hAnsi="宋体" w:eastAsia="宋体" w:cs="宋体"/>
        </w:rPr>
      </w:pPr>
      <w:r>
        <w:rPr>
          <w:rFonts w:hint="eastAsia" w:ascii="宋体" w:hAnsi="宋体" w:eastAsia="宋体" w:cs="宋体"/>
        </w:rPr>
        <w:t>①禁火区内严禁吸烟、动火。有火灾危险的作业区域，我公司承诺配置足够的灭火设施。</w:t>
      </w:r>
    </w:p>
    <w:p w14:paraId="1DBC95FE">
      <w:pPr>
        <w:spacing w:line="360" w:lineRule="auto"/>
        <w:ind w:firstLine="480" w:firstLineChars="200"/>
        <w:rPr>
          <w:rFonts w:hint="eastAsia" w:ascii="宋体" w:hAnsi="宋体" w:eastAsia="宋体" w:cs="宋体"/>
        </w:rPr>
      </w:pPr>
      <w:r>
        <w:rPr>
          <w:rFonts w:hint="eastAsia" w:ascii="宋体" w:hAnsi="宋体" w:eastAsia="宋体" w:cs="宋体"/>
        </w:rPr>
        <w:t>②我公司承诺焊接、气割作业时两瓶距离必须达到5M及以上，气瓶距可能产生火花的电器、设备和其它火源的间距必须达到10M及以上。</w:t>
      </w:r>
    </w:p>
    <w:p w14:paraId="66D2F5D5">
      <w:pPr>
        <w:spacing w:line="360" w:lineRule="auto"/>
        <w:ind w:firstLine="480" w:firstLineChars="200"/>
        <w:rPr>
          <w:rFonts w:hint="eastAsia" w:ascii="宋体" w:hAnsi="宋体" w:eastAsia="宋体" w:cs="宋体"/>
        </w:rPr>
      </w:pPr>
      <w:r>
        <w:rPr>
          <w:rFonts w:hint="eastAsia" w:ascii="宋体" w:hAnsi="宋体" w:eastAsia="宋体" w:cs="宋体"/>
        </w:rPr>
        <w:t>③我公司承诺不在厂内道路、消防通道内搭建临时建筑或堆放物资。</w:t>
      </w:r>
    </w:p>
    <w:p w14:paraId="462DCDEF">
      <w:pPr>
        <w:spacing w:line="360" w:lineRule="auto"/>
        <w:ind w:firstLine="480" w:firstLineChars="200"/>
        <w:rPr>
          <w:rFonts w:hint="eastAsia" w:ascii="宋体" w:hAnsi="宋体" w:eastAsia="宋体" w:cs="宋体"/>
        </w:rPr>
      </w:pPr>
      <w:r>
        <w:rPr>
          <w:rFonts w:hint="eastAsia" w:ascii="宋体" w:hAnsi="宋体" w:eastAsia="宋体" w:cs="宋体"/>
        </w:rPr>
        <w:t>④我公司承诺电动工具、电焊机等均具有漏电保护器和相应的安全防护装置。</w:t>
      </w:r>
    </w:p>
    <w:p w14:paraId="664236B1">
      <w:pPr>
        <w:spacing w:line="360" w:lineRule="auto"/>
        <w:ind w:firstLine="480" w:firstLineChars="200"/>
        <w:rPr>
          <w:rFonts w:hint="eastAsia" w:ascii="宋体" w:hAnsi="宋体" w:eastAsia="宋体" w:cs="宋体"/>
        </w:rPr>
      </w:pPr>
      <w:r>
        <w:rPr>
          <w:rFonts w:hint="eastAsia" w:ascii="宋体" w:hAnsi="宋体" w:eastAsia="宋体" w:cs="宋体"/>
        </w:rPr>
        <w:t>⑤我公司承诺用电设施符合要求，杜绝电线乱接、乱拉，刀闸和开关无盖，在电器设施上堆放物品等行为。</w:t>
      </w:r>
    </w:p>
    <w:p w14:paraId="15392195">
      <w:pPr>
        <w:spacing w:line="360" w:lineRule="auto"/>
        <w:ind w:firstLine="480" w:firstLineChars="200"/>
        <w:rPr>
          <w:rFonts w:hint="eastAsia" w:ascii="宋体" w:hAnsi="宋体" w:eastAsia="宋体" w:cs="宋体"/>
        </w:rPr>
      </w:pPr>
      <w:r>
        <w:rPr>
          <w:rFonts w:hint="eastAsia" w:ascii="宋体" w:hAnsi="宋体" w:eastAsia="宋体" w:cs="宋体"/>
        </w:rPr>
        <w:t>⑥我公司承诺防雷、防静电设施及用电设施有良好接地。</w:t>
      </w:r>
    </w:p>
    <w:p w14:paraId="4BCA1F94">
      <w:pPr>
        <w:spacing w:line="360" w:lineRule="auto"/>
        <w:ind w:firstLine="480" w:firstLineChars="200"/>
        <w:rPr>
          <w:rFonts w:hint="eastAsia" w:ascii="宋体" w:hAnsi="宋体" w:eastAsia="宋体" w:cs="宋体"/>
        </w:rPr>
      </w:pPr>
      <w:r>
        <w:rPr>
          <w:rFonts w:hint="eastAsia" w:ascii="宋体" w:hAnsi="宋体" w:eastAsia="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int="eastAsia" w:ascii="宋体" w:hAnsi="宋体" w:eastAsia="宋体" w:cs="宋体"/>
        </w:rPr>
      </w:pPr>
      <w:r>
        <w:rPr>
          <w:rFonts w:hint="eastAsia" w:ascii="宋体" w:hAnsi="宋体" w:eastAsia="宋体" w:cs="宋体"/>
        </w:rPr>
        <w:t>13、我公司承诺接受贵公司的检查与监督，并主动配合，做好安全工作，凡有违反上述条款的即视为我公司违约，贵公司有权视情况从货物/服务价款中扣除2000元/次作为违约金。</w:t>
      </w:r>
    </w:p>
    <w:p w14:paraId="06828237">
      <w:pPr>
        <w:spacing w:line="360" w:lineRule="auto"/>
        <w:ind w:firstLine="480" w:firstLineChars="200"/>
        <w:rPr>
          <w:rFonts w:hint="eastAsia" w:ascii="宋体" w:hAnsi="宋体" w:eastAsia="宋体" w:cs="宋体"/>
        </w:rPr>
      </w:pPr>
      <w:r>
        <w:rPr>
          <w:rFonts w:hint="eastAsia" w:ascii="宋体" w:hAnsi="宋体" w:eastAsia="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int="eastAsia" w:ascii="宋体" w:hAnsi="宋体" w:eastAsia="宋体" w:cs="宋体"/>
        </w:rPr>
      </w:pPr>
    </w:p>
    <w:p w14:paraId="032B4B15">
      <w:pPr>
        <w:spacing w:line="360" w:lineRule="auto"/>
        <w:ind w:firstLine="480" w:firstLineChars="200"/>
        <w:rPr>
          <w:rFonts w:hint="eastAsia" w:ascii="宋体" w:hAnsi="宋体" w:eastAsia="宋体" w:cs="宋体"/>
        </w:rPr>
      </w:pPr>
    </w:p>
    <w:p w14:paraId="2EEC22D2">
      <w:pPr>
        <w:spacing w:line="360" w:lineRule="auto"/>
        <w:ind w:firstLine="480" w:firstLineChars="200"/>
        <w:rPr>
          <w:rFonts w:hint="eastAsia" w:ascii="宋体" w:hAnsi="宋体" w:eastAsia="宋体" w:cs="宋体"/>
        </w:rPr>
      </w:pPr>
      <w:r>
        <w:rPr>
          <w:rFonts w:hint="eastAsia" w:ascii="宋体" w:hAnsi="宋体" w:eastAsia="宋体" w:cs="宋体"/>
        </w:rPr>
        <w:t>特此承诺。</w:t>
      </w:r>
    </w:p>
    <w:p w14:paraId="1779A672">
      <w:pPr>
        <w:spacing w:line="360" w:lineRule="auto"/>
        <w:rPr>
          <w:rFonts w:hint="eastAsia" w:ascii="宋体" w:hAnsi="宋体" w:eastAsia="宋体" w:cs="宋体"/>
        </w:rPr>
      </w:pPr>
      <w:r>
        <w:rPr>
          <w:rFonts w:hint="eastAsia" w:ascii="宋体" w:hAnsi="宋体" w:eastAsia="宋体" w:cs="宋体"/>
        </w:rPr>
        <w:t xml:space="preserve">                                  承诺人（</w:t>
      </w:r>
      <w:r>
        <w:rPr>
          <w:rFonts w:hint="eastAsia" w:ascii="宋体" w:hAnsi="宋体" w:eastAsia="宋体" w:cs="宋体"/>
          <w:lang w:val="en-US" w:eastAsia="zh-CN"/>
        </w:rPr>
        <w:t>加盖公章</w:t>
      </w:r>
      <w:r>
        <w:rPr>
          <w:rFonts w:hint="eastAsia" w:ascii="宋体" w:hAnsi="宋体" w:eastAsia="宋体" w:cs="宋体"/>
        </w:rPr>
        <w:t>）：</w:t>
      </w:r>
    </w:p>
    <w:p w14:paraId="30F3116C">
      <w:pPr>
        <w:spacing w:line="360" w:lineRule="auto"/>
        <w:jc w:val="center"/>
        <w:rPr>
          <w:rFonts w:hint="eastAsia" w:ascii="宋体" w:hAnsi="宋体" w:eastAsia="宋体" w:cs="宋体"/>
        </w:rPr>
      </w:pPr>
      <w:r>
        <w:rPr>
          <w:rFonts w:hint="eastAsia" w:ascii="宋体" w:hAnsi="宋体" w:eastAsia="宋体" w:cs="宋体"/>
        </w:rPr>
        <w:t xml:space="preserve">     日期：</w:t>
      </w:r>
    </w:p>
    <w:p w14:paraId="17B0AF4D">
      <w:pPr>
        <w:spacing w:line="360" w:lineRule="auto"/>
        <w:rPr>
          <w:rFonts w:hint="eastAsia" w:ascii="宋体" w:hAnsi="宋体" w:eastAsia="宋体" w:cs="宋体"/>
          <w:color w:val="000000"/>
          <w:kern w:val="2"/>
          <w:sz w:val="21"/>
        </w:rPr>
      </w:pPr>
    </w:p>
    <w:bookmarkEnd w:id="11"/>
    <w:bookmarkEnd w:id="12"/>
    <w:bookmarkEnd w:id="13"/>
    <w:p w14:paraId="0F12B5DA">
      <w:pPr>
        <w:spacing w:line="360" w:lineRule="auto"/>
        <w:rPr>
          <w:rFonts w:hint="eastAsia" w:ascii="宋体" w:hAnsi="宋体" w:eastAsia="宋体" w:cs="宋体"/>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A83D4"/>
    <w:multiLevelType w:val="multilevel"/>
    <w:tmpl w:val="AB6A83D4"/>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E1D2219"/>
    <w:multiLevelType w:val="singleLevel"/>
    <w:tmpl w:val="FE1D2219"/>
    <w:lvl w:ilvl="0" w:tentative="0">
      <w:start w:val="1"/>
      <w:numFmt w:val="decimal"/>
      <w:suff w:val="space"/>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033E01"/>
    <w:rsid w:val="010E40F3"/>
    <w:rsid w:val="020C70ED"/>
    <w:rsid w:val="02972D9A"/>
    <w:rsid w:val="04775EC4"/>
    <w:rsid w:val="05D435B9"/>
    <w:rsid w:val="0616335D"/>
    <w:rsid w:val="06D373CC"/>
    <w:rsid w:val="06E27ADA"/>
    <w:rsid w:val="07BE7D13"/>
    <w:rsid w:val="07EF0236"/>
    <w:rsid w:val="08C72F61"/>
    <w:rsid w:val="0957272D"/>
    <w:rsid w:val="09CB6A81"/>
    <w:rsid w:val="0A3E7253"/>
    <w:rsid w:val="0A7E7619"/>
    <w:rsid w:val="0AB86C5C"/>
    <w:rsid w:val="0BBD0871"/>
    <w:rsid w:val="0C0E78BC"/>
    <w:rsid w:val="0C56100B"/>
    <w:rsid w:val="0C752CF5"/>
    <w:rsid w:val="0D763760"/>
    <w:rsid w:val="0E121D61"/>
    <w:rsid w:val="0E9511BC"/>
    <w:rsid w:val="107B0CF3"/>
    <w:rsid w:val="12F26B7A"/>
    <w:rsid w:val="14FB2910"/>
    <w:rsid w:val="153100E0"/>
    <w:rsid w:val="15A84FF5"/>
    <w:rsid w:val="166C3E5C"/>
    <w:rsid w:val="166F74AF"/>
    <w:rsid w:val="16734728"/>
    <w:rsid w:val="16F7629E"/>
    <w:rsid w:val="17FB2C27"/>
    <w:rsid w:val="19092FDD"/>
    <w:rsid w:val="1B091FFE"/>
    <w:rsid w:val="1D5523BA"/>
    <w:rsid w:val="1E7D37A6"/>
    <w:rsid w:val="1F2D5E39"/>
    <w:rsid w:val="1F796966"/>
    <w:rsid w:val="21217D8A"/>
    <w:rsid w:val="223E0DB0"/>
    <w:rsid w:val="22682E8C"/>
    <w:rsid w:val="22720D9E"/>
    <w:rsid w:val="2386555D"/>
    <w:rsid w:val="24D85AD0"/>
    <w:rsid w:val="24EC5278"/>
    <w:rsid w:val="25FC33D9"/>
    <w:rsid w:val="26A36964"/>
    <w:rsid w:val="27E162AD"/>
    <w:rsid w:val="27E512EC"/>
    <w:rsid w:val="2895052E"/>
    <w:rsid w:val="28F322D2"/>
    <w:rsid w:val="29E140BF"/>
    <w:rsid w:val="29E74D2F"/>
    <w:rsid w:val="2A631000"/>
    <w:rsid w:val="2A6B27C4"/>
    <w:rsid w:val="2B202426"/>
    <w:rsid w:val="2BA7294A"/>
    <w:rsid w:val="2BB02055"/>
    <w:rsid w:val="2BCD48D1"/>
    <w:rsid w:val="2DA60AE7"/>
    <w:rsid w:val="2DF53F49"/>
    <w:rsid w:val="2E5C3FC8"/>
    <w:rsid w:val="2E6413D5"/>
    <w:rsid w:val="2E8B665B"/>
    <w:rsid w:val="2ECB20BA"/>
    <w:rsid w:val="308679FC"/>
    <w:rsid w:val="30D140CD"/>
    <w:rsid w:val="31E64C63"/>
    <w:rsid w:val="326A72D8"/>
    <w:rsid w:val="327411B4"/>
    <w:rsid w:val="3330157F"/>
    <w:rsid w:val="33FB33E1"/>
    <w:rsid w:val="348953EB"/>
    <w:rsid w:val="34ED67A5"/>
    <w:rsid w:val="35D426DD"/>
    <w:rsid w:val="36AD0447"/>
    <w:rsid w:val="36C83142"/>
    <w:rsid w:val="37AE5A9A"/>
    <w:rsid w:val="37DF63B2"/>
    <w:rsid w:val="37EF40B3"/>
    <w:rsid w:val="390414E4"/>
    <w:rsid w:val="391D205C"/>
    <w:rsid w:val="39B8474B"/>
    <w:rsid w:val="3C1F4887"/>
    <w:rsid w:val="3C9B5B15"/>
    <w:rsid w:val="3CFC6592"/>
    <w:rsid w:val="3D0F48FB"/>
    <w:rsid w:val="3E2333E0"/>
    <w:rsid w:val="3EF3570B"/>
    <w:rsid w:val="3FF41CB3"/>
    <w:rsid w:val="400C14BB"/>
    <w:rsid w:val="403719AB"/>
    <w:rsid w:val="404137B4"/>
    <w:rsid w:val="41A75102"/>
    <w:rsid w:val="437173A4"/>
    <w:rsid w:val="447450E2"/>
    <w:rsid w:val="45101210"/>
    <w:rsid w:val="45827912"/>
    <w:rsid w:val="46527823"/>
    <w:rsid w:val="46546BB9"/>
    <w:rsid w:val="47CC6C62"/>
    <w:rsid w:val="47F1141B"/>
    <w:rsid w:val="482B4FB4"/>
    <w:rsid w:val="483C5F05"/>
    <w:rsid w:val="48657AC5"/>
    <w:rsid w:val="4AB958D0"/>
    <w:rsid w:val="4BD27220"/>
    <w:rsid w:val="4DAC603F"/>
    <w:rsid w:val="4DC81F78"/>
    <w:rsid w:val="4E87437C"/>
    <w:rsid w:val="4F22401A"/>
    <w:rsid w:val="4F7244C4"/>
    <w:rsid w:val="50842203"/>
    <w:rsid w:val="50A1648A"/>
    <w:rsid w:val="51492FE2"/>
    <w:rsid w:val="51B1103D"/>
    <w:rsid w:val="522602C5"/>
    <w:rsid w:val="52E04FF4"/>
    <w:rsid w:val="53B45DD8"/>
    <w:rsid w:val="53C25DCC"/>
    <w:rsid w:val="548B7B21"/>
    <w:rsid w:val="57646649"/>
    <w:rsid w:val="590B5B1F"/>
    <w:rsid w:val="5A307F33"/>
    <w:rsid w:val="5EC155FD"/>
    <w:rsid w:val="5F8F359C"/>
    <w:rsid w:val="5F9D2B92"/>
    <w:rsid w:val="5FD3008D"/>
    <w:rsid w:val="60A60CCB"/>
    <w:rsid w:val="63143EF4"/>
    <w:rsid w:val="641F0A80"/>
    <w:rsid w:val="64915201"/>
    <w:rsid w:val="64D37E39"/>
    <w:rsid w:val="65316E3C"/>
    <w:rsid w:val="69831701"/>
    <w:rsid w:val="6A18591D"/>
    <w:rsid w:val="6AE508C6"/>
    <w:rsid w:val="6AED5C1F"/>
    <w:rsid w:val="6B8E3C7E"/>
    <w:rsid w:val="6D5E2269"/>
    <w:rsid w:val="6DB13DCE"/>
    <w:rsid w:val="6E2A5389"/>
    <w:rsid w:val="6E364F94"/>
    <w:rsid w:val="6F411AED"/>
    <w:rsid w:val="6F420807"/>
    <w:rsid w:val="6F5E47A3"/>
    <w:rsid w:val="6FB72105"/>
    <w:rsid w:val="6FC8323B"/>
    <w:rsid w:val="6FDB2297"/>
    <w:rsid w:val="70714B0F"/>
    <w:rsid w:val="71551BD5"/>
    <w:rsid w:val="73353469"/>
    <w:rsid w:val="74A54C22"/>
    <w:rsid w:val="7530530C"/>
    <w:rsid w:val="75862CA5"/>
    <w:rsid w:val="75F57767"/>
    <w:rsid w:val="76522B87"/>
    <w:rsid w:val="76F51E90"/>
    <w:rsid w:val="78DB50B6"/>
    <w:rsid w:val="791F1447"/>
    <w:rsid w:val="79AA3465"/>
    <w:rsid w:val="7A081EDB"/>
    <w:rsid w:val="7B04075A"/>
    <w:rsid w:val="7BC504B0"/>
    <w:rsid w:val="7C963D4A"/>
    <w:rsid w:val="7CB65C1E"/>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5"/>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a heading"/>
    <w:basedOn w:val="1"/>
    <w:next w:val="1"/>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7">
    <w:name w:val="annotation text"/>
    <w:basedOn w:val="1"/>
    <w:link w:val="36"/>
    <w:qFormat/>
    <w:uiPriority w:val="0"/>
  </w:style>
  <w:style w:type="paragraph" w:styleId="8">
    <w:name w:val="Body Text"/>
    <w:basedOn w:val="1"/>
    <w:link w:val="38"/>
    <w:qFormat/>
    <w:uiPriority w:val="0"/>
    <w:pPr>
      <w:spacing w:after="120"/>
    </w:pPr>
    <w:rPr>
      <w:rFonts w:ascii="Times New Roman"/>
    </w:rPr>
  </w:style>
  <w:style w:type="paragraph" w:styleId="9">
    <w:name w:val="Body Text Indent"/>
    <w:basedOn w:val="1"/>
    <w:link w:val="50"/>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4"/>
    <w:qFormat/>
    <w:uiPriority w:val="0"/>
    <w:pPr>
      <w:autoSpaceDE/>
      <w:autoSpaceDN/>
      <w:adjustRightInd/>
      <w:jc w:val="both"/>
    </w:pPr>
    <w:rPr>
      <w:rFonts w:hAnsi="Courier New"/>
      <w:kern w:val="2"/>
      <w:sz w:val="21"/>
      <w:szCs w:val="20"/>
    </w:rPr>
  </w:style>
  <w:style w:type="paragraph" w:styleId="11">
    <w:name w:val="Balloon Text"/>
    <w:basedOn w:val="1"/>
    <w:link w:val="35"/>
    <w:qFormat/>
    <w:uiPriority w:val="0"/>
    <w:rPr>
      <w:sz w:val="18"/>
      <w:szCs w:val="18"/>
    </w:rPr>
  </w:style>
  <w:style w:type="paragraph" w:styleId="12">
    <w:name w:val="footer"/>
    <w:basedOn w:val="1"/>
    <w:link w:val="4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1"/>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Normal (Web)"/>
    <w:basedOn w:val="1"/>
    <w:uiPriority w:val="0"/>
    <w:rPr>
      <w:sz w:val="24"/>
    </w:rPr>
  </w:style>
  <w:style w:type="paragraph" w:styleId="19">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20">
    <w:name w:val="annotation subject"/>
    <w:basedOn w:val="7"/>
    <w:next w:val="7"/>
    <w:link w:val="37"/>
    <w:qFormat/>
    <w:uiPriority w:val="0"/>
    <w:rPr>
      <w:b/>
      <w:bCs/>
    </w:rPr>
  </w:style>
  <w:style w:type="paragraph" w:styleId="21">
    <w:name w:val="Body Text First Indent"/>
    <w:basedOn w:val="8"/>
    <w:link w:val="39"/>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9"/>
    <w:link w:val="55"/>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99"/>
    <w:rPr>
      <w:sz w:val="21"/>
      <w:szCs w:val="21"/>
    </w:rPr>
  </w:style>
  <w:style w:type="paragraph" w:customStyle="1" w:styleId="30">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qFormat/>
    <w:uiPriority w:val="34"/>
    <w:pPr>
      <w:ind w:firstLine="420" w:firstLineChars="200"/>
    </w:pPr>
  </w:style>
  <w:style w:type="paragraph" w:customStyle="1" w:styleId="33">
    <w:name w:val="文本格式"/>
    <w:basedOn w:val="1"/>
    <w:link w:val="34"/>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5"/>
    <w:link w:val="33"/>
    <w:qFormat/>
    <w:uiPriority w:val="0"/>
    <w:rPr>
      <w:kern w:val="2"/>
      <w:sz w:val="24"/>
      <w:szCs w:val="28"/>
    </w:rPr>
  </w:style>
  <w:style w:type="character" w:customStyle="1" w:styleId="35">
    <w:name w:val="批注框文本 字符"/>
    <w:basedOn w:val="25"/>
    <w:link w:val="11"/>
    <w:qFormat/>
    <w:uiPriority w:val="0"/>
    <w:rPr>
      <w:rFonts w:ascii="宋体"/>
      <w:sz w:val="18"/>
      <w:szCs w:val="18"/>
    </w:rPr>
  </w:style>
  <w:style w:type="character" w:customStyle="1" w:styleId="36">
    <w:name w:val="批注文字 字符"/>
    <w:basedOn w:val="25"/>
    <w:link w:val="7"/>
    <w:qFormat/>
    <w:uiPriority w:val="0"/>
    <w:rPr>
      <w:rFonts w:ascii="宋体"/>
      <w:sz w:val="24"/>
      <w:szCs w:val="24"/>
    </w:rPr>
  </w:style>
  <w:style w:type="character" w:customStyle="1" w:styleId="37">
    <w:name w:val="批注主题 字符"/>
    <w:basedOn w:val="36"/>
    <w:link w:val="20"/>
    <w:qFormat/>
    <w:uiPriority w:val="0"/>
    <w:rPr>
      <w:rFonts w:ascii="宋体"/>
      <w:b/>
      <w:bCs/>
      <w:sz w:val="24"/>
      <w:szCs w:val="24"/>
    </w:rPr>
  </w:style>
  <w:style w:type="character" w:customStyle="1" w:styleId="38">
    <w:name w:val="正文文本 字符"/>
    <w:basedOn w:val="25"/>
    <w:link w:val="8"/>
    <w:qFormat/>
    <w:uiPriority w:val="0"/>
    <w:rPr>
      <w:sz w:val="24"/>
      <w:szCs w:val="24"/>
    </w:rPr>
  </w:style>
  <w:style w:type="character" w:customStyle="1" w:styleId="39">
    <w:name w:val="正文首行缩进 字符"/>
    <w:basedOn w:val="38"/>
    <w:link w:val="21"/>
    <w:qFormat/>
    <w:uiPriority w:val="0"/>
    <w:rPr>
      <w:kern w:val="2"/>
      <w:sz w:val="21"/>
      <w:szCs w:val="24"/>
      <w:lang w:val="zh-CN"/>
    </w:rPr>
  </w:style>
  <w:style w:type="paragraph" w:customStyle="1" w:styleId="40">
    <w:name w:val="p0"/>
    <w:basedOn w:val="1"/>
    <w:qFormat/>
    <w:uiPriority w:val="0"/>
    <w:pPr>
      <w:autoSpaceDE/>
      <w:autoSpaceDN/>
      <w:adjustRightInd/>
      <w:jc w:val="both"/>
    </w:pPr>
    <w:rPr>
      <w:rFonts w:ascii="Times New Roman"/>
      <w:sz w:val="21"/>
      <w:szCs w:val="21"/>
    </w:rPr>
  </w:style>
  <w:style w:type="character" w:customStyle="1" w:styleId="41">
    <w:name w:val="副标题 字符1"/>
    <w:link w:val="15"/>
    <w:qFormat/>
    <w:uiPriority w:val="11"/>
    <w:rPr>
      <w:rFonts w:ascii="Cambria" w:hAnsi="Cambria"/>
      <w:b/>
      <w:bCs/>
      <w:kern w:val="28"/>
      <w:sz w:val="32"/>
      <w:szCs w:val="32"/>
      <w:lang w:val="en-US" w:eastAsia="zh-CN"/>
    </w:rPr>
  </w:style>
  <w:style w:type="character" w:customStyle="1" w:styleId="42">
    <w:name w:val="副标题 字符"/>
    <w:basedOn w:val="25"/>
    <w:qFormat/>
    <w:uiPriority w:val="0"/>
    <w:rPr>
      <w:rFonts w:asciiTheme="minorHAnsi" w:hAnsiTheme="minorHAnsi" w:eastAsiaTheme="minorEastAsia" w:cstheme="minorBidi"/>
      <w:b/>
      <w:bCs/>
      <w:kern w:val="28"/>
      <w:sz w:val="32"/>
      <w:szCs w:val="32"/>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5"/>
    <w:link w:val="10"/>
    <w:qFormat/>
    <w:uiPriority w:val="0"/>
    <w:rPr>
      <w:rFonts w:ascii="宋体" w:hAnsi="Courier New"/>
      <w:kern w:val="2"/>
      <w:sz w:val="21"/>
    </w:rPr>
  </w:style>
  <w:style w:type="character" w:customStyle="1" w:styleId="45">
    <w:name w:val="标题 9 字符"/>
    <w:basedOn w:val="25"/>
    <w:link w:val="5"/>
    <w:semiHidden/>
    <w:qFormat/>
    <w:uiPriority w:val="0"/>
    <w:rPr>
      <w:rFonts w:ascii="等线 Light" w:hAnsi="等线 Light" w:eastAsia="等线 Light"/>
      <w:kern w:val="2"/>
      <w:sz w:val="21"/>
      <w:szCs w:val="21"/>
    </w:rPr>
  </w:style>
  <w:style w:type="character" w:customStyle="1" w:styleId="46">
    <w:name w:val="页脚 字符"/>
    <w:link w:val="12"/>
    <w:qFormat/>
    <w:uiPriority w:val="99"/>
    <w:rPr>
      <w:rFonts w:asciiTheme="minorHAnsi" w:hAnsiTheme="minorHAnsi" w:eastAsiaTheme="minorEastAsia" w:cstheme="minorBidi"/>
      <w:kern w:val="2"/>
      <w:sz w:val="18"/>
      <w:szCs w:val="18"/>
    </w:rPr>
  </w:style>
  <w:style w:type="character" w:customStyle="1" w:styleId="47">
    <w:name w:val="页眉 字符"/>
    <w:link w:val="13"/>
    <w:qFormat/>
    <w:uiPriority w:val="99"/>
    <w:rPr>
      <w:rFonts w:ascii="宋体"/>
      <w:sz w:val="18"/>
      <w:szCs w:val="24"/>
    </w:rPr>
  </w:style>
  <w:style w:type="character" w:customStyle="1" w:styleId="48">
    <w:name w:val="HTML 预设格式 字符"/>
    <w:basedOn w:val="25"/>
    <w:link w:val="17"/>
    <w:qFormat/>
    <w:uiPriority w:val="99"/>
    <w:rPr>
      <w:rFonts w:ascii="宋体" w:hAnsi="宋体" w:cs="宋体"/>
      <w:sz w:val="24"/>
      <w:szCs w:val="24"/>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5"/>
    <w:link w:val="9"/>
    <w:qFormat/>
    <w:uiPriority w:val="0"/>
    <w:rPr>
      <w:rFonts w:ascii="宋体" w:hAnsi="宋体"/>
      <w:kern w:val="2"/>
      <w:sz w:val="28"/>
      <w:szCs w:val="24"/>
    </w:rPr>
  </w:style>
  <w:style w:type="paragraph" w:customStyle="1" w:styleId="51">
    <w:name w:val="修订1"/>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5"/>
    <w:semiHidden/>
    <w:qFormat/>
    <w:uiPriority w:val="99"/>
    <w:rPr>
      <w:rFonts w:ascii="Times New Roman" w:hAnsi="Times New Roman"/>
      <w:kern w:val="2"/>
      <w:sz w:val="18"/>
      <w:szCs w:val="18"/>
    </w:rPr>
  </w:style>
  <w:style w:type="character" w:customStyle="1" w:styleId="53">
    <w:name w:val="页眉 字符1"/>
    <w:basedOn w:val="25"/>
    <w:semiHidden/>
    <w:qFormat/>
    <w:uiPriority w:val="99"/>
    <w:rPr>
      <w:rFonts w:ascii="Times New Roman" w:hAnsi="Times New Roman"/>
      <w:kern w:val="2"/>
      <w:sz w:val="18"/>
      <w:szCs w:val="18"/>
    </w:rPr>
  </w:style>
  <w:style w:type="table" w:customStyle="1" w:styleId="54">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2"/>
    <w:qFormat/>
    <w:uiPriority w:val="0"/>
    <w:rPr>
      <w:rFonts w:ascii="宋体" w:hAnsi="宋体"/>
      <w:kern w:val="2"/>
      <w:sz w:val="24"/>
      <w:szCs w:val="24"/>
    </w:rPr>
  </w:style>
  <w:style w:type="character" w:customStyle="1" w:styleId="56">
    <w:name w:val="标题 2 字符"/>
    <w:basedOn w:val="25"/>
    <w:link w:val="4"/>
    <w:semiHidden/>
    <w:qFormat/>
    <w:uiPriority w:val="0"/>
    <w:rPr>
      <w:rFonts w:asciiTheme="majorHAnsi" w:hAnsiTheme="majorHAnsi" w:eastAsiaTheme="majorEastAsia" w:cstheme="majorBidi"/>
      <w:b/>
      <w:bCs/>
      <w:sz w:val="32"/>
      <w:szCs w:val="32"/>
    </w:rPr>
  </w:style>
  <w:style w:type="character" w:customStyle="1" w:styleId="57">
    <w:name w:val="font01"/>
    <w:qFormat/>
    <w:uiPriority w:val="0"/>
    <w:rPr>
      <w:rFonts w:hint="eastAsia" w:ascii="宋体" w:hAnsi="宋体" w:eastAsia="宋体" w:cs="宋体"/>
      <w:color w:val="000000"/>
      <w:sz w:val="22"/>
      <w:szCs w:val="22"/>
      <w:u w:val="none"/>
    </w:rPr>
  </w:style>
  <w:style w:type="table" w:customStyle="1" w:styleId="58">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60">
    <w:name w:val="List Paragraph1"/>
    <w:basedOn w:val="1"/>
    <w:uiPriority w:val="0"/>
    <w:pPr>
      <w:kinsoku w:val="0"/>
      <w:autoSpaceDE w:val="0"/>
      <w:autoSpaceDN w:val="0"/>
      <w:adjustRightInd w:val="0"/>
      <w:snapToGrid w:val="0"/>
      <w:spacing w:before="0" w:beforeAutospacing="0" w:after="0" w:afterAutospacing="0"/>
      <w:ind w:left="0" w:right="0" w:firstLine="420" w:firstLineChars="200"/>
      <w:jc w:val="left"/>
      <w:textAlignment w:val="baseline"/>
    </w:pPr>
    <w:rPr>
      <w:rFonts w:hint="default" w:ascii="Arial" w:hAnsi="Arial" w:cs="Arial"/>
      <w:snapToGrid/>
      <w:color w:val="000000"/>
      <w:kern w:val="0"/>
      <w:sz w:val="21"/>
      <w:szCs w:val="21"/>
      <w:lang w:val="en-US" w:eastAsia="zh-CN" w:bidi="ar"/>
    </w:rPr>
  </w:style>
  <w:style w:type="paragraph" w:customStyle="1" w:styleId="61">
    <w:name w:val="样式 标题 3 + (中文) 黑体 小四 非加粗 段前: 7.8 磅 段后: 0 磅 行距: 固定值 20 磅"/>
    <w:uiPriority w:val="0"/>
    <w:pPr>
      <w:keepNext/>
      <w:keepLines/>
      <w:widowControl w:val="0"/>
      <w:suppressLineNumbers w:val="0"/>
      <w:tabs>
        <w:tab w:val="left" w:pos="420"/>
      </w:tabs>
      <w:kinsoku w:val="0"/>
      <w:autoSpaceDE w:val="0"/>
      <w:autoSpaceDN/>
      <w:adjustRightInd/>
      <w:snapToGrid w:val="0"/>
      <w:spacing w:before="0" w:beforeLines="0" w:beforeAutospacing="0" w:after="0" w:afterLines="0" w:afterAutospacing="0" w:line="400" w:lineRule="exact"/>
      <w:ind w:left="1260" w:hanging="420"/>
      <w:jc w:val="both"/>
      <w:textAlignment w:val="baseline"/>
      <w:outlineLvl w:val="2"/>
    </w:pPr>
    <w:rPr>
      <w:rFonts w:hint="default" w:ascii="Calibri" w:hAnsi="Calibri" w:eastAsia="黑体" w:cs="宋体"/>
      <w:snapToGrid/>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44</Pages>
  <Words>28991</Words>
  <Characters>29915</Characters>
  <Lines>1</Lines>
  <Paragraphs>1</Paragraphs>
  <TotalTime>3</TotalTime>
  <ScaleCrop>false</ScaleCrop>
  <LinksUpToDate>false</LinksUpToDate>
  <CharactersWithSpaces>30904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2026-01-15T05:57:29Z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94B54CBC08A74283AA2D07DE4EFB434E_13</vt:lpwstr>
  </property>
</Properties>
</file>