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CB6D">
      <w:pPr>
        <w:ind w:right="-26"/>
        <w:jc w:val="center"/>
        <w:rPr>
          <w:rFonts w:ascii="Times New Roman"/>
          <w:b/>
          <w:bCs/>
          <w:color w:val="auto"/>
          <w:kern w:val="2"/>
          <w:sz w:val="44"/>
          <w:szCs w:val="44"/>
          <w:highlight w:val="none"/>
          <w:lang w:val="zh-CN"/>
        </w:rPr>
      </w:pPr>
      <w:bookmarkStart w:id="73" w:name="_GoBack"/>
      <w:bookmarkEnd w:id="73"/>
    </w:p>
    <w:p w14:paraId="3E5D1ABC">
      <w:pPr>
        <w:ind w:right="-26"/>
        <w:jc w:val="center"/>
        <w:rPr>
          <w:rFonts w:ascii="Times New Roman"/>
          <w:b/>
          <w:bCs/>
          <w:color w:val="auto"/>
          <w:kern w:val="2"/>
          <w:sz w:val="44"/>
          <w:szCs w:val="44"/>
          <w:highlight w:val="none"/>
          <w:lang w:val="zh-CN"/>
        </w:rPr>
      </w:pPr>
    </w:p>
    <w:p w14:paraId="75930D53">
      <w:pPr>
        <w:ind w:right="-26"/>
        <w:jc w:val="center"/>
        <w:rPr>
          <w:rFonts w:ascii="Times New Roman"/>
          <w:b/>
          <w:bCs/>
          <w:color w:val="auto"/>
          <w:kern w:val="2"/>
          <w:sz w:val="44"/>
          <w:szCs w:val="44"/>
          <w:highlight w:val="none"/>
          <w:lang w:val="zh-CN"/>
        </w:rPr>
      </w:pPr>
    </w:p>
    <w:p w14:paraId="1C0E82B4">
      <w:pPr>
        <w:autoSpaceDE/>
        <w:autoSpaceDN/>
        <w:spacing w:line="600" w:lineRule="auto"/>
        <w:ind w:right="0"/>
        <w:jc w:val="center"/>
        <w:rPr>
          <w:rFonts w:hint="eastAsia" w:ascii="方正小标宋简体" w:hAnsi="方正小标宋简体" w:eastAsia="方正小标宋简体" w:cs="方正小标宋简体"/>
          <w:b w:val="0"/>
          <w:bCs w:val="0"/>
          <w:color w:val="auto"/>
          <w:w w:val="99"/>
          <w:kern w:val="2"/>
          <w:sz w:val="40"/>
          <w:szCs w:val="40"/>
          <w:highlight w:val="none"/>
          <w:lang w:eastAsia="zh-CN"/>
        </w:rPr>
      </w:pPr>
      <w:bookmarkStart w:id="0" w:name="_Toc11495"/>
      <w:bookmarkStart w:id="1" w:name="_Toc7771"/>
      <w:r>
        <w:rPr>
          <w:rFonts w:hint="eastAsia" w:ascii="方正小标宋简体" w:hAnsi="方正小标宋简体" w:eastAsia="方正小标宋简体" w:cs="方正小标宋简体"/>
          <w:color w:val="auto"/>
          <w:w w:val="99"/>
          <w:kern w:val="2"/>
          <w:sz w:val="40"/>
          <w:szCs w:val="40"/>
          <w:highlight w:val="none"/>
        </w:rPr>
        <w:t>滨海湾新区苗涌东侧规划次干路配套给水工程（含交椅湾板块连通管工程）涉地铁2号线安全评估报告编制</w:t>
      </w:r>
    </w:p>
    <w:p w14:paraId="2AAC6A81">
      <w:pPr>
        <w:autoSpaceDE/>
        <w:autoSpaceDN/>
        <w:spacing w:line="600" w:lineRule="auto"/>
        <w:ind w:right="0"/>
        <w:jc w:val="center"/>
        <w:rPr>
          <w:rFonts w:hint="eastAsia" w:ascii="方正小标宋简体" w:hAnsi="方正小标宋简体" w:eastAsia="方正小标宋简体" w:cs="方正小标宋简体"/>
          <w:b w:val="0"/>
          <w:bCs w:val="0"/>
          <w:color w:val="auto"/>
          <w:w w:val="99"/>
          <w:kern w:val="2"/>
          <w:sz w:val="40"/>
          <w:szCs w:val="40"/>
          <w:highlight w:val="none"/>
          <w:lang w:val="zh-CN"/>
        </w:rPr>
      </w:pPr>
      <w:r>
        <w:rPr>
          <w:rFonts w:hint="eastAsia" w:ascii="方正小标宋简体" w:hAnsi="方正小标宋简体" w:eastAsia="方正小标宋简体" w:cs="方正小标宋简体"/>
          <w:b w:val="0"/>
          <w:bCs w:val="0"/>
          <w:color w:val="auto"/>
          <w:w w:val="99"/>
          <w:kern w:val="2"/>
          <w:sz w:val="40"/>
          <w:szCs w:val="40"/>
          <w:highlight w:val="none"/>
          <w:lang w:val="zh-CN"/>
        </w:rPr>
        <w:t>询价文件</w:t>
      </w:r>
      <w:bookmarkEnd w:id="0"/>
      <w:bookmarkEnd w:id="1"/>
    </w:p>
    <w:p w14:paraId="0F2274CA">
      <w:pPr>
        <w:ind w:right="-26"/>
        <w:jc w:val="center"/>
        <w:rPr>
          <w:rFonts w:ascii="Times New Roman"/>
          <w:b/>
          <w:bCs/>
          <w:color w:val="auto"/>
          <w:kern w:val="2"/>
          <w:sz w:val="32"/>
          <w:szCs w:val="32"/>
          <w:highlight w:val="none"/>
          <w:lang w:val="zh-CN"/>
        </w:rPr>
      </w:pPr>
    </w:p>
    <w:p w14:paraId="31B94C2E">
      <w:pPr>
        <w:ind w:right="-26"/>
        <w:jc w:val="center"/>
        <w:rPr>
          <w:rFonts w:ascii="Times New Roman"/>
          <w:b/>
          <w:bCs/>
          <w:color w:val="auto"/>
          <w:kern w:val="2"/>
          <w:sz w:val="44"/>
          <w:szCs w:val="44"/>
          <w:highlight w:val="none"/>
          <w:lang w:val="zh-CN"/>
        </w:rPr>
      </w:pPr>
    </w:p>
    <w:p w14:paraId="54FD09A7">
      <w:pPr>
        <w:ind w:right="-26"/>
        <w:jc w:val="center"/>
        <w:rPr>
          <w:rFonts w:ascii="Times New Roman"/>
          <w:b/>
          <w:bCs/>
          <w:color w:val="auto"/>
          <w:kern w:val="2"/>
          <w:sz w:val="44"/>
          <w:szCs w:val="44"/>
          <w:highlight w:val="none"/>
          <w:lang w:val="zh-CN"/>
        </w:rPr>
      </w:pPr>
    </w:p>
    <w:p w14:paraId="4311E546">
      <w:pPr>
        <w:ind w:right="-26"/>
        <w:rPr>
          <w:rFonts w:ascii="Times New Roman"/>
          <w:b/>
          <w:bCs/>
          <w:color w:val="auto"/>
          <w:kern w:val="2"/>
          <w:sz w:val="44"/>
          <w:szCs w:val="44"/>
          <w:highlight w:val="none"/>
          <w:lang w:val="zh-CN"/>
        </w:rPr>
      </w:pPr>
    </w:p>
    <w:p w14:paraId="1EF4C975">
      <w:pPr>
        <w:ind w:right="-26"/>
        <w:jc w:val="center"/>
        <w:rPr>
          <w:rFonts w:ascii="Times New Roman"/>
          <w:b/>
          <w:bCs/>
          <w:color w:val="auto"/>
          <w:kern w:val="2"/>
          <w:sz w:val="44"/>
          <w:szCs w:val="44"/>
          <w:highlight w:val="none"/>
          <w:lang w:val="zh-CN"/>
        </w:rPr>
      </w:pPr>
    </w:p>
    <w:p w14:paraId="6A08F5CF">
      <w:pPr>
        <w:ind w:right="-26"/>
        <w:jc w:val="center"/>
        <w:rPr>
          <w:rFonts w:ascii="Times New Roman"/>
          <w:b/>
          <w:bCs/>
          <w:color w:val="auto"/>
          <w:kern w:val="2"/>
          <w:sz w:val="44"/>
          <w:szCs w:val="44"/>
          <w:highlight w:val="none"/>
          <w:lang w:val="zh-CN"/>
        </w:rPr>
      </w:pPr>
    </w:p>
    <w:p w14:paraId="2349CEE3">
      <w:pPr>
        <w:ind w:right="-26"/>
        <w:jc w:val="center"/>
        <w:rPr>
          <w:rFonts w:ascii="Times New Roman"/>
          <w:b/>
          <w:bCs/>
          <w:color w:val="auto"/>
          <w:kern w:val="2"/>
          <w:sz w:val="44"/>
          <w:szCs w:val="44"/>
          <w:highlight w:val="none"/>
          <w:lang w:val="zh-CN"/>
        </w:rPr>
      </w:pPr>
    </w:p>
    <w:p w14:paraId="5E5C44F6">
      <w:pPr>
        <w:spacing w:line="700" w:lineRule="exact"/>
        <w:jc w:val="center"/>
        <w:rPr>
          <w:rFonts w:hint="eastAsia" w:ascii="Times New Roman" w:eastAsia="宋体"/>
          <w:b/>
          <w:bCs/>
          <w:color w:val="auto"/>
          <w:sz w:val="32"/>
          <w:szCs w:val="32"/>
          <w:highlight w:val="none"/>
          <w:lang w:eastAsia="zh-CN"/>
        </w:rPr>
      </w:pPr>
      <w:bookmarkStart w:id="2" w:name="_Hlk26971294"/>
      <w:r>
        <w:rPr>
          <w:rFonts w:hint="eastAsia" w:ascii="Times New Roman"/>
          <w:b/>
          <w:bCs/>
          <w:color w:val="auto"/>
          <w:spacing w:val="28"/>
          <w:sz w:val="32"/>
          <w:szCs w:val="32"/>
          <w:highlight w:val="none"/>
          <w:lang w:eastAsia="zh-CN"/>
        </w:rPr>
        <w:t>东莞市水务环境投资控股集团建设管理有限公司</w:t>
      </w:r>
    </w:p>
    <w:bookmarkEnd w:id="2"/>
    <w:p w14:paraId="5C959DAC">
      <w:pPr>
        <w:spacing w:after="156" w:afterLines="50" w:line="360" w:lineRule="auto"/>
        <w:jc w:val="center"/>
        <w:rPr>
          <w:rFonts w:ascii="Times New Roman"/>
          <w:b/>
          <w:bCs/>
          <w:color w:val="auto"/>
          <w:kern w:val="2"/>
          <w:sz w:val="32"/>
          <w:szCs w:val="32"/>
          <w:highlight w:val="none"/>
          <w:lang w:val="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b/>
          <w:bCs/>
          <w:color w:val="auto"/>
          <w:kern w:val="2"/>
          <w:sz w:val="32"/>
          <w:szCs w:val="32"/>
          <w:highlight w:val="none"/>
          <w:lang w:val="en-US" w:eastAsia="zh-CN"/>
        </w:rPr>
        <w:t>2026</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2月2日</w:t>
      </w:r>
    </w:p>
    <w:sdt>
      <w:sdtPr>
        <w:rPr>
          <w:rFonts w:hAnsi="宋体"/>
          <w:color w:val="auto"/>
          <w:sz w:val="21"/>
          <w:highlight w:val="none"/>
        </w:rPr>
        <w:id w:val="147477616"/>
        <w:docPartObj>
          <w:docPartGallery w:val="Table of Contents"/>
          <w:docPartUnique/>
        </w:docPartObj>
      </w:sdtPr>
      <w:sdtEndPr>
        <w:rPr>
          <w:rFonts w:ascii="Times New Roman" w:hAnsi="Times New Roman" w:eastAsia="仿宋"/>
          <w:bCs/>
          <w:color w:val="auto"/>
          <w:spacing w:val="28"/>
          <w:sz w:val="24"/>
          <w:szCs w:val="32"/>
          <w:highlight w:val="none"/>
        </w:rPr>
      </w:sdtEndPr>
      <w:sdtContent>
        <w:p w14:paraId="2C3FE9EA">
          <w:pPr>
            <w:jc w:val="center"/>
            <w:rPr>
              <w:color w:val="auto"/>
              <w:sz w:val="44"/>
              <w:szCs w:val="44"/>
              <w:highlight w:val="none"/>
            </w:rPr>
          </w:pPr>
          <w:r>
            <w:rPr>
              <w:rFonts w:hAnsi="宋体"/>
              <w:color w:val="auto"/>
              <w:sz w:val="36"/>
              <w:szCs w:val="44"/>
              <w:highlight w:val="none"/>
            </w:rPr>
            <w:t>目录</w:t>
          </w:r>
        </w:p>
        <w:p w14:paraId="2BC460FC">
          <w:pPr>
            <w:pStyle w:val="15"/>
            <w:tabs>
              <w:tab w:val="right" w:leader="dot" w:pos="8306"/>
              <w:tab w:val="clear" w:pos="8296"/>
            </w:tabs>
            <w:rPr>
              <w:rFonts w:hint="eastAsia" w:ascii="宋体" w:hAnsi="宋体" w:eastAsia="宋体" w:cs="宋体"/>
              <w:sz w:val="28"/>
              <w:szCs w:val="28"/>
            </w:rPr>
          </w:pPr>
          <w:r>
            <w:rPr>
              <w:rFonts w:eastAsia="仿宋"/>
              <w:b/>
              <w:bCs/>
              <w:color w:val="auto"/>
              <w:spacing w:val="28"/>
              <w:sz w:val="36"/>
              <w:szCs w:val="36"/>
              <w:highlight w:val="none"/>
            </w:rPr>
            <w:fldChar w:fldCharType="begin"/>
          </w:r>
          <w:r>
            <w:rPr>
              <w:rFonts w:eastAsia="仿宋"/>
              <w:b/>
              <w:bCs/>
              <w:color w:val="auto"/>
              <w:spacing w:val="28"/>
              <w:sz w:val="36"/>
              <w:szCs w:val="36"/>
              <w:highlight w:val="none"/>
            </w:rPr>
            <w:instrText xml:space="preserve">TOC \o "1-1" \h \u </w:instrText>
          </w:r>
          <w:r>
            <w:rPr>
              <w:rFonts w:eastAsia="仿宋"/>
              <w:b/>
              <w:bCs/>
              <w:color w:val="auto"/>
              <w:spacing w:val="28"/>
              <w:sz w:val="36"/>
              <w:szCs w:val="36"/>
              <w:highlight w:val="none"/>
            </w:rPr>
            <w:fldChar w:fldCharType="separate"/>
          </w: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_Toc31373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en-US" w:eastAsia="zh-CN" w:bidi="ar-SA"/>
            </w:rPr>
            <w:t>第一章</w:t>
          </w:r>
          <w:r>
            <w:rPr>
              <w:rFonts w:hint="eastAsia" w:ascii="宋体" w:hAnsi="宋体" w:eastAsia="宋体" w:cs="宋体"/>
              <w:sz w:val="28"/>
              <w:szCs w:val="28"/>
              <w:highlight w:val="none"/>
            </w:rPr>
            <w:t xml:space="preserve"> 询价邀请函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_Toc31373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14:paraId="75E77713">
          <w:pPr>
            <w:pStyle w:val="15"/>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_Toc30513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sz w:val="28"/>
              <w:szCs w:val="28"/>
              <w:highlight w:val="none"/>
              <w:lang w:val="en-US" w:eastAsia="zh-CN"/>
            </w:rPr>
            <w:t>第二章</w:t>
          </w:r>
          <w:r>
            <w:rPr>
              <w:rFonts w:hint="eastAsia" w:ascii="宋体" w:hAnsi="宋体" w:eastAsia="宋体" w:cs="宋体"/>
              <w:bCs/>
              <w:sz w:val="28"/>
              <w:szCs w:val="28"/>
              <w:highlight w:val="none"/>
            </w:rPr>
            <w:t xml:space="preserve"> 用户需求书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_Toc30513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14:paraId="65019806">
          <w:pPr>
            <w:pStyle w:val="15"/>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_Toc17710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sz w:val="28"/>
              <w:szCs w:val="28"/>
              <w:highlight w:val="none"/>
              <w:lang w:val="en-US" w:eastAsia="zh-CN"/>
            </w:rPr>
            <w:t>第</w:t>
          </w:r>
          <w:r>
            <w:rPr>
              <w:rFonts w:hint="eastAsia" w:ascii="宋体" w:hAnsi="宋体" w:eastAsia="宋体" w:cs="宋体"/>
              <w:bCs/>
              <w:kern w:val="44"/>
              <w:sz w:val="28"/>
              <w:szCs w:val="28"/>
              <w:highlight w:val="none"/>
              <w:lang w:val="en-US" w:eastAsia="zh-CN"/>
            </w:rPr>
            <w:t>三</w:t>
          </w:r>
          <w:r>
            <w:rPr>
              <w:rFonts w:hint="eastAsia" w:ascii="宋体" w:hAnsi="宋体" w:eastAsia="宋体" w:cs="宋体"/>
              <w:bCs/>
              <w:sz w:val="28"/>
              <w:szCs w:val="28"/>
              <w:highlight w:val="none"/>
              <w:lang w:val="en-US" w:eastAsia="zh-CN"/>
            </w:rPr>
            <w:t>章</w:t>
          </w:r>
          <w:r>
            <w:rPr>
              <w:rFonts w:hint="eastAsia" w:ascii="宋体" w:hAnsi="宋体" w:eastAsia="宋体" w:cs="宋体"/>
              <w:bCs/>
              <w:sz w:val="28"/>
              <w:szCs w:val="28"/>
              <w:highlight w:val="none"/>
            </w:rPr>
            <w:t xml:space="preserve"> </w:t>
          </w:r>
          <w:r>
            <w:rPr>
              <w:rFonts w:hint="eastAsia" w:ascii="宋体" w:hAnsi="宋体" w:eastAsia="宋体" w:cs="宋体"/>
              <w:bCs/>
              <w:kern w:val="44"/>
              <w:sz w:val="28"/>
              <w:szCs w:val="28"/>
              <w:highlight w:val="none"/>
              <w:lang w:eastAsia="zh-CN"/>
            </w:rPr>
            <w:t>合同</w:t>
          </w:r>
          <w:r>
            <w:rPr>
              <w:rFonts w:hint="eastAsia" w:ascii="宋体" w:hAnsi="宋体" w:eastAsia="宋体" w:cs="宋体"/>
              <w:bCs/>
              <w:kern w:val="44"/>
              <w:sz w:val="28"/>
              <w:szCs w:val="28"/>
              <w:highlight w:val="none"/>
              <w:lang w:val="en-US" w:eastAsia="zh-CN"/>
            </w:rPr>
            <w:t>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_Toc17710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14:paraId="01821B9D">
          <w:pPr>
            <w:pStyle w:val="15"/>
            <w:tabs>
              <w:tab w:val="right" w:leader="dot" w:pos="8306"/>
              <w:tab w:val="clear" w:pos="8296"/>
            </w:tabs>
            <w:rPr>
              <w:rFonts w:hint="eastAsia" w:ascii="宋体" w:hAnsi="宋体" w:eastAsia="宋体" w:cs="宋体"/>
              <w:sz w:val="28"/>
              <w:szCs w:val="28"/>
            </w:rPr>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_Toc30894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en-US" w:eastAsia="zh-CN" w:bidi="ar-SA"/>
            </w:rPr>
            <w:t xml:space="preserve">第四章 </w:t>
          </w:r>
          <w:r>
            <w:rPr>
              <w:rFonts w:hint="eastAsia" w:ascii="宋体" w:hAnsi="宋体" w:eastAsia="宋体" w:cs="宋体"/>
              <w:sz w:val="28"/>
              <w:szCs w:val="28"/>
              <w:highlight w:val="none"/>
            </w:rPr>
            <w:t>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_Toc30894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14:paraId="12ADEA6D">
          <w:pPr>
            <w:pStyle w:val="15"/>
            <w:tabs>
              <w:tab w:val="right" w:leader="dot" w:pos="8306"/>
              <w:tab w:val="clear" w:pos="8296"/>
            </w:tabs>
          </w:pPr>
          <w:r>
            <w:rPr>
              <w:rFonts w:hint="eastAsia" w:ascii="宋体" w:hAnsi="宋体" w:eastAsia="宋体" w:cs="宋体"/>
              <w:bCs/>
              <w:color w:val="auto"/>
              <w:spacing w:val="28"/>
              <w:sz w:val="28"/>
              <w:szCs w:val="28"/>
              <w:highlight w:val="none"/>
            </w:rPr>
            <w:fldChar w:fldCharType="begin"/>
          </w:r>
          <w:r>
            <w:rPr>
              <w:rFonts w:hint="eastAsia" w:ascii="宋体" w:hAnsi="宋体" w:eastAsia="宋体" w:cs="宋体"/>
              <w:bCs/>
              <w:spacing w:val="28"/>
              <w:sz w:val="28"/>
              <w:szCs w:val="28"/>
              <w:highlight w:val="none"/>
            </w:rPr>
            <w:instrText xml:space="preserve"> HYPERLINK \l _Toc2619 </w:instrText>
          </w:r>
          <w:r>
            <w:rPr>
              <w:rFonts w:hint="eastAsia" w:ascii="宋体" w:hAnsi="宋体" w:eastAsia="宋体" w:cs="宋体"/>
              <w:bCs/>
              <w:spacing w:val="28"/>
              <w:sz w:val="28"/>
              <w:szCs w:val="28"/>
              <w:highlight w:val="none"/>
            </w:rPr>
            <w:fldChar w:fldCharType="separate"/>
          </w:r>
          <w:r>
            <w:rPr>
              <w:rFonts w:hint="eastAsia" w:ascii="宋体" w:hAnsi="宋体" w:eastAsia="宋体" w:cs="宋体"/>
              <w:bCs/>
              <w:kern w:val="44"/>
              <w:sz w:val="28"/>
              <w:szCs w:val="28"/>
              <w:lang w:val="zh-CN" w:eastAsia="zh-CN" w:bidi="ar-SA"/>
            </w:rPr>
            <w:t>第</w:t>
          </w:r>
          <w:r>
            <w:rPr>
              <w:rFonts w:hint="eastAsia" w:ascii="宋体" w:hAnsi="宋体" w:eastAsia="宋体" w:cs="宋体"/>
              <w:bCs/>
              <w:kern w:val="44"/>
              <w:sz w:val="28"/>
              <w:szCs w:val="28"/>
              <w:lang w:val="en-US" w:eastAsia="zh-CN" w:bidi="ar-SA"/>
            </w:rPr>
            <w:t>五</w:t>
          </w:r>
          <w:r>
            <w:rPr>
              <w:rFonts w:hint="eastAsia" w:ascii="宋体" w:hAnsi="宋体" w:eastAsia="宋体" w:cs="宋体"/>
              <w:bCs/>
              <w:kern w:val="44"/>
              <w:sz w:val="28"/>
              <w:szCs w:val="28"/>
              <w:lang w:val="zh-CN" w:eastAsia="zh-CN" w:bidi="ar-SA"/>
            </w:rPr>
            <w:t xml:space="preserve">章 </w:t>
          </w:r>
          <w:r>
            <w:rPr>
              <w:rFonts w:hint="eastAsia" w:ascii="宋体" w:hAnsi="宋体" w:eastAsia="宋体" w:cs="宋体"/>
              <w:sz w:val="28"/>
              <w:szCs w:val="28"/>
              <w:highlight w:val="none"/>
            </w:rPr>
            <w:t>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bCs/>
              <w:color w:val="auto"/>
              <w:spacing w:val="28"/>
              <w:sz w:val="28"/>
              <w:szCs w:val="28"/>
              <w:highlight w:val="none"/>
            </w:rPr>
            <w:fldChar w:fldCharType="end"/>
          </w:r>
        </w:p>
        <w:p w14:paraId="01B03658">
          <w:pPr>
            <w:pStyle w:val="15"/>
            <w:tabs>
              <w:tab w:val="right" w:leader="dot" w:pos="8306"/>
              <w:tab w:val="clear" w:pos="8296"/>
            </w:tabs>
          </w:pPr>
        </w:p>
        <w:p w14:paraId="22B96AC4">
          <w:pPr>
            <w:spacing w:after="156" w:afterLines="50" w:line="360" w:lineRule="auto"/>
            <w:rPr>
              <w:rFonts w:ascii="Times New Roman" w:eastAsia="仿宋"/>
              <w:b/>
              <w:bCs/>
              <w:color w:val="auto"/>
              <w:spacing w:val="28"/>
              <w:sz w:val="32"/>
              <w:szCs w:val="32"/>
              <w:highlight w:val="none"/>
            </w:rPr>
          </w:pPr>
          <w:r>
            <w:rPr>
              <w:rFonts w:ascii="Times New Roman" w:eastAsia="仿宋"/>
              <w:bCs/>
              <w:color w:val="auto"/>
              <w:spacing w:val="28"/>
              <w:sz w:val="28"/>
              <w:szCs w:val="36"/>
              <w:highlight w:val="none"/>
            </w:rPr>
            <w:fldChar w:fldCharType="end"/>
          </w:r>
        </w:p>
      </w:sdtContent>
    </w:sdt>
    <w:p w14:paraId="5EEBF25E">
      <w:pPr>
        <w:spacing w:after="156" w:afterLines="50" w:line="360" w:lineRule="auto"/>
        <w:rPr>
          <w:rFonts w:ascii="Times New Roman" w:eastAsia="仿宋"/>
          <w:b/>
          <w:bCs/>
          <w:color w:val="auto"/>
          <w:spacing w:val="28"/>
          <w:sz w:val="32"/>
          <w:szCs w:val="32"/>
          <w:highlight w:val="none"/>
        </w:rPr>
      </w:pPr>
    </w:p>
    <w:p w14:paraId="0437086F">
      <w:pPr>
        <w:spacing w:after="156" w:afterLines="50" w:line="360" w:lineRule="auto"/>
        <w:jc w:val="center"/>
        <w:rPr>
          <w:rFonts w:ascii="Times New Roman" w:eastAsia="仿宋"/>
          <w:b/>
          <w:bCs/>
          <w:color w:val="auto"/>
          <w:spacing w:val="28"/>
          <w:sz w:val="32"/>
          <w:szCs w:val="32"/>
          <w:highlight w:val="none"/>
        </w:rPr>
      </w:pPr>
    </w:p>
    <w:p w14:paraId="3073F44F">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7E23DD09">
      <w:pPr>
        <w:pStyle w:val="2"/>
        <w:numPr>
          <w:ilvl w:val="0"/>
          <w:numId w:val="0"/>
        </w:numPr>
        <w:jc w:val="center"/>
        <w:rPr>
          <w:b w:val="0"/>
          <w:bCs w:val="0"/>
          <w:color w:val="auto"/>
          <w:szCs w:val="32"/>
          <w:highlight w:val="none"/>
        </w:rPr>
      </w:pPr>
      <w:bookmarkStart w:id="3" w:name="_Toc31373"/>
      <w:bookmarkStart w:id="4" w:name="_Toc3507"/>
      <w:bookmarkStart w:id="5" w:name="_Toc44929185"/>
      <w:r>
        <w:rPr>
          <w:rFonts w:hint="eastAsia" w:ascii="宋体" w:hAnsi="Times New Roman" w:eastAsia="宋体" w:cs="Times New Roman"/>
          <w:b/>
          <w:bCs/>
          <w:color w:val="auto"/>
          <w:kern w:val="44"/>
          <w:sz w:val="32"/>
          <w:szCs w:val="32"/>
          <w:lang w:val="en-US" w:eastAsia="zh-CN" w:bidi="ar-SA"/>
        </w:rPr>
        <w:t>第一章</w:t>
      </w:r>
      <w:r>
        <w:rPr>
          <w:rFonts w:hint="eastAsia"/>
          <w:color w:val="auto"/>
          <w:szCs w:val="32"/>
          <w:highlight w:val="none"/>
        </w:rPr>
        <w:t xml:space="preserve"> </w:t>
      </w:r>
      <w:bookmarkStart w:id="6" w:name="_Toc26201"/>
      <w:bookmarkStart w:id="7" w:name="_Toc2453"/>
      <w:bookmarkStart w:id="8" w:name="_Toc1800"/>
      <w:bookmarkStart w:id="9" w:name="_Toc20806"/>
      <w:r>
        <w:rPr>
          <w:rFonts w:hint="eastAsia"/>
          <w:color w:val="auto"/>
          <w:szCs w:val="32"/>
          <w:highlight w:val="none"/>
        </w:rPr>
        <w:t>询价邀请函</w:t>
      </w:r>
      <w:bookmarkEnd w:id="3"/>
      <w:bookmarkEnd w:id="4"/>
      <w:bookmarkEnd w:id="5"/>
      <w:bookmarkEnd w:id="6"/>
      <w:bookmarkEnd w:id="7"/>
      <w:bookmarkEnd w:id="8"/>
      <w:bookmarkEnd w:id="9"/>
    </w:p>
    <w:p w14:paraId="4AFA67C8">
      <w:pPr>
        <w:spacing w:line="360" w:lineRule="auto"/>
        <w:rPr>
          <w:rFonts w:ascii="Times New Roman"/>
          <w:color w:val="auto"/>
          <w:highlight w:val="none"/>
        </w:rPr>
      </w:pPr>
      <w:r>
        <w:rPr>
          <w:rFonts w:ascii="Times New Roman"/>
          <w:color w:val="auto"/>
          <w:highlight w:val="none"/>
        </w:rPr>
        <w:t>各</w:t>
      </w:r>
      <w:r>
        <w:rPr>
          <w:rFonts w:hint="eastAsia" w:ascii="Times New Roman"/>
          <w:color w:val="auto"/>
          <w:highlight w:val="none"/>
        </w:rPr>
        <w:t>报价人</w:t>
      </w:r>
      <w:r>
        <w:rPr>
          <w:rFonts w:ascii="Times New Roman"/>
          <w:color w:val="auto"/>
          <w:highlight w:val="none"/>
        </w:rPr>
        <w:t>:</w:t>
      </w:r>
    </w:p>
    <w:p w14:paraId="29E4BEAE">
      <w:pPr>
        <w:spacing w:line="360" w:lineRule="auto"/>
        <w:ind w:firstLine="480" w:firstLineChars="200"/>
        <w:rPr>
          <w:rFonts w:ascii="Times New Roman" w:hAnsi="Times New Roman"/>
          <w:color w:val="auto"/>
          <w:highlight w:val="none"/>
        </w:rPr>
      </w:pPr>
      <w:r>
        <w:rPr>
          <w:rFonts w:ascii="Times New Roman" w:hAnsi="Times New Roman"/>
          <w:color w:val="auto"/>
          <w:highlight w:val="none"/>
        </w:rPr>
        <w:t>我公司的“</w:t>
      </w:r>
      <w:r>
        <w:rPr>
          <w:rFonts w:hint="eastAsia" w:ascii="Times New Roman" w:hAnsi="Times New Roman"/>
          <w:color w:val="auto"/>
          <w:highlight w:val="none"/>
        </w:rPr>
        <w:t>滨海湾新区苗涌东侧规划次干路配套给水工程（含交椅湾板块连通管工程）涉地铁2号线安全评估报告编制</w:t>
      </w:r>
      <w:r>
        <w:rPr>
          <w:rFonts w:ascii="Times New Roman" w:hAnsi="Times New Roman"/>
          <w:color w:val="auto"/>
          <w:highlight w:val="none"/>
        </w:rPr>
        <w:t>”正式开展，现邀请</w:t>
      </w:r>
      <w:r>
        <w:rPr>
          <w:rFonts w:hint="eastAsia" w:ascii="Times New Roman" w:hAnsi="Times New Roman"/>
          <w:color w:val="auto"/>
          <w:highlight w:val="none"/>
        </w:rPr>
        <w:t>贵公司</w:t>
      </w:r>
      <w:r>
        <w:rPr>
          <w:rFonts w:ascii="Times New Roman" w:hAnsi="Times New Roman"/>
          <w:color w:val="auto"/>
          <w:highlight w:val="none"/>
        </w:rPr>
        <w:t>参与本项目的</w:t>
      </w:r>
      <w:r>
        <w:rPr>
          <w:rFonts w:hint="eastAsia" w:ascii="Times New Roman" w:hAnsi="Times New Roman"/>
          <w:color w:val="auto"/>
          <w:highlight w:val="none"/>
        </w:rPr>
        <w:t>采购报价</w:t>
      </w:r>
      <w:r>
        <w:rPr>
          <w:rFonts w:ascii="Times New Roman" w:hAnsi="Times New Roman"/>
          <w:color w:val="auto"/>
          <w:highlight w:val="none"/>
        </w:rPr>
        <w:t>。具体采购信息如下：</w:t>
      </w:r>
    </w:p>
    <w:p w14:paraId="722C1F22">
      <w:pPr>
        <w:spacing w:line="360" w:lineRule="auto"/>
        <w:ind w:firstLine="480" w:firstLineChars="200"/>
        <w:rPr>
          <w:rFonts w:hint="eastAsia" w:ascii="Times New Roman" w:hAnsi="Times New Roman"/>
          <w:color w:val="auto"/>
          <w:highlight w:val="none"/>
        </w:rPr>
      </w:pPr>
      <w:r>
        <w:rPr>
          <w:rFonts w:ascii="Times New Roman" w:hAnsi="Times New Roman"/>
          <w:color w:val="auto"/>
          <w:highlight w:val="none"/>
        </w:rPr>
        <w:t>一、采购项目编号：</w:t>
      </w:r>
      <w:r>
        <w:rPr>
          <w:rFonts w:hint="eastAsia" w:ascii="Times New Roman" w:hAnsi="Times New Roman"/>
          <w:color w:val="auto"/>
          <w:highlight w:val="none"/>
        </w:rPr>
        <w:t>2025-CG-033</w:t>
      </w:r>
    </w:p>
    <w:p w14:paraId="1F7EF742">
      <w:pPr>
        <w:spacing w:line="360" w:lineRule="auto"/>
        <w:ind w:firstLine="480" w:firstLineChars="200"/>
        <w:rPr>
          <w:rFonts w:hint="eastAsia" w:ascii="Times New Roman" w:hAnsi="Times New Roman"/>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rPr>
        <w:t>滨海湾新区苗涌东侧规划次干路配套给水工程（含交椅湾板块连通管工程）涉地铁2号线安全评估报告编制</w:t>
      </w:r>
    </w:p>
    <w:p w14:paraId="709CF6B9">
      <w:pPr>
        <w:autoSpaceDE/>
        <w:autoSpaceDN/>
        <w:spacing w:line="360" w:lineRule="auto"/>
        <w:ind w:firstLine="480" w:firstLineChars="200"/>
        <w:rPr>
          <w:rFonts w:hint="eastAsia" w:ascii="Times New Roman" w:hAnsi="Times New Roman" w:eastAsia="宋体"/>
          <w:color w:val="auto"/>
          <w:highlight w:val="none"/>
          <w:lang w:eastAsia="zh-CN"/>
        </w:rPr>
      </w:pPr>
      <w:r>
        <w:rPr>
          <w:rFonts w:ascii="Times New Roman" w:hAnsi="Times New Roman"/>
          <w:color w:val="auto"/>
          <w:highlight w:val="none"/>
        </w:rPr>
        <w:t>三、采购预算：</w:t>
      </w:r>
      <w:r>
        <w:rPr>
          <w:rFonts w:hint="eastAsia" w:ascii="Times New Roman" w:hAnsi="Times New Roman"/>
          <w:color w:val="auto"/>
          <w:highlight w:val="none"/>
          <w:lang w:val="en-US" w:eastAsia="zh-CN"/>
        </w:rPr>
        <w:t>本项目</w:t>
      </w:r>
      <w:r>
        <w:rPr>
          <w:rFonts w:hint="eastAsia" w:ascii="Times New Roman" w:hAnsi="Times New Roman"/>
          <w:color w:val="auto"/>
          <w:highlight w:val="none"/>
        </w:rPr>
        <w:t>总采购限价为</w:t>
      </w:r>
      <w:r>
        <w:rPr>
          <w:rFonts w:hint="eastAsia" w:ascii="Times New Roman" w:hAnsi="Times New Roman"/>
          <w:color w:val="auto"/>
          <w:highlight w:val="none"/>
          <w:lang w:eastAsia="zh-CN"/>
        </w:rPr>
        <w:t>332,169.81</w:t>
      </w:r>
      <w:r>
        <w:rPr>
          <w:rFonts w:hint="eastAsia" w:ascii="Times New Roman" w:hAnsi="Times New Roman"/>
          <w:color w:val="auto"/>
          <w:highlight w:val="none"/>
          <w:lang w:val="en-US" w:eastAsia="zh-CN"/>
        </w:rPr>
        <w:t>元</w:t>
      </w:r>
      <w:r>
        <w:rPr>
          <w:rFonts w:hint="eastAsia" w:ascii="Times New Roman" w:hAnsi="Times New Roman"/>
          <w:color w:val="auto"/>
          <w:highlight w:val="none"/>
        </w:rPr>
        <w:t>（不含税</w:t>
      </w:r>
      <w:r>
        <w:rPr>
          <w:rFonts w:hint="eastAsia" w:ascii="Times New Roman" w:hAnsi="Times New Roman"/>
          <w:color w:val="auto"/>
          <w:highlight w:val="none"/>
          <w:lang w:eastAsia="zh-CN"/>
        </w:rPr>
        <w:t>）</w:t>
      </w:r>
      <w:r>
        <w:rPr>
          <w:rFonts w:hint="eastAsia" w:ascii="Times New Roman" w:hAnsi="Times New Roman" w:cs="Times New Roman"/>
          <w:color w:val="auto"/>
          <w:sz w:val="24"/>
          <w:szCs w:val="24"/>
          <w:highlight w:val="none"/>
          <w:lang w:val="en-US" w:eastAsia="zh-CN"/>
        </w:rPr>
        <w:t>。</w:t>
      </w:r>
    </w:p>
    <w:p w14:paraId="68E5727D">
      <w:pPr>
        <w:spacing w:line="360" w:lineRule="auto"/>
        <w:ind w:firstLine="480" w:firstLineChars="200"/>
        <w:rPr>
          <w:rFonts w:ascii="Times New Roman" w:hAnsi="Times New Roman"/>
          <w:color w:val="auto"/>
          <w:highlight w:val="none"/>
        </w:rPr>
      </w:pPr>
      <w:r>
        <w:rPr>
          <w:rFonts w:ascii="Times New Roman" w:hAnsi="Times New Roman"/>
          <w:color w:val="auto"/>
          <w:highlight w:val="none"/>
        </w:rPr>
        <w:t>四、采购内容：（具体详见用户需求书）</w:t>
      </w:r>
    </w:p>
    <w:p w14:paraId="531BD689">
      <w:pPr>
        <w:spacing w:line="360" w:lineRule="auto"/>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五、资质要求：</w:t>
      </w:r>
    </w:p>
    <w:p w14:paraId="57216766">
      <w:pPr>
        <w:pStyle w:val="5"/>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（一）报价人须是在中华人民共和国境内注册的法人或其他组织，具有独立承担民事责任的能力。</w:t>
      </w:r>
    </w:p>
    <w:p w14:paraId="05582E76">
      <w:pPr>
        <w:pStyle w:val="5"/>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（二）报价人应具有工程勘察综合甲级资质和相关轨道交通工程安全评估经验，且还应至少满足以下条件之一：</w:t>
      </w:r>
    </w:p>
    <w:p w14:paraId="734503EA">
      <w:pPr>
        <w:pStyle w:val="5"/>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1.具有国家发改委颁发的工程咨询（铁路、城市轨道交通专业）甲级资信证书。</w:t>
      </w:r>
    </w:p>
    <w:p w14:paraId="674871D5">
      <w:pPr>
        <w:pStyle w:val="5"/>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2.具有工程设计综合甲级资质。</w:t>
      </w:r>
    </w:p>
    <w:p w14:paraId="0E3FBFED">
      <w:pPr>
        <w:pStyle w:val="5"/>
        <w:ind w:firstLine="480" w:firstLineChars="20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3.具有工程设计市政行业轨道交通工程专业甲级资质。</w:t>
      </w:r>
    </w:p>
    <w:p w14:paraId="647D350F">
      <w:pPr>
        <w:pStyle w:val="5"/>
        <w:ind w:firstLine="480" w:firstLineChars="200"/>
        <w:rPr>
          <w:rFonts w:hint="eastAsia" w:ascii="Times New Roman" w:hAnsi="Times New Roman"/>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报价人2021年1月1日以来具有一项东莞地铁安全评估业绩（合同签订日期为2021年1月1日或以后）</w:t>
      </w:r>
      <w:r>
        <w:rPr>
          <w:rFonts w:hint="eastAsia" w:ascii="Times New Roman" w:hAnsi="Times New Roman"/>
          <w:color w:val="auto"/>
          <w:highlight w:val="none"/>
          <w:lang w:eastAsia="zh-CN"/>
        </w:rPr>
        <w:t>；</w:t>
      </w:r>
    </w:p>
    <w:p w14:paraId="28906BBF">
      <w:pPr>
        <w:pStyle w:val="5"/>
        <w:ind w:firstLine="480" w:firstLineChars="200"/>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14:paraId="5289DCE5">
      <w:pPr>
        <w:pStyle w:val="5"/>
        <w:ind w:firstLine="480" w:firstLineChars="200"/>
        <w:rPr>
          <w:rFonts w:hint="eastAsia" w:ascii="Times New Roman"/>
          <w:color w:val="auto"/>
          <w:highlight w:val="none"/>
          <w:lang w:val="en-US" w:eastAsia="zh-CN"/>
        </w:rPr>
      </w:pPr>
      <w:r>
        <w:rPr>
          <w:rFonts w:hint="eastAsia" w:ascii="Times New Roman" w:hAnsi="Times New Roman"/>
          <w:color w:val="auto"/>
          <w:highlight w:val="none"/>
          <w:lang w:val="en-US" w:eastAsia="zh-CN"/>
        </w:rPr>
        <w:t>（五）与采购人存在利害关系可能影响采购公正性的法人、其他组织或者个人，不得参加报价；报价人负责人为同一人或者存在控股、管理关系的不同报价人，不得参加同一项目报价。前述情况一经发现，相关报价均无效。</w:t>
      </w:r>
    </w:p>
    <w:p w14:paraId="3391948C">
      <w:pPr>
        <w:ind w:firstLine="480" w:firstLineChars="200"/>
        <w:rPr>
          <w:rFonts w:hint="eastAsia"/>
          <w:b/>
          <w:bCs/>
          <w:highlight w:val="none"/>
          <w:lang w:eastAsia="zh-CN"/>
        </w:rPr>
      </w:pPr>
      <w:r>
        <w:rPr>
          <w:rFonts w:hint="eastAsia" w:ascii="Times New Roman"/>
          <w:color w:val="auto"/>
          <w:highlight w:val="none"/>
          <w:lang w:val="en-US" w:eastAsia="zh-CN"/>
        </w:rPr>
        <w:t>六</w:t>
      </w:r>
      <w:r>
        <w:rPr>
          <w:rFonts w:ascii="Times New Roman"/>
          <w:color w:val="auto"/>
          <w:highlight w:val="none"/>
        </w:rPr>
        <w:t>、成交原则：</w:t>
      </w:r>
      <w:r>
        <w:rPr>
          <w:rFonts w:ascii="Times New Roman"/>
          <w:b/>
          <w:bCs/>
          <w:color w:val="auto"/>
          <w:highlight w:val="none"/>
        </w:rPr>
        <w:t>从实质性满足采购需求的报价人中，按</w:t>
      </w:r>
      <w:r>
        <w:rPr>
          <w:rFonts w:hint="eastAsia" w:ascii="Times New Roman" w:cs="Times New Roman"/>
          <w:b/>
          <w:bCs/>
          <w:color w:val="auto"/>
          <w:sz w:val="24"/>
          <w:szCs w:val="24"/>
          <w:highlight w:val="none"/>
          <w:lang w:val="en-US" w:eastAsia="zh-CN"/>
        </w:rPr>
        <w:t>不含税报价最低</w:t>
      </w:r>
      <w:r>
        <w:rPr>
          <w:rFonts w:ascii="Times New Roman"/>
          <w:b/>
          <w:bCs/>
          <w:color w:val="auto"/>
          <w:highlight w:val="none"/>
        </w:rPr>
        <w:t>成交原则确定成交人。</w:t>
      </w:r>
    </w:p>
    <w:p w14:paraId="458436EF">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七</w:t>
      </w:r>
      <w:r>
        <w:rPr>
          <w:rFonts w:ascii="Times New Roman"/>
          <w:color w:val="auto"/>
          <w:highlight w:val="none"/>
        </w:rPr>
        <w:t>、报价文件递交截止时间：</w:t>
      </w:r>
      <w:bookmarkStart w:id="10" w:name="_Hlk27138379"/>
      <w:bookmarkStart w:id="11" w:name="OLE_LINK3"/>
      <w:r>
        <w:rPr>
          <w:rFonts w:hint="eastAsia" w:ascii="Times New Roman"/>
          <w:b/>
          <w:bCs/>
          <w:color w:val="auto"/>
          <w:highlight w:val="none"/>
          <w:lang w:val="en-US" w:eastAsia="zh-CN"/>
        </w:rPr>
        <w:t>2026年2月5日（星期四）16时00分</w:t>
      </w:r>
      <w:bookmarkEnd w:id="10"/>
      <w:bookmarkEnd w:id="11"/>
      <w:r>
        <w:rPr>
          <w:rFonts w:ascii="Times New Roman"/>
          <w:color w:val="auto"/>
          <w:highlight w:val="none"/>
        </w:rPr>
        <w:t>。</w:t>
      </w:r>
    </w:p>
    <w:p w14:paraId="370C4941">
      <w:pPr>
        <w:spacing w:line="360" w:lineRule="auto"/>
        <w:ind w:firstLine="480" w:firstLineChars="200"/>
        <w:rPr>
          <w:rFonts w:hint="eastAsia" w:ascii="Times New Roman"/>
          <w:color w:val="auto"/>
          <w:highlight w:val="none"/>
        </w:rPr>
      </w:pPr>
      <w:r>
        <w:rPr>
          <w:rFonts w:hint="eastAsia" w:ascii="Times New Roman"/>
          <w:color w:val="auto"/>
          <w:highlight w:val="none"/>
          <w:lang w:val="en-US" w:eastAsia="zh-CN"/>
        </w:rPr>
        <w:t>八</w:t>
      </w:r>
      <w:r>
        <w:rPr>
          <w:rFonts w:ascii="Times New Roman"/>
          <w:color w:val="auto"/>
          <w:highlight w:val="none"/>
        </w:rPr>
        <w:t>、报价文件递交地点：</w:t>
      </w:r>
      <w:r>
        <w:rPr>
          <w:rFonts w:hint="eastAsia" w:ascii="Times New Roman"/>
          <w:color w:val="auto"/>
          <w:highlight w:val="none"/>
        </w:rPr>
        <w:t>东莞市南城街道滨河路100号</w:t>
      </w:r>
      <w:r>
        <w:rPr>
          <w:rFonts w:hint="eastAsia" w:ascii="Times New Roman"/>
          <w:color w:val="auto"/>
          <w:highlight w:val="none"/>
          <w:lang w:eastAsia="zh-CN"/>
        </w:rPr>
        <w:t>东莞市水务环境投资控股集团建设管理有限公司</w:t>
      </w:r>
      <w:r>
        <w:rPr>
          <w:rFonts w:hint="eastAsia" w:ascii="Times New Roman"/>
          <w:color w:val="auto"/>
          <w:highlight w:val="none"/>
        </w:rPr>
        <w:t>。</w:t>
      </w:r>
    </w:p>
    <w:p w14:paraId="68F4DD0A">
      <w:pPr>
        <w:pStyle w:val="5"/>
        <w:ind w:firstLine="480" w:firstLineChars="200"/>
        <w:rPr>
          <w:rFonts w:hint="eastAsia"/>
        </w:rPr>
      </w:pPr>
      <w:r>
        <w:rPr>
          <w:rFonts w:hint="eastAsia"/>
          <w:lang w:val="en-US" w:eastAsia="zh-CN"/>
        </w:rPr>
        <w:t>九</w:t>
      </w:r>
      <w:r>
        <w:rPr>
          <w:rFonts w:hint="eastAsia"/>
        </w:rPr>
        <w:t>、报价文件开封时间：</w:t>
      </w:r>
      <w:r>
        <w:rPr>
          <w:rFonts w:hint="eastAsia" w:ascii="Times New Roman"/>
          <w:b/>
          <w:bCs/>
          <w:color w:val="auto"/>
          <w:highlight w:val="none"/>
          <w:lang w:val="en-US" w:eastAsia="zh-CN"/>
        </w:rPr>
        <w:t>2026年2月5日（星期四）16时00分</w:t>
      </w:r>
      <w:r>
        <w:rPr>
          <w:rFonts w:hint="eastAsia"/>
          <w:color w:val="auto"/>
          <w:highlight w:val="none"/>
        </w:rPr>
        <w:t>。</w:t>
      </w:r>
    </w:p>
    <w:p w14:paraId="626F0EE1">
      <w:pPr>
        <w:pStyle w:val="5"/>
        <w:ind w:firstLine="480" w:firstLineChars="200"/>
      </w:pPr>
      <w:r>
        <w:rPr>
          <w:rFonts w:hint="eastAsia"/>
          <w:lang w:val="en-US" w:eastAsia="zh-CN"/>
        </w:rPr>
        <w:t>十</w:t>
      </w:r>
      <w:r>
        <w:rPr>
          <w:rFonts w:hint="eastAsia"/>
        </w:rPr>
        <w:t>、开封地点：东莞市南城街道滨河路100号</w:t>
      </w:r>
      <w:r>
        <w:rPr>
          <w:rFonts w:hint="eastAsia"/>
          <w:lang w:eastAsia="zh-CN"/>
        </w:rPr>
        <w:t>东莞市水务环境投资控股集团建设管理有限公司</w:t>
      </w:r>
      <w:r>
        <w:rPr>
          <w:rFonts w:hint="eastAsia"/>
        </w:rPr>
        <w:t>三楼合同管理部旁会客厅。</w:t>
      </w:r>
    </w:p>
    <w:p w14:paraId="560E08FA">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十一</w:t>
      </w:r>
      <w:r>
        <w:rPr>
          <w:rFonts w:ascii="Times New Roman"/>
          <w:color w:val="auto"/>
          <w:highlight w:val="none"/>
        </w:rPr>
        <w:t>、采购人联系方式：</w:t>
      </w:r>
    </w:p>
    <w:p w14:paraId="79E67340">
      <w:pPr>
        <w:spacing w:line="360" w:lineRule="auto"/>
        <w:ind w:firstLine="480" w:firstLineChars="200"/>
        <w:rPr>
          <w:rFonts w:hint="default" w:ascii="Times New Roman" w:eastAsia="宋体"/>
          <w:color w:val="auto"/>
          <w:highlight w:val="none"/>
          <w:lang w:val="en-US" w:eastAsia="zh-CN"/>
        </w:rPr>
      </w:pPr>
      <w:bookmarkStart w:id="12" w:name="_Hlk27138405"/>
      <w:r>
        <w:rPr>
          <w:rFonts w:ascii="Times New Roman"/>
          <w:color w:val="auto"/>
          <w:highlight w:val="none"/>
        </w:rPr>
        <w:t>采购联系人：</w:t>
      </w:r>
      <w:r>
        <w:rPr>
          <w:rFonts w:hint="eastAsia" w:ascii="Times New Roman"/>
          <w:color w:val="auto"/>
          <w:highlight w:val="none"/>
          <w:lang w:val="en-US" w:eastAsia="zh-CN"/>
        </w:rPr>
        <w:t>陈工、王工</w:t>
      </w:r>
    </w:p>
    <w:p w14:paraId="1FDB52FE">
      <w:pPr>
        <w:spacing w:line="360" w:lineRule="auto"/>
        <w:ind w:firstLine="480" w:firstLineChars="200"/>
        <w:rPr>
          <w:rFonts w:hint="eastAsia" w:ascii="Times New Roman" w:eastAsia="宋体"/>
          <w:color w:val="auto"/>
          <w:highlight w:val="none"/>
          <w:lang w:eastAsia="zh-CN"/>
        </w:rPr>
      </w:pPr>
      <w:r>
        <w:rPr>
          <w:rFonts w:ascii="Times New Roman"/>
          <w:color w:val="auto"/>
          <w:highlight w:val="none"/>
        </w:rPr>
        <w:t>联系电话：</w:t>
      </w:r>
      <w:r>
        <w:rPr>
          <w:rFonts w:hint="eastAsia" w:ascii="Times New Roman"/>
          <w:color w:val="auto"/>
          <w:highlight w:val="none"/>
        </w:rPr>
        <w:t>0769-22008759</w:t>
      </w:r>
      <w:r>
        <w:rPr>
          <w:rFonts w:hint="eastAsia" w:ascii="Times New Roman"/>
          <w:color w:val="auto"/>
          <w:highlight w:val="none"/>
          <w:lang w:eastAsia="zh-CN"/>
        </w:rPr>
        <w:t xml:space="preserve"> </w:t>
      </w:r>
    </w:p>
    <w:p w14:paraId="00E1093F">
      <w:pPr>
        <w:spacing w:line="360" w:lineRule="auto"/>
        <w:ind w:firstLine="480" w:firstLineChars="200"/>
        <w:rPr>
          <w:rFonts w:ascii="Times New Roman"/>
          <w:color w:val="auto"/>
          <w:highlight w:val="none"/>
        </w:rPr>
      </w:pPr>
      <w:r>
        <w:rPr>
          <w:rFonts w:ascii="Times New Roman"/>
          <w:color w:val="auto"/>
          <w:highlight w:val="none"/>
        </w:rPr>
        <w:t>联系地址：东莞市</w:t>
      </w:r>
      <w:r>
        <w:rPr>
          <w:rFonts w:hint="eastAsia" w:ascii="Times New Roman"/>
          <w:color w:val="auto"/>
          <w:highlight w:val="none"/>
        </w:rPr>
        <w:t>南城</w:t>
      </w:r>
      <w:r>
        <w:rPr>
          <w:rFonts w:ascii="Times New Roman"/>
          <w:color w:val="auto"/>
          <w:highlight w:val="none"/>
        </w:rPr>
        <w:t>街道</w:t>
      </w:r>
      <w:r>
        <w:rPr>
          <w:rFonts w:hint="eastAsia" w:ascii="Times New Roman"/>
          <w:color w:val="auto"/>
          <w:highlight w:val="none"/>
        </w:rPr>
        <w:t>滨河</w:t>
      </w:r>
      <w:r>
        <w:rPr>
          <w:rFonts w:ascii="Times New Roman"/>
          <w:color w:val="auto"/>
          <w:highlight w:val="none"/>
        </w:rPr>
        <w:t>路100号</w:t>
      </w:r>
      <w:r>
        <w:rPr>
          <w:rFonts w:hint="eastAsia" w:ascii="Times New Roman"/>
          <w:color w:val="auto"/>
          <w:highlight w:val="none"/>
          <w:lang w:eastAsia="zh-CN"/>
        </w:rPr>
        <w:t>东莞市水务环境投资控股集团建设管理有限公司</w:t>
      </w:r>
      <w:r>
        <w:rPr>
          <w:rFonts w:ascii="Times New Roman"/>
          <w:color w:val="auto"/>
          <w:highlight w:val="none"/>
        </w:rPr>
        <w:t>。</w:t>
      </w:r>
      <w:bookmarkEnd w:id="12"/>
    </w:p>
    <w:p w14:paraId="39E04CD0">
      <w:pPr>
        <w:rPr>
          <w:rFonts w:ascii="Times New Roman"/>
          <w:color w:val="auto"/>
          <w:highlight w:val="none"/>
        </w:rPr>
      </w:pPr>
    </w:p>
    <w:p w14:paraId="24A75579">
      <w:pPr>
        <w:rPr>
          <w:rFonts w:ascii="Times New Roman"/>
          <w:color w:val="auto"/>
          <w:highlight w:val="none"/>
        </w:rPr>
      </w:pPr>
    </w:p>
    <w:p w14:paraId="2004B2DF">
      <w:pPr>
        <w:rPr>
          <w:rFonts w:ascii="Times New Roman"/>
          <w:color w:val="auto"/>
          <w:highlight w:val="none"/>
        </w:rPr>
      </w:pPr>
    </w:p>
    <w:p w14:paraId="4E95BBDE">
      <w:pPr>
        <w:jc w:val="right"/>
        <w:rPr>
          <w:rFonts w:hint="eastAsia" w:ascii="Times New Roman" w:eastAsia="宋体"/>
          <w:color w:val="auto"/>
          <w:highlight w:val="none"/>
          <w:lang w:eastAsia="zh-CN"/>
        </w:rPr>
      </w:pPr>
      <w:bookmarkStart w:id="13" w:name="_Hlk27138410"/>
      <w:r>
        <w:rPr>
          <w:rFonts w:hint="eastAsia" w:ascii="Times New Roman"/>
          <w:color w:val="auto"/>
          <w:highlight w:val="none"/>
          <w:lang w:eastAsia="zh-CN"/>
        </w:rPr>
        <w:t>东莞市水务环境投资控股集团建设管理有限公司</w:t>
      </w:r>
    </w:p>
    <w:p w14:paraId="36298C81">
      <w:pPr>
        <w:ind w:firstLine="5822" w:firstLineChars="2426"/>
        <w:rPr>
          <w:rFonts w:hint="eastAsia" w:ascii="宋体"/>
          <w:color w:val="auto"/>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color w:val="auto"/>
          <w:highlight w:val="none"/>
          <w:lang w:val="en-US" w:eastAsia="zh-CN"/>
        </w:rPr>
        <w:t>2026</w:t>
      </w:r>
      <w:r>
        <w:rPr>
          <w:rFonts w:hint="eastAsia" w:ascii="Times New Roman"/>
          <w:color w:val="auto"/>
          <w:highlight w:val="none"/>
        </w:rPr>
        <w:t>年</w:t>
      </w:r>
      <w:r>
        <w:rPr>
          <w:rFonts w:hint="eastAsia" w:ascii="Times New Roman"/>
          <w:color w:val="auto"/>
          <w:highlight w:val="none"/>
          <w:lang w:val="en-US" w:eastAsia="zh-CN"/>
        </w:rPr>
        <w:t>2月2日</w:t>
      </w:r>
      <w:bookmarkEnd w:id="13"/>
    </w:p>
    <w:p w14:paraId="22387350">
      <w:pPr>
        <w:pStyle w:val="2"/>
        <w:numPr>
          <w:ilvl w:val="0"/>
          <w:numId w:val="0"/>
        </w:numPr>
        <w:autoSpaceDE/>
        <w:autoSpaceDN/>
        <w:spacing w:before="0" w:after="0" w:line="600" w:lineRule="exact"/>
        <w:ind w:firstLine="0"/>
        <w:jc w:val="center"/>
        <w:rPr>
          <w:rFonts w:hint="default" w:ascii="Times New Roman" w:hAnsi="Times New Roman" w:eastAsia="黑体" w:cs="Times New Roman"/>
          <w:bCs/>
          <w:sz w:val="28"/>
          <w:szCs w:val="28"/>
        </w:rPr>
      </w:pPr>
      <w:bookmarkStart w:id="14" w:name="_Toc30513"/>
      <w:bookmarkStart w:id="15" w:name="_Toc959"/>
      <w:bookmarkStart w:id="16" w:name="_Toc447044478"/>
      <w:bookmarkStart w:id="17" w:name="_Toc44929188"/>
      <w:bookmarkStart w:id="18" w:name="_Toc447045089"/>
      <w:bookmarkStart w:id="19" w:name="_Toc447044602"/>
      <w:r>
        <w:rPr>
          <w:rFonts w:hint="eastAsia" w:ascii="宋体" w:hAnsi="宋体" w:eastAsia="宋体" w:cs="宋体"/>
          <w:b/>
          <w:bCs/>
          <w:color w:val="auto"/>
          <w:szCs w:val="32"/>
          <w:highlight w:val="none"/>
          <w:lang w:val="en-US" w:eastAsia="zh-CN"/>
        </w:rPr>
        <w:t>第二章</w:t>
      </w:r>
      <w:r>
        <w:rPr>
          <w:rFonts w:hint="eastAsia" w:ascii="宋体" w:hAnsi="宋体" w:eastAsia="宋体" w:cs="宋体"/>
          <w:b/>
          <w:bCs/>
          <w:color w:val="auto"/>
          <w:szCs w:val="32"/>
          <w:highlight w:val="none"/>
        </w:rPr>
        <w:t xml:space="preserve"> </w:t>
      </w:r>
      <w:bookmarkStart w:id="20" w:name="_Toc10966"/>
      <w:bookmarkStart w:id="21" w:name="_Toc21778"/>
      <w:bookmarkStart w:id="22" w:name="_Toc25395"/>
      <w:bookmarkStart w:id="23" w:name="_Toc16805"/>
      <w:r>
        <w:rPr>
          <w:rFonts w:hint="eastAsia" w:ascii="宋体" w:hAnsi="宋体" w:eastAsia="宋体" w:cs="宋体"/>
          <w:b/>
          <w:bCs/>
          <w:color w:val="auto"/>
          <w:szCs w:val="32"/>
          <w:highlight w:val="none"/>
        </w:rPr>
        <w:t>用户需求书</w:t>
      </w:r>
      <w:bookmarkEnd w:id="14"/>
      <w:bookmarkEnd w:id="15"/>
      <w:bookmarkEnd w:id="20"/>
      <w:bookmarkEnd w:id="21"/>
      <w:bookmarkEnd w:id="22"/>
      <w:bookmarkEnd w:id="23"/>
    </w:p>
    <w:p w14:paraId="1E89C8AB">
      <w:pPr>
        <w:pStyle w:val="5"/>
        <w:autoSpaceDE/>
        <w:autoSpaceDN/>
        <w:spacing w:line="600" w:lineRule="exact"/>
        <w:ind w:firstLine="640" w:firstLineChars="200"/>
        <w:rPr>
          <w:sz w:val="32"/>
          <w:szCs w:val="32"/>
          <w:lang w:val="zh-CN"/>
        </w:rPr>
      </w:pPr>
    </w:p>
    <w:p w14:paraId="21540BFA">
      <w:pPr>
        <w:autoSpaceDE/>
        <w:autoSpaceDN/>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一、项目概况</w:t>
      </w:r>
    </w:p>
    <w:p w14:paraId="4FA67FD0">
      <w:pPr>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eastAsia="仿宋_GB2312" w:cs="仿宋_GB2312"/>
          <w:color w:val="000000" w:themeColor="text1"/>
          <w:sz w:val="32"/>
          <w:szCs w:val="32"/>
          <w14:textFill>
            <w14:solidFill>
              <w14:schemeClr w14:val="tx1"/>
            </w14:solidFill>
          </w14:textFill>
        </w:rPr>
        <w:t>滨海湾新区苗涌东侧规划次干路配套给水工程（含交椅湾板块连通管工程）</w:t>
      </w:r>
      <w:r>
        <w:rPr>
          <w:rFonts w:hint="eastAsia" w:ascii="Times New Roman" w:hAnsi="Times New Roman" w:eastAsia="仿宋_GB2312" w:cs="仿宋_GB2312"/>
          <w:color w:val="000000" w:themeColor="text1"/>
          <w:kern w:val="0"/>
          <w:sz w:val="32"/>
          <w:szCs w:val="32"/>
          <w14:textFill>
            <w14:solidFill>
              <w14:schemeClr w14:val="tx1"/>
            </w14:solidFill>
          </w14:textFill>
        </w:rPr>
        <w:t>由东莞市水务环境投资控股集团供水有限公司</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eastAsia="仿宋_GB2312" w:cs="仿宋_GB2312"/>
          <w:color w:val="000000" w:themeColor="text1"/>
          <w:kern w:val="0"/>
          <w:sz w:val="32"/>
          <w:szCs w:val="32"/>
          <w:lang w:val="en-US" w:eastAsia="zh-CN"/>
          <w14:textFill>
            <w14:solidFill>
              <w14:schemeClr w14:val="tx1"/>
            </w14:solidFill>
          </w14:textFill>
        </w:rPr>
        <w:t>下称</w:t>
      </w:r>
      <w:r>
        <w:rPr>
          <w:rFonts w:hint="eastAsia" w:ascii="Times New Roman" w:hAnsi="Times New Roman" w:eastAsia="仿宋_GB2312" w:cs="仿宋_GB2312"/>
          <w:color w:val="000000" w:themeColor="text1"/>
          <w:kern w:val="0"/>
          <w:sz w:val="32"/>
          <w:szCs w:val="32"/>
          <w14:textFill>
            <w14:solidFill>
              <w14:schemeClr w14:val="tx1"/>
            </w14:solidFill>
          </w14:textFill>
        </w:rPr>
        <w:t>“项目业主</w:t>
      </w:r>
      <w:r>
        <w:rPr>
          <w:rFonts w:hint="eastAsia" w:asci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委托东莞市水务环境投资控股集团建设管理有限公司(下称“采购人”)负责实施代建管理。上述采购事项费用列入项目工程建设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w:t>
      </w:r>
      <w:r>
        <w:rPr>
          <w:rFonts w:hint="eastAsia" w:ascii="Times New Roman" w:hAnsi="Times New Roman" w:eastAsia="仿宋_GB2312" w:cs="仿宋_GB2312"/>
          <w:color w:val="000000" w:themeColor="text1"/>
          <w:kern w:val="0"/>
          <w:sz w:val="32"/>
          <w:szCs w:val="32"/>
          <w14:textFill>
            <w14:solidFill>
              <w14:schemeClr w14:val="tx1"/>
            </w14:solidFill>
          </w14:textFill>
        </w:rPr>
        <w:t>费用，后续由项目业主、采购人及第三方服务单位签订三方合同，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本工程</w:t>
      </w:r>
      <w:r>
        <w:rPr>
          <w:rFonts w:hint="eastAsia" w:ascii="Times New Roman" w:hAnsi="Times New Roman" w:eastAsia="仿宋_GB2312" w:cs="仿宋_GB2312"/>
          <w:color w:val="000000"/>
          <w:kern w:val="0"/>
          <w:sz w:val="32"/>
          <w:szCs w:val="32"/>
        </w:rPr>
        <w:t>安全评估服务采购</w:t>
      </w:r>
      <w:r>
        <w:rPr>
          <w:rFonts w:hint="eastAsia" w:ascii="Times New Roman" w:hAnsi="Times New Roman" w:eastAsia="仿宋_GB2312" w:cs="仿宋_GB2312"/>
          <w:color w:val="000000" w:themeColor="text1"/>
          <w:kern w:val="0"/>
          <w:sz w:val="32"/>
          <w:szCs w:val="32"/>
          <w14:textFill>
            <w14:solidFill>
              <w14:schemeClr w14:val="tx1"/>
            </w14:solidFill>
          </w14:textFill>
        </w:rPr>
        <w:t>费用由项目业主支付或者项目业主委托采购人代付。</w:t>
      </w:r>
    </w:p>
    <w:p w14:paraId="1ADE1BBD">
      <w:pPr>
        <w:autoSpaceDE/>
        <w:autoSpaceDN/>
        <w:adjustRightInd w:val="0"/>
        <w:spacing w:line="60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滨海湾新区苗涌东侧规划次干路配套给水工程（含交椅湾板块连通管工程）施工涉地铁</w:t>
      </w:r>
      <w:r>
        <w:rPr>
          <w:rFonts w:hint="eastAsia" w:ascii="Times New Roman" w:hAnsi="Times New Roman" w:eastAsia="仿宋_GB2312" w:cs="仿宋_GB2312"/>
          <w:color w:val="000000"/>
          <w:sz w:val="32"/>
          <w:szCs w:val="32"/>
        </w:rPr>
        <w:t>2号线</w:t>
      </w:r>
      <w:r>
        <w:rPr>
          <w:rFonts w:hint="eastAsia" w:ascii="Times New Roman" w:hAnsi="Times New Roman" w:eastAsia="仿宋_GB2312" w:cs="仿宋_GB2312"/>
          <w:color w:val="000000"/>
          <w:kern w:val="0"/>
          <w:sz w:val="32"/>
          <w:szCs w:val="32"/>
        </w:rPr>
        <w:t>安全评估服务采购项目包括但不限于：（1）连通管明挖施工段涉地铁安全评估；（2）给水管道定向钻施工段涉地铁安全评估；（3）涉地铁安全评估报告中对设计、施工提出地铁保护建议及意见；</w:t>
      </w:r>
      <w:r>
        <w:rPr>
          <w:rFonts w:hint="eastAsia" w:ascii="Times New Roman" w:eastAsia="仿宋_GB2312" w:cs="仿宋_GB2312"/>
          <w:color w:val="000000"/>
          <w:kern w:val="0"/>
          <w:sz w:val="32"/>
          <w:szCs w:val="32"/>
          <w:lang w:eastAsia="zh-CN"/>
        </w:rPr>
        <w:t>（</w:t>
      </w:r>
      <w:r>
        <w:rPr>
          <w:rFonts w:hint="eastAsia" w:ascii="Times New Roman" w:eastAsia="仿宋_GB2312" w:cs="仿宋_GB2312"/>
          <w:color w:val="000000"/>
          <w:kern w:val="0"/>
          <w:sz w:val="32"/>
          <w:szCs w:val="32"/>
          <w:lang w:val="en-US" w:eastAsia="zh-CN"/>
        </w:rPr>
        <w:t>4）轨道交通设施专项保护方案；</w:t>
      </w:r>
      <w:r>
        <w:rPr>
          <w:rFonts w:hint="eastAsia" w:ascii="Times New Roman" w:hAnsi="Times New Roman" w:eastAsia="仿宋_GB2312" w:cs="仿宋_GB2312"/>
          <w:color w:val="000000"/>
          <w:kern w:val="0"/>
          <w:sz w:val="32"/>
          <w:szCs w:val="32"/>
        </w:rPr>
        <w:t>（</w:t>
      </w:r>
      <w:r>
        <w:rPr>
          <w:rFonts w:hint="eastAsia" w:asci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）协助</w:t>
      </w:r>
      <w:r>
        <w:rPr>
          <w:rFonts w:hint="eastAsia" w:ascii="Times New Roman" w:hAnsi="Times New Roman" w:eastAsia="仿宋_GB2312" w:cs="仿宋_GB2312"/>
          <w:color w:val="000000"/>
          <w:kern w:val="0"/>
          <w:sz w:val="32"/>
          <w:szCs w:val="32"/>
          <w:lang w:val="en-US" w:eastAsia="zh-CN"/>
        </w:rPr>
        <w:t>采购人</w:t>
      </w:r>
      <w:r>
        <w:rPr>
          <w:rFonts w:hint="eastAsia" w:ascii="Times New Roman" w:hAnsi="Times New Roman" w:eastAsia="仿宋_GB2312" w:cs="仿宋_GB2312"/>
          <w:color w:val="000000"/>
          <w:kern w:val="0"/>
          <w:sz w:val="32"/>
          <w:szCs w:val="32"/>
        </w:rPr>
        <w:t>办理涉地铁报审流程并参与涉地铁相关会议等。</w:t>
      </w:r>
    </w:p>
    <w:p w14:paraId="6CAEA021">
      <w:pPr>
        <w:autoSpaceDE/>
        <w:autoSpaceDN/>
        <w:adjustRightInd w:val="0"/>
        <w:spacing w:line="60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工程规模：滨海湾新区苗涌东侧规划次干路配套给水工程拟沿苗涌东侧规划次干路人行道敷设给水管道，设计起点为前湾路，设计终点为规划路，最大给水管径为DN200，总长约2481m，采用放坡开挖方式，管材主要采用球墨铸铁管，支管或避让管线处为焊接钢管。交椅湾板块连通管工程中：（1）沙涌1号桥处新建给水管道管径为DN600，长度约235m，沙涌2号桥处新建给水管道管径为DN300，长度约457m，采用水平定向钻施工，管材分别为焊接</w:t>
      </w:r>
      <w:r>
        <w:rPr>
          <w:rFonts w:ascii="Times New Roman" w:hAnsi="Times New Roman" w:eastAsia="仿宋_GB2312" w:cs="仿宋_GB2312"/>
          <w:color w:val="000000"/>
          <w:kern w:val="0"/>
          <w:sz w:val="32"/>
          <w:szCs w:val="32"/>
        </w:rPr>
        <w:t>钢</w:t>
      </w:r>
      <w:r>
        <w:rPr>
          <w:rFonts w:hint="eastAsia" w:ascii="Times New Roman" w:hAnsi="Times New Roman" w:eastAsia="仿宋_GB2312" w:cs="仿宋_GB2312"/>
          <w:color w:val="000000"/>
          <w:kern w:val="0"/>
          <w:sz w:val="32"/>
          <w:szCs w:val="32"/>
        </w:rPr>
        <w:t>管及PE管；（2）滨海湾大桥处新建给水管道管径为DN400，总长度约130m，采用放坡开挖方式，管材分别为球墨铸铁管及钢管</w:t>
      </w:r>
      <w:r>
        <w:rPr>
          <w:rFonts w:ascii="Times New Roman" w:hAnsi="Times New Roman" w:eastAsia="仿宋_GB2312" w:cs="仿宋_GB2312"/>
          <w:color w:val="000000"/>
          <w:kern w:val="0"/>
          <w:sz w:val="32"/>
          <w:szCs w:val="32"/>
        </w:rPr>
        <w:t>。</w:t>
      </w:r>
    </w:p>
    <w:p w14:paraId="7EB2DD0E">
      <w:pPr>
        <w:autoSpaceDE/>
        <w:autoSpaceDN/>
        <w:adjustRightInd w:val="0"/>
        <w:snapToGrid w:val="0"/>
        <w:spacing w:line="60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二、总体服务要求</w:t>
      </w:r>
    </w:p>
    <w:p w14:paraId="4849EBEF">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（一）服务周期</w:t>
      </w:r>
    </w:p>
    <w:p w14:paraId="708A09A3">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暂定</w:t>
      </w:r>
      <w:r>
        <w:rPr>
          <w:rFonts w:ascii="Times New Roman" w:hAnsi="Times New Roman" w:eastAsia="仿宋_GB2312" w:cs="仿宋_GB2312"/>
          <w:kern w:val="0"/>
          <w:sz w:val="32"/>
          <w:szCs w:val="32"/>
        </w:rPr>
        <w:t>60</w:t>
      </w:r>
      <w:r>
        <w:rPr>
          <w:rFonts w:hint="eastAsia" w:ascii="Times New Roman" w:hAnsi="Times New Roman" w:eastAsia="仿宋_GB2312" w:cs="仿宋_GB2312"/>
          <w:kern w:val="0"/>
          <w:sz w:val="32"/>
          <w:szCs w:val="32"/>
          <w:lang w:val="en-US" w:eastAsia="zh-CN"/>
        </w:rPr>
        <w:t>个</w:t>
      </w:r>
      <w:r>
        <w:rPr>
          <w:rFonts w:hint="eastAsia" w:ascii="Times New Roman" w:hAnsi="Times New Roman" w:eastAsia="仿宋_GB2312" w:cs="仿宋_GB2312"/>
          <w:kern w:val="0"/>
          <w:sz w:val="32"/>
          <w:szCs w:val="32"/>
        </w:rPr>
        <w:t>日历天，自签订合同之日起至完成本项目涉地铁安全评估服务内容并报地铁权属</w:t>
      </w:r>
      <w:r>
        <w:rPr>
          <w:rFonts w:hint="eastAsia" w:ascii="Times New Roman" w:eastAsia="仿宋_GB2312" w:cs="仿宋_GB2312"/>
          <w:kern w:val="0"/>
          <w:sz w:val="32"/>
          <w:szCs w:val="32"/>
          <w:lang w:val="en-US" w:eastAsia="zh-CN"/>
        </w:rPr>
        <w:t>单位</w:t>
      </w:r>
      <w:r>
        <w:rPr>
          <w:rFonts w:hint="eastAsia" w:ascii="Times New Roman" w:hAnsi="Times New Roman" w:eastAsia="仿宋_GB2312" w:cs="仿宋_GB2312"/>
          <w:kern w:val="0"/>
          <w:sz w:val="32"/>
          <w:szCs w:val="32"/>
        </w:rPr>
        <w:t>审批通过为止。</w:t>
      </w:r>
    </w:p>
    <w:p w14:paraId="59458AC4">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bookmarkStart w:id="24" w:name="_Toc46812559"/>
      <w:r>
        <w:rPr>
          <w:rFonts w:hint="eastAsia" w:ascii="楷体_GB2312" w:hAnsi="楷体_GB2312" w:eastAsia="楷体_GB2312" w:cs="楷体_GB2312"/>
          <w:kern w:val="0"/>
          <w:sz w:val="32"/>
          <w:szCs w:val="32"/>
        </w:rPr>
        <w:t>（二）编制依据</w:t>
      </w:r>
      <w:bookmarkEnd w:id="24"/>
    </w:p>
    <w:p w14:paraId="5CC4C546">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《地铁设计规范》(GB 50157-2013)；</w:t>
      </w:r>
    </w:p>
    <w:p w14:paraId="537FC41D">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《建筑结构荷载规范》（GB 50009-2012）；</w:t>
      </w:r>
    </w:p>
    <w:p w14:paraId="5D0F9007">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《混凝土结构设计规范》（GB 50010-2010</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2015</w:t>
      </w:r>
      <w:r>
        <w:rPr>
          <w:rFonts w:hint="eastAsia" w:ascii="Times New Roman" w:hAnsi="Times New Roman" w:eastAsia="仿宋_GB2312" w:cs="仿宋_GB2312"/>
          <w:kern w:val="0"/>
          <w:sz w:val="32"/>
          <w:szCs w:val="32"/>
        </w:rPr>
        <w:t>年版）</w:t>
      </w:r>
      <w:r>
        <w:rPr>
          <w:rFonts w:ascii="Times New Roman" w:hAnsi="Times New Roman" w:eastAsia="仿宋_GB2312" w:cs="仿宋_GB2312"/>
          <w:kern w:val="0"/>
          <w:sz w:val="32"/>
          <w:szCs w:val="32"/>
        </w:rPr>
        <w:t>；</w:t>
      </w:r>
    </w:p>
    <w:p w14:paraId="7197A490">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《地下工程防水技术规范》（GB 50108-2008）；</w:t>
      </w:r>
    </w:p>
    <w:p w14:paraId="6BFE3D7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《广东省建筑基坑支护工程技术规程》（DBJ/T15-20-</w:t>
      </w:r>
      <w:r>
        <w:rPr>
          <w:rFonts w:hint="eastAsia" w:ascii="Times New Roman" w:hAnsi="Times New Roman" w:eastAsia="仿宋_GB2312" w:cs="仿宋_GB2312"/>
          <w:kern w:val="0"/>
          <w:sz w:val="32"/>
          <w:szCs w:val="32"/>
        </w:rPr>
        <w:t>2016</w:t>
      </w:r>
      <w:r>
        <w:rPr>
          <w:rFonts w:ascii="Times New Roman" w:hAnsi="Times New Roman" w:eastAsia="仿宋_GB2312" w:cs="仿宋_GB2312"/>
          <w:kern w:val="0"/>
          <w:sz w:val="32"/>
          <w:szCs w:val="32"/>
        </w:rPr>
        <w:t>）；</w:t>
      </w:r>
    </w:p>
    <w:p w14:paraId="38BA32C2">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《广东省建筑地基基础设计规范》（DBJ 15-31-20</w:t>
      </w:r>
      <w:r>
        <w:rPr>
          <w:rFonts w:hint="eastAsia" w:ascii="Times New Roman" w:hAnsi="Times New Roman" w:eastAsia="仿宋_GB2312" w:cs="仿宋_GB2312"/>
          <w:kern w:val="0"/>
          <w:sz w:val="32"/>
          <w:szCs w:val="32"/>
        </w:rPr>
        <w:t>16</w:t>
      </w:r>
      <w:r>
        <w:rPr>
          <w:rFonts w:ascii="Times New Roman" w:hAnsi="Times New Roman" w:eastAsia="仿宋_GB2312" w:cs="仿宋_GB2312"/>
          <w:kern w:val="0"/>
          <w:sz w:val="32"/>
          <w:szCs w:val="32"/>
        </w:rPr>
        <w:t>）；</w:t>
      </w:r>
    </w:p>
    <w:p w14:paraId="281A997D">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7</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《城市道路交通工程项目规范》（GB 55011-2021）</w:t>
      </w:r>
      <w:r>
        <w:rPr>
          <w:rFonts w:hint="eastAsia" w:ascii="Times New Roman" w:hAnsi="Times New Roman" w:eastAsia="仿宋_GB2312" w:cs="仿宋_GB2312"/>
          <w:kern w:val="0"/>
          <w:sz w:val="32"/>
          <w:szCs w:val="32"/>
          <w:lang w:eastAsia="zh-CN"/>
        </w:rPr>
        <w:t>；</w:t>
      </w:r>
    </w:p>
    <w:p w14:paraId="58DDD1A7">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《建筑与市政工程无障碍通用规范》（GB 55019-2021）</w:t>
      </w:r>
      <w:r>
        <w:rPr>
          <w:rFonts w:hint="eastAsia" w:ascii="Times New Roman" w:hAnsi="Times New Roman" w:eastAsia="仿宋_GB2312" w:cs="仿宋_GB2312"/>
          <w:kern w:val="0"/>
          <w:sz w:val="32"/>
          <w:szCs w:val="32"/>
          <w:lang w:eastAsia="zh-CN"/>
        </w:rPr>
        <w:t>；</w:t>
      </w:r>
    </w:p>
    <w:p w14:paraId="443682F2">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9</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《城市道路工程设计规范》（CJJ 36-2012）（2016年版）</w:t>
      </w:r>
      <w:r>
        <w:rPr>
          <w:rFonts w:hint="eastAsia" w:ascii="Times New Roman" w:hAnsi="Times New Roman" w:eastAsia="仿宋_GB2312" w:cs="仿宋_GB2312"/>
          <w:kern w:val="0"/>
          <w:sz w:val="32"/>
          <w:szCs w:val="32"/>
          <w:lang w:eastAsia="zh-CN"/>
        </w:rPr>
        <w:t>；</w:t>
      </w:r>
    </w:p>
    <w:p w14:paraId="55CF2D19">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0</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《城市道路路线设计规范》（CJJ 193-2012）</w:t>
      </w:r>
      <w:r>
        <w:rPr>
          <w:rFonts w:hint="eastAsia" w:ascii="Times New Roman" w:hAnsi="Times New Roman" w:eastAsia="仿宋_GB2312" w:cs="仿宋_GB2312"/>
          <w:kern w:val="0"/>
          <w:sz w:val="32"/>
          <w:szCs w:val="32"/>
          <w:lang w:eastAsia="zh-CN"/>
        </w:rPr>
        <w:t>；</w:t>
      </w:r>
    </w:p>
    <w:p w14:paraId="78F8F33F">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《城市道路路基设计规范》（CJJ 194-2013）</w:t>
      </w:r>
      <w:r>
        <w:rPr>
          <w:rFonts w:hint="eastAsia" w:ascii="Times New Roman" w:hAnsi="Times New Roman" w:eastAsia="仿宋_GB2312" w:cs="仿宋_GB2312"/>
          <w:kern w:val="0"/>
          <w:sz w:val="32"/>
          <w:szCs w:val="32"/>
          <w:lang w:eastAsia="zh-CN"/>
        </w:rPr>
        <w:t>；</w:t>
      </w:r>
    </w:p>
    <w:p w14:paraId="7F31CFEA">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《城镇道路路面设计规范》（CJJ 169-2012）</w:t>
      </w:r>
      <w:r>
        <w:rPr>
          <w:rFonts w:hint="eastAsia" w:ascii="Times New Roman" w:hAnsi="Times New Roman" w:eastAsia="仿宋_GB2312" w:cs="仿宋_GB2312"/>
          <w:kern w:val="0"/>
          <w:sz w:val="32"/>
          <w:szCs w:val="32"/>
          <w:lang w:eastAsia="zh-CN"/>
        </w:rPr>
        <w:t>；</w:t>
      </w:r>
    </w:p>
    <w:p w14:paraId="40BB9FAB">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《城市道路交叉口设计规程》(CJJ 152-2010)</w:t>
      </w:r>
      <w:r>
        <w:rPr>
          <w:rFonts w:hint="eastAsia" w:ascii="Times New Roman" w:hAnsi="Times New Roman" w:eastAsia="仿宋_GB2312" w:cs="仿宋_GB2312"/>
          <w:kern w:val="0"/>
          <w:sz w:val="32"/>
          <w:szCs w:val="32"/>
          <w:lang w:eastAsia="zh-CN"/>
        </w:rPr>
        <w:t>；</w:t>
      </w:r>
    </w:p>
    <w:p w14:paraId="18913646">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《城市轨道交通结构安全保护技术规范》（CJJ/T202-2013）；</w:t>
      </w:r>
    </w:p>
    <w:p w14:paraId="57C79CAF">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《城市轨道交通既有结构保护技术规范》（DBJ/T15-120-2017）；</w:t>
      </w:r>
    </w:p>
    <w:p w14:paraId="7855392F">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lang w:val="en-US" w:eastAsia="zh-CN"/>
        </w:rPr>
        <w:t>.</w:t>
      </w:r>
      <w:r>
        <w:rPr>
          <w:rFonts w:ascii="Times New Roman" w:hAnsi="Times New Roman" w:eastAsia="仿宋_GB2312" w:cs="仿宋_GB2312"/>
          <w:kern w:val="0"/>
          <w:sz w:val="32"/>
          <w:szCs w:val="32"/>
        </w:rPr>
        <w:t>《城市轨道交通</w:t>
      </w:r>
      <w:r>
        <w:rPr>
          <w:rFonts w:hint="eastAsia" w:ascii="Times New Roman" w:hAnsi="Times New Roman" w:eastAsia="仿宋_GB2312" w:cs="仿宋_GB2312"/>
          <w:kern w:val="0"/>
          <w:sz w:val="32"/>
          <w:szCs w:val="32"/>
        </w:rPr>
        <w:t>工程监测技术规范</w:t>
      </w:r>
      <w:r>
        <w:rPr>
          <w:rFonts w:ascii="Times New Roman" w:hAnsi="Times New Roman" w:eastAsia="仿宋_GB2312" w:cs="仿宋_GB2312"/>
          <w:kern w:val="0"/>
          <w:sz w:val="32"/>
          <w:szCs w:val="32"/>
        </w:rPr>
        <w:t>》（GB 50911-2013）；</w:t>
      </w:r>
    </w:p>
    <w:p w14:paraId="6A340E49">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7</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《东莞市轨道交通安全保护区管控工作指引》（东轨</w:t>
      </w:r>
      <w:r>
        <w:rPr>
          <w:rFonts w:hint="eastAsia" w:ascii="Times New Roman" w:hAnsi="Times New Roman" w:eastAsia="仿宋_GB2312" w:cs="微软雅黑"/>
          <w:kern w:val="0"/>
          <w:sz w:val="32"/>
          <w:szCs w:val="32"/>
          <w:lang w:eastAsia="zh-CN"/>
        </w:rPr>
        <w:t>〔</w:t>
      </w:r>
      <w:r>
        <w:rPr>
          <w:rFonts w:ascii="Times New Roman" w:hAnsi="Times New Roman" w:eastAsia="仿宋_GB2312" w:cs="仿宋_GB2312"/>
          <w:kern w:val="0"/>
          <w:sz w:val="32"/>
          <w:szCs w:val="32"/>
        </w:rPr>
        <w:t>2024</w:t>
      </w:r>
      <w:r>
        <w:rPr>
          <w:rFonts w:hint="eastAsia" w:ascii="Times New Roman" w:hAnsi="Times New Roman" w:eastAsia="仿宋_GB2312" w:cs="微软雅黑"/>
          <w:kern w:val="0"/>
          <w:sz w:val="32"/>
          <w:szCs w:val="32"/>
          <w:lang w:eastAsia="zh-CN"/>
        </w:rPr>
        <w:t>〕</w:t>
      </w:r>
      <w:r>
        <w:rPr>
          <w:rFonts w:ascii="Times New Roman" w:hAnsi="Times New Roman" w:eastAsia="仿宋_GB2312" w:cs="仿宋_GB2312"/>
          <w:kern w:val="0"/>
          <w:sz w:val="32"/>
          <w:szCs w:val="32"/>
        </w:rPr>
        <w:t>28</w:t>
      </w:r>
      <w:r>
        <w:rPr>
          <w:rFonts w:hint="eastAsia" w:ascii="Times New Roman" w:hAnsi="Times New Roman" w:eastAsia="仿宋_GB2312" w:cs="仿宋_GB2312"/>
          <w:kern w:val="0"/>
          <w:sz w:val="32"/>
          <w:szCs w:val="32"/>
        </w:rPr>
        <w:t>号）</w:t>
      </w:r>
      <w:r>
        <w:rPr>
          <w:rFonts w:hint="eastAsia" w:ascii="Times New Roman" w:hAnsi="Times New Roman" w:eastAsia="仿宋_GB2312" w:cs="仿宋_GB2312"/>
          <w:kern w:val="0"/>
          <w:sz w:val="32"/>
          <w:szCs w:val="32"/>
          <w:lang w:eastAsia="zh-CN"/>
        </w:rPr>
        <w:t>；</w:t>
      </w:r>
    </w:p>
    <w:p w14:paraId="1864A8A2">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8</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其他相关现行国家设计规范、规程、标准以及东莞相关地方法规、规范、标准</w:t>
      </w:r>
      <w:r>
        <w:rPr>
          <w:rFonts w:ascii="Times New Roman" w:hAnsi="Times New Roman" w:eastAsia="仿宋_GB2312" w:cs="仿宋_GB2312"/>
          <w:kern w:val="0"/>
          <w:sz w:val="32"/>
          <w:szCs w:val="32"/>
        </w:rPr>
        <w:t>。</w:t>
      </w:r>
    </w:p>
    <w:p w14:paraId="5A2BFB45">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以上规范若有更新版本，应按最新的版本执行。在合同执行期内，各专项施工的执行标准、规范，如未列举，则按国家、行业、地方颁布的相应的政策、法规、规范、标准等执行。</w:t>
      </w:r>
    </w:p>
    <w:p w14:paraId="19BD1358">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（三）工作内容</w:t>
      </w:r>
    </w:p>
    <w:p w14:paraId="545E64C2">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工作内容包括但不限于：</w:t>
      </w:r>
    </w:p>
    <w:p w14:paraId="09BA17F2">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收集国内外与本项目相关的法律、法规、标准、规章、规定等资料；</w:t>
      </w:r>
    </w:p>
    <w:p w14:paraId="2AD64722">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eastAsia="仿宋_GB2312" w:cs="仿宋_GB2312"/>
          <w:kern w:val="0"/>
          <w:sz w:val="32"/>
          <w:szCs w:val="32"/>
          <w:lang w:val="en-US" w:eastAsia="zh-CN"/>
        </w:rPr>
        <w:t>根</w:t>
      </w:r>
      <w:r>
        <w:rPr>
          <w:rFonts w:hint="eastAsia" w:ascii="Times New Roman" w:hAnsi="Times New Roman" w:eastAsia="仿宋_GB2312" w:cs="仿宋_GB2312"/>
          <w:kern w:val="0"/>
          <w:sz w:val="32"/>
          <w:szCs w:val="32"/>
        </w:rPr>
        <w:t>据相关规范要求，对工程项目的地质环境、建设内容、技术标准、配套给水工程设计等方面进行相应的分析与评价，对项目所采取的施工影响地铁结构方案进行安全分析评估；</w:t>
      </w:r>
    </w:p>
    <w:p w14:paraId="78B3D9A4">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根据设计单位提供的相关设计文件，对项目可实施性的影响，提出合理化建议，出具评估分析报告；</w:t>
      </w:r>
    </w:p>
    <w:p w14:paraId="417BB664">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根据分析评估结果，提供工程相关的技术咨询服务，包括管道施工方式、基础方案选型、安全设备、设施设置等建议措施；</w:t>
      </w:r>
    </w:p>
    <w:p w14:paraId="74EA2E4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参与相关会议，协助</w:t>
      </w:r>
      <w:r>
        <w:rPr>
          <w:rFonts w:hint="eastAsia" w:ascii="Times New Roman" w:hAnsi="Times New Roman" w:eastAsia="仿宋_GB2312" w:cs="仿宋_GB2312"/>
          <w:kern w:val="0"/>
          <w:sz w:val="32"/>
          <w:szCs w:val="32"/>
          <w:lang w:val="en-US" w:eastAsia="zh-CN"/>
        </w:rPr>
        <w:t>采购人</w:t>
      </w:r>
      <w:r>
        <w:rPr>
          <w:rFonts w:hint="eastAsia" w:ascii="Times New Roman" w:hAnsi="Times New Roman" w:eastAsia="仿宋_GB2312" w:cs="仿宋_GB2312"/>
          <w:kern w:val="0"/>
          <w:sz w:val="32"/>
          <w:szCs w:val="32"/>
        </w:rPr>
        <w:t>稳定配套给水工程设计方案，必要时承办安全评估报告专家评审会；</w:t>
      </w:r>
    </w:p>
    <w:p w14:paraId="78A954E4">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协助</w:t>
      </w:r>
      <w:r>
        <w:rPr>
          <w:rFonts w:hint="eastAsia" w:ascii="Times New Roman" w:hAnsi="Times New Roman" w:eastAsia="仿宋_GB2312" w:cs="仿宋_GB2312"/>
          <w:kern w:val="0"/>
          <w:sz w:val="32"/>
          <w:szCs w:val="32"/>
          <w:lang w:val="en-US" w:eastAsia="zh-CN"/>
        </w:rPr>
        <w:t>采购人</w:t>
      </w:r>
      <w:r>
        <w:rPr>
          <w:rFonts w:hint="eastAsia" w:ascii="Times New Roman" w:hAnsi="Times New Roman" w:eastAsia="仿宋_GB2312" w:cs="仿宋_GB2312"/>
          <w:kern w:val="0"/>
          <w:sz w:val="32"/>
          <w:szCs w:val="32"/>
        </w:rPr>
        <w:t>向地铁</w:t>
      </w:r>
      <w:r>
        <w:rPr>
          <w:rFonts w:hint="eastAsia" w:ascii="Times New Roman" w:eastAsia="仿宋_GB2312" w:cs="仿宋_GB2312"/>
          <w:kern w:val="0"/>
          <w:sz w:val="32"/>
          <w:szCs w:val="32"/>
          <w:lang w:val="en-US" w:eastAsia="zh-CN"/>
        </w:rPr>
        <w:t>权属单位</w:t>
      </w:r>
      <w:r>
        <w:rPr>
          <w:rFonts w:hint="eastAsia" w:ascii="Times New Roman" w:hAnsi="Times New Roman" w:eastAsia="仿宋_GB2312" w:cs="仿宋_GB2312"/>
          <w:kern w:val="0"/>
          <w:sz w:val="32"/>
          <w:szCs w:val="32"/>
        </w:rPr>
        <w:t>进行报审工作。</w:t>
      </w:r>
    </w:p>
    <w:p w14:paraId="188C566A">
      <w:pPr>
        <w:autoSpaceDE/>
        <w:autoSpaceDN/>
        <w:adjustRightInd w:val="0"/>
        <w:snapToGrid w:val="0"/>
        <w:spacing w:line="600" w:lineRule="exact"/>
        <w:ind w:firstLine="640" w:firstLineChars="200"/>
        <w:jc w:val="left"/>
        <w:rPr>
          <w:rFonts w:hint="eastAsia" w:ascii="Times New Roman" w:hAnsi="Times New Roman" w:eastAsia="仿宋_GB2312" w:cs="楷体_GB2312"/>
          <w:kern w:val="0"/>
          <w:sz w:val="32"/>
          <w:szCs w:val="32"/>
        </w:rPr>
      </w:pPr>
      <w:r>
        <w:rPr>
          <w:rFonts w:hint="eastAsia" w:ascii="楷体_GB2312" w:hAnsi="楷体_GB2312" w:eastAsia="楷体_GB2312" w:cs="楷体_GB2312"/>
          <w:kern w:val="0"/>
          <w:sz w:val="32"/>
          <w:szCs w:val="32"/>
        </w:rPr>
        <w:t>（四）质量要求</w:t>
      </w:r>
    </w:p>
    <w:p w14:paraId="5A6613A9">
      <w:pPr>
        <w:wordWrap w:val="0"/>
        <w:topLinePunct/>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bookmarkStart w:id="25" w:name="_Hlk196211005"/>
      <w:r>
        <w:rPr>
          <w:rFonts w:hint="eastAsia" w:ascii="Times New Roman" w:hAnsi="Times New Roman" w:eastAsia="仿宋_GB2312" w:cs="仿宋_GB2312"/>
          <w:kern w:val="0"/>
          <w:sz w:val="32"/>
          <w:szCs w:val="32"/>
        </w:rPr>
        <w:t>出具正式的涉地铁安全评估报告，获取地铁权属单位同意意见复函。（具体成果文件数量以</w:t>
      </w:r>
      <w:r>
        <w:rPr>
          <w:rFonts w:hint="eastAsia" w:ascii="Times New Roman" w:eastAsia="仿宋_GB2312" w:cs="仿宋_GB2312"/>
          <w:kern w:val="0"/>
          <w:sz w:val="32"/>
          <w:szCs w:val="32"/>
          <w:lang w:val="en-US" w:eastAsia="zh-CN"/>
        </w:rPr>
        <w:t>地铁</w:t>
      </w:r>
      <w:r>
        <w:rPr>
          <w:rFonts w:hint="eastAsia" w:ascii="Times New Roman" w:hAnsi="Times New Roman" w:eastAsia="仿宋_GB2312" w:cs="仿宋_GB2312"/>
          <w:kern w:val="0"/>
          <w:sz w:val="32"/>
          <w:szCs w:val="32"/>
        </w:rPr>
        <w:t>权属单位要求为准）</w:t>
      </w:r>
      <w:bookmarkEnd w:id="25"/>
      <w:r>
        <w:rPr>
          <w:rFonts w:hint="eastAsia" w:ascii="Times New Roman" w:hAnsi="Times New Roman" w:eastAsia="仿宋_GB2312" w:cs="仿宋_GB2312"/>
          <w:kern w:val="0"/>
          <w:sz w:val="32"/>
          <w:szCs w:val="32"/>
        </w:rPr>
        <w:t>。</w:t>
      </w:r>
    </w:p>
    <w:p w14:paraId="2521B0CF">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（五）成果要求</w:t>
      </w:r>
    </w:p>
    <w:p w14:paraId="5F219BA1">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合同正式签订后，在收到</w:t>
      </w:r>
      <w:r>
        <w:rPr>
          <w:rFonts w:hint="eastAsia" w:ascii="Times New Roman" w:hAnsi="Times New Roman" w:eastAsia="仿宋_GB2312" w:cs="仿宋_GB2312"/>
          <w:kern w:val="0"/>
          <w:sz w:val="32"/>
          <w:szCs w:val="32"/>
          <w:lang w:val="en-US" w:eastAsia="zh-CN"/>
        </w:rPr>
        <w:t>采购人</w:t>
      </w:r>
      <w:r>
        <w:rPr>
          <w:rFonts w:hint="eastAsia" w:ascii="Times New Roman" w:hAnsi="Times New Roman" w:eastAsia="仿宋_GB2312" w:cs="仿宋_GB2312"/>
          <w:kern w:val="0"/>
          <w:sz w:val="32"/>
          <w:szCs w:val="32"/>
        </w:rPr>
        <w:t>按双方沟通一致的书面资料清单提供必要资料后14个日历天内提交评估报告；地铁权属单位组织评审后7个日历天内提交正式成果终稿。</w:t>
      </w:r>
    </w:p>
    <w:p w14:paraId="0D8EB4CA">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（六）安全要求</w:t>
      </w:r>
    </w:p>
    <w:p w14:paraId="6EA9D79C">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成交人应做好服务的安全防护措施，在涉地铁安全评估技术服务过程中出现的质量事故由成交人自行承担。</w:t>
      </w:r>
    </w:p>
    <w:p w14:paraId="0C954509">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成交人必须做好安全防护工作，由于成交人自身的原因导致的质量事故，均由成交人自行承担。</w:t>
      </w:r>
    </w:p>
    <w:p w14:paraId="13A1C156">
      <w:pPr>
        <w:autoSpaceDE/>
        <w:autoSpaceDN/>
        <w:adjustRightInd w:val="0"/>
        <w:snapToGrid w:val="0"/>
        <w:spacing w:line="60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（七）保密要求</w:t>
      </w:r>
    </w:p>
    <w:p w14:paraId="69573BD5">
      <w:pPr>
        <w:autoSpaceDE/>
        <w:autoSpaceDN/>
        <w:adjustRightInd w:val="0"/>
        <w:snapToGrid w:val="0"/>
        <w:spacing w:line="600" w:lineRule="exact"/>
        <w:ind w:firstLine="640" w:firstLineChars="200"/>
        <w:rPr>
          <w:rFonts w:ascii="Times New Roman" w:hAnsi="Times New Roman" w:eastAsia="仿宋_GB2312" w:cs="仿宋_GB2312"/>
          <w:kern w:val="0"/>
          <w:sz w:val="32"/>
          <w:szCs w:val="32"/>
        </w:rPr>
      </w:pPr>
      <w:bookmarkStart w:id="26" w:name="_Hlk196211041"/>
      <w:r>
        <w:rPr>
          <w:rFonts w:hint="eastAsia" w:ascii="Times New Roman" w:hAnsi="Times New Roman" w:eastAsia="仿宋_GB2312" w:cs="仿宋_GB2312"/>
          <w:kern w:val="0"/>
          <w:sz w:val="32"/>
          <w:szCs w:val="32"/>
        </w:rPr>
        <w:t>采购人根据合同约定结清费用后，本项目的一切成果所有权归采购人所有，</w:t>
      </w:r>
      <w:r>
        <w:rPr>
          <w:rFonts w:hint="eastAsia" w:ascii="Times New Roman" w:hAnsi="Times New Roman" w:eastAsia="仿宋_GB2312" w:cs="仿宋_GB2312"/>
          <w:kern w:val="0"/>
          <w:sz w:val="32"/>
          <w:szCs w:val="32"/>
          <w:lang w:val="en-US" w:eastAsia="zh-CN"/>
        </w:rPr>
        <w:t>成交人</w:t>
      </w:r>
      <w:r>
        <w:rPr>
          <w:rFonts w:hint="eastAsia" w:ascii="Times New Roman" w:hAnsi="Times New Roman" w:eastAsia="仿宋_GB2312" w:cs="仿宋_GB2312"/>
          <w:kern w:val="0"/>
          <w:sz w:val="32"/>
          <w:szCs w:val="32"/>
        </w:rPr>
        <w:t>应对成果进行保密不外泄。</w:t>
      </w:r>
      <w:bookmarkEnd w:id="26"/>
    </w:p>
    <w:p w14:paraId="76011838">
      <w:pPr>
        <w:autoSpaceDE/>
        <w:autoSpaceDN/>
        <w:adjustRightInd w:val="0"/>
        <w:snapToGrid w:val="0"/>
        <w:spacing w:line="60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三、合同价款</w:t>
      </w:r>
    </w:p>
    <w:p w14:paraId="444D12BE">
      <w:pPr>
        <w:autoSpaceDE/>
        <w:autoSpaceDN/>
        <w:adjustRightInd w:val="0"/>
        <w:snapToGrid w:val="0"/>
        <w:spacing w:line="600" w:lineRule="exact"/>
        <w:ind w:firstLine="640" w:firstLineChars="200"/>
        <w:jc w:val="left"/>
        <w:rPr>
          <w:rFonts w:ascii="Times New Roman" w:hAnsi="Times New Roman" w:eastAsia="仿宋_GB2312" w:cs="仿宋_GB2312"/>
          <w:b w:val="0"/>
          <w:color w:val="000000" w:themeColor="text1"/>
          <w:kern w:val="0"/>
          <w:sz w:val="32"/>
          <w:szCs w:val="32"/>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报价</w:t>
      </w:r>
      <w:r>
        <w:rPr>
          <w:rFonts w:hint="eastAsia" w:ascii="Times New Roman" w:hAnsi="Times New Roman" w:eastAsia="仿宋_GB2312" w:cs="仿宋_GB2312"/>
          <w:b w:val="0"/>
          <w:bCs/>
          <w:color w:val="000000" w:themeColor="text1"/>
          <w:kern w:val="0"/>
          <w:sz w:val="32"/>
          <w:szCs w:val="32"/>
          <w:lang w:val="en-US" w:eastAsia="zh-CN"/>
          <w14:textFill>
            <w14:solidFill>
              <w14:schemeClr w14:val="tx1"/>
            </w14:solidFill>
          </w14:textFill>
        </w:rPr>
        <w:t>费用</w:t>
      </w:r>
      <w:r>
        <w:rPr>
          <w:rFonts w:hint="eastAsia" w:ascii="Times New Roman" w:hAnsi="Times New Roman" w:eastAsia="仿宋_GB2312" w:cs="仿宋_GB2312"/>
          <w:bCs/>
          <w:sz w:val="32"/>
          <w:szCs w:val="32"/>
        </w:rPr>
        <w:t>包括但不限于人工费、仪器仪具使用费、备件配件、办公费、住宿费、交通费、会务费、专家费、评审费、</w:t>
      </w:r>
      <w:r>
        <w:rPr>
          <w:rFonts w:hint="eastAsia" w:ascii="Times New Roman" w:hAnsi="Times New Roman" w:eastAsia="仿宋_GB2312" w:cs="仿宋_GB2312"/>
          <w:bCs/>
          <w:sz w:val="32"/>
          <w:szCs w:val="32"/>
          <w:lang w:val="en-US" w:eastAsia="zh-CN"/>
        </w:rPr>
        <w:t>销项税额以外的税费</w:t>
      </w:r>
      <w:r>
        <w:rPr>
          <w:rFonts w:hint="eastAsia" w:ascii="Times New Roman" w:hAnsi="Times New Roman" w:eastAsia="仿宋_GB2312" w:cs="仿宋_GB2312"/>
          <w:bCs/>
          <w:sz w:val="32"/>
          <w:szCs w:val="32"/>
        </w:rPr>
        <w:t>、保险、利润、编制费，基础资料收集、购买费用，现场调查、分析等作业费用，报告成果文件编制费用（含初稿、送审、报批各阶段文稿编制、修改及印刷）等其他一切相关费用（不含其他专题费用）。</w:t>
      </w:r>
    </w:p>
    <w:p w14:paraId="52156BAF">
      <w:pPr>
        <w:autoSpaceDE/>
        <w:autoSpaceDN/>
        <w:adjustRightInd w:val="0"/>
        <w:snapToGrid w:val="0"/>
        <w:spacing w:line="600" w:lineRule="exact"/>
        <w:ind w:firstLine="640" w:firstLineChars="200"/>
        <w:jc w:val="left"/>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报价保留</w:t>
      </w:r>
      <w:r>
        <w:rPr>
          <w:rFonts w:hint="eastAsia" w:ascii="Times New Roman" w:eastAsia="仿宋_GB2312" w:cs="仿宋_GB2312"/>
          <w:color w:val="000000" w:themeColor="text1"/>
          <w:kern w:val="0"/>
          <w:sz w:val="32"/>
          <w:szCs w:val="32"/>
          <w:lang w:val="en-US" w:eastAsia="zh-CN"/>
          <w14:textFill>
            <w14:solidFill>
              <w14:schemeClr w14:val="tx1"/>
            </w14:solidFill>
          </w14:textFill>
        </w:rPr>
        <w:t>小数点后</w:t>
      </w:r>
      <w:r>
        <w:rPr>
          <w:rFonts w:hint="eastAsia" w:ascii="Times New Roman" w:hAnsi="Times New Roman" w:eastAsia="仿宋_GB2312" w:cs="仿宋_GB2312"/>
          <w:color w:val="000000" w:themeColor="text1"/>
          <w:kern w:val="0"/>
          <w:sz w:val="32"/>
          <w:szCs w:val="32"/>
          <w14:textFill>
            <w14:solidFill>
              <w14:schemeClr w14:val="tx1"/>
            </w14:solidFill>
          </w14:textFill>
        </w:rPr>
        <w:t>两位。</w:t>
      </w:r>
    </w:p>
    <w:p w14:paraId="63DA6472">
      <w:pPr>
        <w:spacing w:line="600" w:lineRule="exact"/>
        <w:ind w:firstLine="640" w:firstLineChars="200"/>
        <w:jc w:val="left"/>
        <w:rPr>
          <w:rFonts w:hint="eastAsia" w:ascii="黑体" w:hAnsi="黑体" w:eastAsia="黑体" w:cs="黑体"/>
          <w:bCs w:val="0"/>
          <w:sz w:val="32"/>
          <w:szCs w:val="32"/>
        </w:rPr>
      </w:pPr>
      <w:r>
        <w:rPr>
          <w:rFonts w:hint="eastAsia" w:ascii="黑体" w:hAnsi="黑体" w:eastAsia="黑体" w:cs="黑体"/>
          <w:bCs w:val="0"/>
          <w:sz w:val="32"/>
          <w:szCs w:val="32"/>
          <w:lang w:val="en-US" w:eastAsia="zh-CN"/>
        </w:rPr>
        <w:t>四、</w:t>
      </w:r>
      <w:r>
        <w:rPr>
          <w:rFonts w:hint="eastAsia" w:ascii="黑体" w:hAnsi="黑体" w:eastAsia="黑体" w:cs="黑体"/>
          <w:bCs w:val="0"/>
          <w:sz w:val="32"/>
          <w:szCs w:val="32"/>
        </w:rPr>
        <w:t>费用支付</w:t>
      </w:r>
    </w:p>
    <w:p w14:paraId="7EF9B295">
      <w:pPr>
        <w:autoSpaceDE/>
        <w:autoSpaceDN/>
        <w:adjustRightInd w:val="0"/>
        <w:snapToGrid w:val="0"/>
        <w:spacing w:line="600" w:lineRule="exact"/>
        <w:ind w:firstLine="640" w:firstLineChars="200"/>
        <w:jc w:val="left"/>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成交人</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履行完本合同项下与本项目安全评估报告</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编制</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相关的全部义务，且该报告已通过外部专家评审并取得地铁</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权属单位</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的书面批准后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，可</w:t>
      </w:r>
      <w:r>
        <w:rPr>
          <w:rFonts w:hint="eastAsia" w:ascii="Times New Roman" w:hAnsi="Times New Roman" w:eastAsia="仿宋_GB2312" w:cs="仿宋_GB2312"/>
          <w:color w:val="000000" w:themeColor="text1"/>
          <w:kern w:val="0"/>
          <w:sz w:val="32"/>
          <w:szCs w:val="32"/>
          <w14:textFill>
            <w14:solidFill>
              <w14:schemeClr w14:val="tx1"/>
            </w14:solidFill>
          </w14:textFill>
        </w:rPr>
        <w:t>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采购人</w:t>
      </w:r>
      <w:r>
        <w:rPr>
          <w:rFonts w:hint="eastAsia" w:ascii="Times New Roman" w:hAnsi="Times New Roman" w:eastAsia="仿宋_GB2312" w:cs="仿宋_GB2312"/>
          <w:color w:val="000000" w:themeColor="text1"/>
          <w:kern w:val="0"/>
          <w:sz w:val="32"/>
          <w:szCs w:val="32"/>
          <w14:textFill>
            <w14:solidFill>
              <w14:schemeClr w14:val="tx1"/>
            </w14:solidFill>
          </w14:textFill>
        </w:rPr>
        <w:t>提出支付申请</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申请时，</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成交人</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须同时提交最终成果文件</w:t>
      </w:r>
      <w:r>
        <w:rPr>
          <w:rFonts w:hint="eastAsia" w:ascii="Times New Roman" w:eastAsia="仿宋_GB2312" w:cs="仿宋_GB2312"/>
          <w:i w:val="0"/>
          <w:iCs w:val="0"/>
          <w:caps w:val="0"/>
          <w:color w:val="000000" w:themeColor="text1"/>
          <w:spacing w:val="0"/>
          <w:kern w:val="0"/>
          <w:sz w:val="32"/>
          <w:szCs w:val="32"/>
          <w:shd w:val="clear" w:fill="auto"/>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审批通过的证明文件</w:t>
      </w:r>
      <w:r>
        <w:rPr>
          <w:rFonts w:hint="eastAsia" w:ascii="Times New Roman" w:eastAsia="仿宋_GB2312" w:cs="仿宋_GB2312"/>
          <w:color w:val="000000" w:themeColor="text1"/>
          <w:sz w:val="32"/>
          <w:szCs w:val="32"/>
          <w:shd w:val="clear" w:fill="auto"/>
          <w:lang w:val="en-US" w:eastAsia="zh-CN"/>
          <w14:textFill>
            <w14:solidFill>
              <w14:schemeClr w14:val="tx1"/>
            </w14:solidFill>
          </w14:textFill>
        </w:rPr>
        <w:t>及等额有效的增值税普通发票</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采购人</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自</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收到</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成交人</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提交的完整且无争议的付款申请</w:t>
      </w:r>
      <w:r>
        <w:rPr>
          <w:rFonts w:hint="eastAsia" w:ascii="Times New Roman" w:eastAsia="仿宋_GB2312" w:cs="仿宋_GB2312"/>
          <w:i w:val="0"/>
          <w:iCs w:val="0"/>
          <w:caps w:val="0"/>
          <w:color w:val="000000" w:themeColor="text1"/>
          <w:spacing w:val="0"/>
          <w:kern w:val="0"/>
          <w:sz w:val="32"/>
          <w:szCs w:val="32"/>
          <w:shd w:val="clear" w:fill="auto"/>
          <w:lang w:eastAsia="zh-CN"/>
          <w14:textFill>
            <w14:solidFill>
              <w14:schemeClr w14:val="tx1"/>
            </w14:solidFill>
          </w14:textFill>
        </w:rPr>
        <w:t>、</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审批通过的</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证明文件</w:t>
      </w:r>
      <w:r>
        <w:rPr>
          <w:rFonts w:hint="eastAsia" w:ascii="Times New Roman" w:eastAsia="仿宋_GB2312" w:cs="仿宋_GB2312"/>
          <w:color w:val="000000" w:themeColor="text1"/>
          <w:sz w:val="32"/>
          <w:szCs w:val="32"/>
          <w:shd w:val="clear" w:fill="auto"/>
          <w:lang w:val="en-US" w:eastAsia="zh-CN"/>
          <w14:textFill>
            <w14:solidFill>
              <w14:schemeClr w14:val="tx1"/>
            </w14:solidFill>
          </w14:textFill>
        </w:rPr>
        <w:t>及等额有效的增值税普通发票</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之日起45</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个工作日内通知</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项目业主</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，由</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项目业主</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或</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项目业主</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委托</w:t>
      </w:r>
      <w:r>
        <w:rPr>
          <w:rFonts w:hint="eastAsia" w:asci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采购人</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一次性支付合同全款。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 xml:space="preserve"> </w:t>
      </w:r>
    </w:p>
    <w:p w14:paraId="4A620BFA">
      <w:pPr>
        <w:autoSpaceDE/>
        <w:autoSpaceDN/>
        <w:adjustRightInd w:val="0"/>
        <w:snapToGrid w:val="0"/>
        <w:spacing w:line="600" w:lineRule="exact"/>
        <w:ind w:firstLine="640" w:firstLineChars="200"/>
        <w:jc w:val="left"/>
        <w:rPr>
          <w:rFonts w:hint="eastAsia" w:ascii="仿宋_GB2312" w:hAnsi="仿宋_GB2312" w:eastAsia="仿宋_GB2312" w:cs="仿宋_GB2312"/>
          <w:bCs/>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lang w:val="en-US" w:eastAsia="zh-CN"/>
        </w:rPr>
        <w:t>资质</w:t>
      </w:r>
      <w:r>
        <w:rPr>
          <w:rFonts w:ascii="黑体" w:hAnsi="黑体" w:eastAsia="黑体" w:cs="黑体"/>
          <w:kern w:val="0"/>
          <w:sz w:val="32"/>
          <w:szCs w:val="32"/>
        </w:rPr>
        <w:t>要求</w:t>
      </w:r>
    </w:p>
    <w:p w14:paraId="65CC76B1">
      <w:pPr>
        <w:autoSpaceDE/>
        <w:autoSpaceDN/>
        <w:adjustRightInd w:val="0"/>
        <w:spacing w:line="600" w:lineRule="exact"/>
        <w:ind w:firstLine="640" w:firstLineChars="200"/>
        <w:contextualSpacing/>
        <w:jc w:val="lef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1.报价人应具有工程勘察综合甲级资质和相关轨道交通工程安全评估经验，且还应至少满足以下条件之一：</w:t>
      </w:r>
    </w:p>
    <w:p w14:paraId="062F4D16">
      <w:pPr>
        <w:autoSpaceDE/>
        <w:autoSpaceDN/>
        <w:adjustRightInd w:val="0"/>
        <w:spacing w:line="600" w:lineRule="exact"/>
        <w:ind w:firstLine="640" w:firstLineChars="200"/>
        <w:contextualSpacing/>
        <w:jc w:val="lef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（1）具有国家发改委颁发的工程咨询（铁路、城市轨道交通专业）甲级资信证书。</w:t>
      </w:r>
    </w:p>
    <w:p w14:paraId="605A0243">
      <w:pPr>
        <w:autoSpaceDE/>
        <w:autoSpaceDN/>
        <w:adjustRightInd w:val="0"/>
        <w:spacing w:line="600" w:lineRule="exact"/>
        <w:ind w:firstLine="640" w:firstLineChars="200"/>
        <w:contextualSpacing/>
        <w:jc w:val="lef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（2）具有工程设计综合甲级资质。</w:t>
      </w:r>
    </w:p>
    <w:p w14:paraId="27E5A413">
      <w:pPr>
        <w:autoSpaceDE/>
        <w:autoSpaceDN/>
        <w:adjustRightInd w:val="0"/>
        <w:spacing w:line="600" w:lineRule="exact"/>
        <w:ind w:left="0" w:leftChars="0" w:firstLine="640" w:firstLineChars="200"/>
        <w:contextualSpacing/>
        <w:jc w:val="left"/>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（3）具有工程设计市政行业轨道交通工程专业甲级资质。</w:t>
      </w:r>
    </w:p>
    <w:p w14:paraId="1AC0CAED">
      <w:pPr>
        <w:autoSpaceDE/>
        <w:autoSpaceDN/>
        <w:adjustRightInd w:val="0"/>
        <w:spacing w:line="600" w:lineRule="exact"/>
        <w:ind w:left="0" w:leftChars="0" w:firstLine="640" w:firstLineChars="200"/>
        <w:contextualSpacing/>
        <w:jc w:val="both"/>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2.</w:t>
      </w:r>
      <w:r>
        <w:rPr>
          <w:rFonts w:hint="eastAsia" w:ascii="Times New Roman" w:eastAsia="仿宋_GB2312" w:cs="仿宋_GB2312"/>
          <w:bCs/>
          <w:kern w:val="0"/>
          <w:sz w:val="32"/>
          <w:szCs w:val="32"/>
          <w:lang w:val="en-US" w:eastAsia="zh-CN"/>
        </w:rPr>
        <w:t>报价人</w:t>
      </w:r>
      <w:r>
        <w:rPr>
          <w:rFonts w:hint="eastAsia" w:ascii="Times New Roman" w:hAnsi="Times New Roman" w:eastAsia="仿宋_GB2312" w:cs="仿宋_GB2312"/>
          <w:bCs/>
          <w:kern w:val="0"/>
          <w:sz w:val="32"/>
          <w:szCs w:val="32"/>
        </w:rPr>
        <w:t>须是在中华人民共和国境内注册的法人或其他组织，具有独立承担民事责任的能力。</w:t>
      </w:r>
    </w:p>
    <w:p w14:paraId="5DB23732">
      <w:pPr>
        <w:autoSpaceDE/>
        <w:autoSpaceDN/>
        <w:adjustRightInd w:val="0"/>
        <w:spacing w:line="600" w:lineRule="exact"/>
        <w:ind w:left="0" w:leftChars="0" w:firstLine="640" w:firstLineChars="200"/>
        <w:contextualSpacing/>
        <w:jc w:val="both"/>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3.需要有做过东莞地铁安全评估等的业绩。</w:t>
      </w:r>
    </w:p>
    <w:p w14:paraId="4596B972">
      <w:pPr>
        <w:pStyle w:val="9"/>
        <w:rPr>
          <w:rFonts w:hint="eastAsia" w:ascii="Times New Roman" w:hAnsi="Times New Roman" w:eastAsia="仿宋_GB2312" w:cs="仿宋_GB2312"/>
          <w:b w:val="0"/>
          <w:bCs w:val="0"/>
          <w:sz w:val="32"/>
          <w:szCs w:val="32"/>
        </w:rPr>
      </w:pPr>
    </w:p>
    <w:p w14:paraId="19CCC95B">
      <w:pPr>
        <w:rPr>
          <w:rFonts w:hint="eastAsia" w:ascii="Times New Roman" w:hAnsi="Times New Roman" w:eastAsia="仿宋_GB2312" w:cs="仿宋_GB2312"/>
          <w:b w:val="0"/>
          <w:bCs w:val="0"/>
          <w:sz w:val="32"/>
          <w:szCs w:val="32"/>
        </w:rPr>
      </w:pPr>
    </w:p>
    <w:p w14:paraId="77A73D95">
      <w:pPr>
        <w:rPr>
          <w:rFonts w:hint="eastAsia" w:ascii="Times New Roman" w:hAnsi="Times New Roman" w:eastAsia="仿宋_GB2312" w:cs="仿宋_GB2312"/>
          <w:b w:val="0"/>
          <w:bCs w:val="0"/>
          <w:sz w:val="32"/>
          <w:szCs w:val="32"/>
        </w:rPr>
      </w:pPr>
    </w:p>
    <w:p w14:paraId="5959ADE5">
      <w:pPr>
        <w:rPr>
          <w:rFonts w:hint="eastAsia" w:ascii="Times New Roman" w:hAnsi="Times New Roman" w:eastAsia="仿宋_GB2312" w:cs="仿宋_GB2312"/>
          <w:b w:val="0"/>
          <w:bCs w:val="0"/>
          <w:sz w:val="32"/>
          <w:szCs w:val="32"/>
        </w:rPr>
      </w:pPr>
    </w:p>
    <w:p w14:paraId="7C4C64B5">
      <w:pPr>
        <w:rPr>
          <w:rFonts w:hint="eastAsia" w:ascii="Times New Roman" w:hAnsi="Times New Roman" w:eastAsia="仿宋_GB2312" w:cs="仿宋_GB2312"/>
          <w:b w:val="0"/>
          <w:bCs w:val="0"/>
          <w:sz w:val="32"/>
          <w:szCs w:val="32"/>
        </w:rPr>
      </w:pPr>
    </w:p>
    <w:p w14:paraId="51652BA2">
      <w:pPr>
        <w:rPr>
          <w:rFonts w:hint="eastAsia" w:ascii="Times New Roman" w:hAnsi="Times New Roman" w:eastAsia="仿宋_GB2312" w:cs="仿宋_GB2312"/>
          <w:b w:val="0"/>
          <w:bCs w:val="0"/>
          <w:sz w:val="32"/>
          <w:szCs w:val="32"/>
        </w:rPr>
      </w:pPr>
    </w:p>
    <w:p w14:paraId="0CC0E51E">
      <w:pPr>
        <w:rPr>
          <w:rFonts w:hint="eastAsia" w:ascii="Times New Roman" w:hAnsi="Times New Roman" w:eastAsia="仿宋_GB2312" w:cs="仿宋_GB2312"/>
          <w:b w:val="0"/>
          <w:bCs w:val="0"/>
          <w:sz w:val="32"/>
          <w:szCs w:val="32"/>
        </w:rPr>
      </w:pPr>
    </w:p>
    <w:p w14:paraId="653B4BB6">
      <w:pPr>
        <w:rPr>
          <w:rFonts w:hint="eastAsia" w:ascii="Times New Roman" w:hAnsi="Times New Roman" w:eastAsia="仿宋_GB2312" w:cs="仿宋_GB2312"/>
          <w:b w:val="0"/>
          <w:bCs w:val="0"/>
          <w:sz w:val="32"/>
          <w:szCs w:val="32"/>
        </w:rPr>
      </w:pPr>
    </w:p>
    <w:p w14:paraId="0418C633">
      <w:pPr>
        <w:rPr>
          <w:rFonts w:hint="eastAsia" w:ascii="Times New Roman" w:hAnsi="Times New Roman" w:eastAsia="仿宋_GB2312" w:cs="仿宋_GB2312"/>
          <w:b w:val="0"/>
          <w:bCs w:val="0"/>
          <w:sz w:val="32"/>
          <w:szCs w:val="32"/>
        </w:rPr>
      </w:pPr>
    </w:p>
    <w:p w14:paraId="30042FD1">
      <w:pPr>
        <w:rPr>
          <w:rFonts w:hint="eastAsia" w:ascii="Times New Roman" w:hAnsi="Times New Roman" w:eastAsia="仿宋_GB2312" w:cs="仿宋_GB2312"/>
          <w:b w:val="0"/>
          <w:bCs w:val="0"/>
          <w:sz w:val="32"/>
          <w:szCs w:val="32"/>
        </w:rPr>
      </w:pPr>
    </w:p>
    <w:p w14:paraId="411F3325">
      <w:pPr>
        <w:rPr>
          <w:rFonts w:hint="eastAsia" w:ascii="Times New Roman" w:hAnsi="Times New Roman" w:eastAsia="仿宋_GB2312" w:cs="仿宋_GB2312"/>
          <w:b w:val="0"/>
          <w:bCs w:val="0"/>
          <w:sz w:val="32"/>
          <w:szCs w:val="32"/>
        </w:rPr>
      </w:pPr>
    </w:p>
    <w:p w14:paraId="54DAC3D3">
      <w:pPr>
        <w:rPr>
          <w:rFonts w:hint="eastAsia" w:ascii="Times New Roman" w:hAnsi="Times New Roman" w:eastAsia="仿宋_GB2312" w:cs="仿宋_GB2312"/>
          <w:b w:val="0"/>
          <w:bCs w:val="0"/>
          <w:sz w:val="32"/>
          <w:szCs w:val="32"/>
        </w:rPr>
      </w:pPr>
    </w:p>
    <w:p w14:paraId="7266B0C5"/>
    <w:p w14:paraId="06696077">
      <w:pPr>
        <w:pStyle w:val="2"/>
        <w:numPr>
          <w:ilvl w:val="0"/>
          <w:numId w:val="0"/>
        </w:numPr>
        <w:jc w:val="center"/>
        <w:rPr>
          <w:rFonts w:hint="eastAsia" w:hAnsi="宋体" w:cs="宋体"/>
          <w:b/>
          <w:bCs/>
          <w:color w:val="auto"/>
          <w:kern w:val="44"/>
          <w:sz w:val="32"/>
          <w:szCs w:val="32"/>
          <w:highlight w:val="none"/>
          <w:lang w:val="en-US" w:eastAsia="zh-CN"/>
        </w:rPr>
      </w:pPr>
      <w:bookmarkStart w:id="27" w:name="_Toc17710"/>
      <w:bookmarkStart w:id="28" w:name="_Toc11128"/>
      <w:r>
        <w:rPr>
          <w:rFonts w:hint="eastAsia" w:ascii="宋体" w:hAnsi="宋体" w:eastAsia="宋体" w:cs="宋体"/>
          <w:b/>
          <w:bCs/>
          <w:color w:val="auto"/>
          <w:szCs w:val="32"/>
          <w:highlight w:val="none"/>
          <w:lang w:val="en-US" w:eastAsia="zh-CN"/>
        </w:rPr>
        <w:t>第</w:t>
      </w:r>
      <w:r>
        <w:rPr>
          <w:rFonts w:hint="eastAsia" w:hAnsi="宋体" w:cs="宋体"/>
          <w:b/>
          <w:bCs/>
          <w:color w:val="auto"/>
          <w:kern w:val="44"/>
          <w:sz w:val="32"/>
          <w:szCs w:val="32"/>
          <w:highlight w:val="none"/>
          <w:lang w:val="en-US" w:eastAsia="zh-CN"/>
        </w:rPr>
        <w:t>三</w:t>
      </w:r>
      <w:r>
        <w:rPr>
          <w:rFonts w:hint="eastAsia" w:ascii="宋体" w:hAnsi="宋体" w:eastAsia="宋体" w:cs="宋体"/>
          <w:b/>
          <w:bCs/>
          <w:color w:val="auto"/>
          <w:szCs w:val="32"/>
          <w:highlight w:val="none"/>
          <w:lang w:val="en-US" w:eastAsia="zh-CN"/>
        </w:rPr>
        <w:t>章</w:t>
      </w:r>
      <w:r>
        <w:rPr>
          <w:rFonts w:hint="eastAsia" w:ascii="宋体" w:hAnsi="宋体" w:eastAsia="宋体" w:cs="宋体"/>
          <w:b/>
          <w:bCs/>
          <w:color w:val="auto"/>
          <w:szCs w:val="32"/>
          <w:highlight w:val="none"/>
        </w:rPr>
        <w:t xml:space="preserve"> </w:t>
      </w:r>
      <w:r>
        <w:rPr>
          <w:rFonts w:hint="eastAsia" w:hAnsi="宋体" w:cs="宋体"/>
          <w:b/>
          <w:bCs/>
          <w:color w:val="auto"/>
          <w:kern w:val="44"/>
          <w:sz w:val="32"/>
          <w:szCs w:val="32"/>
          <w:highlight w:val="none"/>
          <w:lang w:eastAsia="zh-CN"/>
        </w:rPr>
        <w:t>合同</w:t>
      </w:r>
      <w:r>
        <w:rPr>
          <w:rFonts w:hint="eastAsia" w:hAnsi="宋体" w:cs="宋体"/>
          <w:b/>
          <w:bCs/>
          <w:color w:val="auto"/>
          <w:kern w:val="44"/>
          <w:sz w:val="32"/>
          <w:szCs w:val="32"/>
          <w:highlight w:val="none"/>
          <w:lang w:val="en-US" w:eastAsia="zh-CN"/>
        </w:rPr>
        <w:t>条款</w:t>
      </w:r>
      <w:bookmarkEnd w:id="27"/>
      <w:bookmarkEnd w:id="28"/>
    </w:p>
    <w:bookmarkEnd w:id="16"/>
    <w:bookmarkEnd w:id="17"/>
    <w:bookmarkEnd w:id="18"/>
    <w:bookmarkEnd w:id="19"/>
    <w:p w14:paraId="6AD00A7F">
      <w:pPr>
        <w:rPr>
          <w:rFonts w:eastAsia="仿宋_GB2312"/>
          <w:b/>
          <w:sz w:val="32"/>
        </w:rPr>
      </w:pPr>
      <w:bookmarkStart w:id="29" w:name="_Toc10755"/>
      <w:bookmarkStart w:id="30" w:name="_Toc13452"/>
      <w:bookmarkStart w:id="31" w:name="_Toc44929216"/>
      <w:bookmarkStart w:id="32" w:name="_Toc25766"/>
      <w:bookmarkStart w:id="33" w:name="_Toc20853"/>
      <w:r>
        <w:rPr>
          <w:rFonts w:hint="eastAsia" w:eastAsia="仿宋_GB2312"/>
          <w:b/>
          <w:sz w:val="32"/>
        </w:rPr>
        <w:t>合同编号：</w:t>
      </w:r>
    </w:p>
    <w:p w14:paraId="4A2FA1DF">
      <w:pPr>
        <w:spacing w:line="440" w:lineRule="exact"/>
        <w:ind w:firstLine="480" w:firstLineChars="200"/>
        <w:jc w:val="center"/>
        <w:rPr>
          <w:rFonts w:eastAsia="仿宋_GB2312"/>
        </w:rPr>
      </w:pPr>
      <w:r>
        <w:rPr>
          <w:rFonts w:hint="eastAsia"/>
        </w:rPr>
        <w:t xml:space="preserve">                                </w:t>
      </w:r>
    </w:p>
    <w:p w14:paraId="13B9F5A9">
      <w:pPr>
        <w:pStyle w:val="8"/>
        <w:jc w:val="center"/>
        <w:rPr>
          <w:rFonts w:hint="eastAsia" w:ascii="方正小标宋简体" w:hAnsi="方正小标宋简体" w:eastAsia="方正小标宋简体" w:cs="方正小标宋简体"/>
          <w:b w:val="0"/>
          <w:sz w:val="40"/>
          <w:szCs w:val="40"/>
          <w:lang w:val="en-US" w:eastAsia="zh-CN"/>
        </w:rPr>
      </w:pPr>
      <w:bookmarkStart w:id="34" w:name="OLE_LINK10"/>
      <w:r>
        <w:rPr>
          <w:rFonts w:ascii="方正小标宋简体" w:hAnsi="方正小标宋简体" w:eastAsia="方正小标宋简体" w:cs="方正小标宋简体"/>
          <w:b w:val="0"/>
          <w:sz w:val="40"/>
          <w:szCs w:val="40"/>
        </w:rPr>
        <w:t>滨海湾新区苗涌东侧规划次干路配套给水工程</w:t>
      </w:r>
      <w:bookmarkStart w:id="35" w:name="OLE_LINK8"/>
      <w:r>
        <w:rPr>
          <w:rFonts w:ascii="方正小标宋简体" w:hAnsi="方正小标宋简体" w:eastAsia="方正小标宋简体" w:cs="方正小标宋简体"/>
          <w:b w:val="0"/>
          <w:sz w:val="40"/>
          <w:szCs w:val="40"/>
        </w:rPr>
        <w:t>（含交椅湾板块连通管工程）</w:t>
      </w:r>
      <w:bookmarkEnd w:id="35"/>
      <w:r>
        <w:rPr>
          <w:rFonts w:ascii="方正小标宋简体" w:hAnsi="方正小标宋简体" w:eastAsia="方正小标宋简体" w:cs="方正小标宋简体"/>
          <w:b w:val="0"/>
          <w:sz w:val="40"/>
          <w:szCs w:val="40"/>
        </w:rPr>
        <w:t>涉地铁</w:t>
      </w:r>
      <w:r>
        <w:rPr>
          <w:rFonts w:hint="eastAsia" w:ascii="方正小标宋简体" w:hAnsi="方正小标宋简体" w:eastAsia="方正小标宋简体" w:cs="方正小标宋简体"/>
          <w:b w:val="0"/>
          <w:sz w:val="40"/>
          <w:szCs w:val="40"/>
          <w:lang w:val="en-US" w:eastAsia="zh-CN"/>
        </w:rPr>
        <w:t>2号线</w:t>
      </w:r>
    </w:p>
    <w:p w14:paraId="6A64E931">
      <w:pPr>
        <w:pStyle w:val="8"/>
        <w:jc w:val="center"/>
        <w:rPr>
          <w:rFonts w:eastAsia="仿宋_GB2312"/>
          <w:b/>
          <w:sz w:val="44"/>
          <w:szCs w:val="44"/>
        </w:rPr>
      </w:pPr>
      <w:r>
        <w:rPr>
          <w:rFonts w:ascii="方正小标宋简体" w:hAnsi="方正小标宋简体" w:eastAsia="方正小标宋简体" w:cs="方正小标宋简体"/>
          <w:b w:val="0"/>
          <w:sz w:val="40"/>
          <w:szCs w:val="40"/>
        </w:rPr>
        <w:t>安全评估</w:t>
      </w:r>
      <w:bookmarkEnd w:id="34"/>
      <w:bookmarkStart w:id="36" w:name="OLE_LINK9"/>
      <w:r>
        <w:rPr>
          <w:rFonts w:hint="eastAsia" w:ascii="方正小标宋简体" w:hAnsi="方正小标宋简体" w:eastAsia="方正小标宋简体" w:cs="方正小标宋简体"/>
          <w:b w:val="0"/>
          <w:sz w:val="40"/>
          <w:szCs w:val="40"/>
          <w:lang w:val="en-US" w:eastAsia="zh-CN"/>
        </w:rPr>
        <w:t>报告</w:t>
      </w:r>
      <w:bookmarkEnd w:id="36"/>
      <w:r>
        <w:rPr>
          <w:rFonts w:hint="eastAsia" w:ascii="方正小标宋简体" w:hAnsi="方正小标宋简体" w:eastAsia="方正小标宋简体" w:cs="方正小标宋简体"/>
          <w:b w:val="0"/>
          <w:sz w:val="40"/>
          <w:szCs w:val="40"/>
          <w:lang w:val="en-US" w:eastAsia="zh-CN"/>
        </w:rPr>
        <w:t>编制</w:t>
      </w:r>
      <w:r>
        <w:rPr>
          <w:rFonts w:hint="eastAsia" w:ascii="方正小标宋简体" w:hAnsi="方正小标宋简体" w:eastAsia="方正小标宋简体" w:cs="方正小标宋简体"/>
          <w:b w:val="0"/>
          <w:sz w:val="40"/>
          <w:szCs w:val="40"/>
        </w:rPr>
        <w:t>合同</w:t>
      </w:r>
    </w:p>
    <w:p w14:paraId="67C1F42A">
      <w:pPr>
        <w:pStyle w:val="72"/>
        <w:autoSpaceDE/>
        <w:autoSpaceDN/>
        <w:spacing w:line="580" w:lineRule="exact"/>
        <w:rPr>
          <w:rFonts w:eastAsia="仿宋_GB2312"/>
          <w:sz w:val="30"/>
          <w:szCs w:val="30"/>
        </w:rPr>
      </w:pPr>
    </w:p>
    <w:p w14:paraId="16C0F0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sz w:val="30"/>
          <w:szCs w:val="32"/>
          <w:u w:val="single"/>
          <w:lang w:val="en-US" w:eastAsia="zh-CN"/>
        </w:rPr>
      </w:pPr>
      <w:r>
        <w:rPr>
          <w:rFonts w:hint="eastAsia" w:ascii="仿宋_GB2312" w:hAnsi="仿宋_GB2312" w:eastAsia="仿宋_GB2312" w:cs="仿宋_GB2312"/>
          <w:b/>
          <w:sz w:val="30"/>
          <w:szCs w:val="30"/>
        </w:rPr>
        <w:t>项目名称：</w:t>
      </w:r>
      <w:bookmarkStart w:id="37" w:name="OLE_LINK4"/>
      <w:r>
        <w:rPr>
          <w:rFonts w:hint="eastAsia" w:ascii="仿宋_GB2312" w:hAnsi="仿宋_GB2312" w:eastAsia="仿宋_GB2312" w:cs="仿宋_GB2312"/>
          <w:b/>
          <w:sz w:val="30"/>
          <w:szCs w:val="30"/>
          <w:u w:val="single"/>
        </w:rPr>
        <w:t>滨海湾新区苗涌东侧规划次</w:t>
      </w:r>
      <w:r>
        <w:rPr>
          <w:rFonts w:hint="eastAsia" w:ascii="仿宋_GB2312" w:hAnsi="仿宋_GB2312" w:eastAsia="仿宋_GB2312" w:cs="仿宋_GB2312"/>
          <w:b/>
          <w:sz w:val="30"/>
          <w:szCs w:val="30"/>
          <w:u w:val="single"/>
          <w:lang w:val="en-US" w:eastAsia="zh-CN"/>
        </w:rPr>
        <w:t>干</w:t>
      </w:r>
      <w:r>
        <w:rPr>
          <w:rFonts w:hint="eastAsia" w:ascii="仿宋_GB2312" w:hAnsi="仿宋_GB2312" w:eastAsia="仿宋_GB2312" w:cs="仿宋_GB2312"/>
          <w:b/>
          <w:sz w:val="30"/>
          <w:szCs w:val="30"/>
          <w:u w:val="single"/>
        </w:rPr>
        <w:t>路配套给水工程</w:t>
      </w:r>
      <w:r>
        <w:rPr>
          <w:rFonts w:hint="eastAsia" w:ascii="仿宋_GB2312" w:hAnsi="仿宋_GB2312" w:eastAsia="仿宋_GB2312" w:cs="仿宋_GB2312"/>
          <w:b/>
          <w:sz w:val="30"/>
          <w:szCs w:val="30"/>
          <w:u w:val="single"/>
          <w:lang w:eastAsia="zh-CN"/>
        </w:rPr>
        <w:t>（</w:t>
      </w:r>
      <w:r>
        <w:rPr>
          <w:rFonts w:hint="eastAsia" w:ascii="仿宋_GB2312" w:hAnsi="仿宋_GB2312" w:eastAsia="仿宋_GB2312" w:cs="仿宋_GB2312"/>
          <w:b/>
          <w:sz w:val="30"/>
          <w:szCs w:val="30"/>
          <w:u w:val="single"/>
        </w:rPr>
        <w:t>含交椅</w:t>
      </w:r>
      <w:r>
        <w:rPr>
          <w:rFonts w:hint="eastAsia" w:ascii="仿宋_GB2312" w:hAnsi="仿宋_GB2312" w:eastAsia="仿宋_GB2312" w:cs="仿宋_GB2312"/>
          <w:b/>
          <w:sz w:val="30"/>
          <w:szCs w:val="32"/>
          <w:u w:val="single"/>
        </w:rPr>
        <w:t>湾板块连通管工程</w:t>
      </w:r>
      <w:r>
        <w:rPr>
          <w:rFonts w:hint="eastAsia" w:ascii="仿宋_GB2312" w:hAnsi="仿宋_GB2312" w:eastAsia="仿宋_GB2312" w:cs="仿宋_GB2312"/>
          <w:b/>
          <w:sz w:val="30"/>
          <w:szCs w:val="32"/>
          <w:u w:val="single"/>
          <w:lang w:eastAsia="zh-CN"/>
        </w:rPr>
        <w:t>）</w:t>
      </w:r>
      <w:r>
        <w:rPr>
          <w:rFonts w:hint="eastAsia" w:ascii="仿宋_GB2312" w:hAnsi="仿宋_GB2312" w:eastAsia="仿宋_GB2312" w:cs="仿宋_GB2312"/>
          <w:b/>
          <w:sz w:val="30"/>
          <w:szCs w:val="32"/>
          <w:u w:val="single"/>
        </w:rPr>
        <w:t>涉地铁2号线安全评估报告</w:t>
      </w:r>
      <w:r>
        <w:rPr>
          <w:rFonts w:hint="eastAsia" w:ascii="仿宋_GB2312" w:hAnsi="仿宋_GB2312" w:eastAsia="仿宋_GB2312" w:cs="仿宋_GB2312"/>
          <w:b/>
          <w:sz w:val="30"/>
          <w:szCs w:val="32"/>
          <w:u w:val="single"/>
          <w:lang w:val="en-US" w:eastAsia="zh-CN"/>
        </w:rPr>
        <w:t>编制</w:t>
      </w:r>
    </w:p>
    <w:p w14:paraId="1A7D2B04">
      <w:pPr>
        <w:pStyle w:val="5"/>
        <w:autoSpaceDE/>
        <w:autoSpaceDN/>
        <w:spacing w:line="580" w:lineRule="exact"/>
        <w:rPr>
          <w:rFonts w:hint="default" w:ascii="Calibri" w:hAnsi="Calibri" w:eastAsia="仿宋_GB2312" w:cs="黑体"/>
          <w:sz w:val="30"/>
          <w:szCs w:val="32"/>
          <w:u w:val="none"/>
          <w:lang w:val="en-US" w:eastAsia="zh-CN"/>
        </w:rPr>
      </w:pPr>
    </w:p>
    <w:bookmarkEnd w:id="37"/>
    <w:p w14:paraId="02D4B1DD">
      <w:pPr>
        <w:keepNext w:val="0"/>
        <w:keepLines w:val="0"/>
        <w:pageBreakBefore w:val="0"/>
        <w:widowControl w:val="0"/>
        <w:kinsoku/>
        <w:wordWrap/>
        <w:overflowPunct/>
        <w:topLinePunct w:val="0"/>
        <w:autoSpaceDE/>
        <w:autoSpaceDN/>
        <w:bidi w:val="0"/>
        <w:adjustRightInd/>
        <w:snapToGrid/>
        <w:spacing w:line="580" w:lineRule="exact"/>
        <w:ind w:left="2409" w:right="36" w:rightChars="15" w:hanging="2409" w:hangingChars="800"/>
        <w:textAlignment w:val="auto"/>
        <w:rPr>
          <w:rFonts w:ascii="仿宋_GB2312" w:hAnsi="仿宋_GB2312" w:eastAsia="仿宋_GB2312" w:cs="仿宋_GB2312"/>
          <w:b/>
          <w:sz w:val="30"/>
          <w:szCs w:val="30"/>
          <w:u w:val="single"/>
        </w:rPr>
      </w:pPr>
      <w:r>
        <w:rPr>
          <w:rFonts w:hint="eastAsia" w:ascii="仿宋_GB2312" w:hAnsi="仿宋_GB2312" w:eastAsia="仿宋_GB2312" w:cs="仿宋_GB2312"/>
          <w:b/>
          <w:sz w:val="30"/>
          <w:szCs w:val="32"/>
        </w:rPr>
        <w:t>委托方(甲</w:t>
      </w:r>
      <w:r>
        <w:rPr>
          <w:rFonts w:hint="eastAsia" w:ascii="仿宋_GB2312" w:hAnsi="仿宋_GB2312" w:eastAsia="仿宋_GB2312" w:cs="仿宋_GB2312"/>
          <w:b/>
          <w:sz w:val="30"/>
          <w:szCs w:val="30"/>
        </w:rPr>
        <w:t>方)：</w:t>
      </w:r>
      <w:r>
        <w:rPr>
          <w:rFonts w:hint="eastAsia" w:ascii="仿宋_GB2312" w:hAnsi="仿宋_GB2312" w:eastAsia="仿宋_GB2312" w:cs="仿宋_GB2312"/>
          <w:b/>
          <w:sz w:val="30"/>
          <w:szCs w:val="30"/>
          <w:u w:val="single"/>
        </w:rPr>
        <w:t>东莞市水务环境投资控股集团建设管理有限公司</w:t>
      </w:r>
    </w:p>
    <w:p w14:paraId="34B80F1A">
      <w:pPr>
        <w:keepNext w:val="0"/>
        <w:keepLines w:val="0"/>
        <w:pageBreakBefore w:val="0"/>
        <w:widowControl w:val="0"/>
        <w:kinsoku/>
        <w:wordWrap/>
        <w:overflowPunct/>
        <w:topLinePunct w:val="0"/>
        <w:autoSpaceDE/>
        <w:autoSpaceDN/>
        <w:bidi w:val="0"/>
        <w:adjustRightInd/>
        <w:snapToGrid/>
        <w:spacing w:line="580" w:lineRule="exact"/>
        <w:ind w:right="36" w:rightChars="15"/>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地址：</w:t>
      </w:r>
      <w:r>
        <w:rPr>
          <w:rFonts w:hint="eastAsia" w:ascii="仿宋_GB2312" w:hAnsi="仿宋_GB2312" w:eastAsia="仿宋_GB2312" w:cs="仿宋_GB2312"/>
          <w:b/>
          <w:sz w:val="30"/>
          <w:szCs w:val="30"/>
          <w:u w:val="single"/>
        </w:rPr>
        <w:t>东莞市南城街道滨河路100号一期1号楼102室</w:t>
      </w:r>
    </w:p>
    <w:p w14:paraId="45049C32">
      <w:pPr>
        <w:keepNext w:val="0"/>
        <w:keepLines w:val="0"/>
        <w:pageBreakBefore w:val="0"/>
        <w:widowControl w:val="0"/>
        <w:kinsoku/>
        <w:wordWrap/>
        <w:overflowPunct/>
        <w:topLinePunct w:val="0"/>
        <w:autoSpaceDE/>
        <w:autoSpaceDN/>
        <w:bidi w:val="0"/>
        <w:adjustRightInd/>
        <w:snapToGrid/>
        <w:spacing w:line="580" w:lineRule="exact"/>
        <w:ind w:right="36" w:rightChars="15"/>
        <w:textAlignment w:val="auto"/>
        <w:rPr>
          <w:rFonts w:hint="eastAsia" w:ascii="仿宋_GB2312" w:hAnsi="仿宋_GB2312" w:eastAsia="仿宋_GB2312" w:cs="仿宋_GB2312"/>
          <w:b/>
          <w:sz w:val="30"/>
          <w:szCs w:val="30"/>
        </w:rPr>
      </w:pPr>
    </w:p>
    <w:p w14:paraId="14282B8C">
      <w:pPr>
        <w:keepNext w:val="0"/>
        <w:keepLines w:val="0"/>
        <w:pageBreakBefore w:val="0"/>
        <w:widowControl w:val="0"/>
        <w:kinsoku/>
        <w:wordWrap/>
        <w:overflowPunct/>
        <w:topLinePunct w:val="0"/>
        <w:autoSpaceDE/>
        <w:autoSpaceDN/>
        <w:bidi w:val="0"/>
        <w:adjustRightInd/>
        <w:snapToGrid/>
        <w:spacing w:line="580" w:lineRule="exact"/>
        <w:ind w:right="36" w:rightChars="15"/>
        <w:textAlignment w:val="auto"/>
        <w:rPr>
          <w:rFonts w:ascii="仿宋_GB2312" w:hAnsi="仿宋_GB2312" w:eastAsia="仿宋_GB2312" w:cs="仿宋_GB2312"/>
          <w:b/>
          <w:sz w:val="30"/>
          <w:szCs w:val="30"/>
          <w:u w:val="single"/>
        </w:rPr>
      </w:pPr>
      <w:r>
        <w:rPr>
          <w:rFonts w:hint="eastAsia" w:ascii="仿宋_GB2312" w:hAnsi="仿宋_GB2312" w:eastAsia="仿宋_GB2312" w:cs="仿宋_GB2312"/>
          <w:b/>
          <w:sz w:val="30"/>
          <w:szCs w:val="30"/>
        </w:rPr>
        <w:t>受托方(乙方)：</w:t>
      </w:r>
      <w:bookmarkStart w:id="38" w:name="OLE_LINK11"/>
      <w:r>
        <w:rPr>
          <w:rFonts w:hint="eastAsia" w:ascii="仿宋_GB2312" w:hAnsi="仿宋_GB2312" w:eastAsia="仿宋_GB2312" w:cs="仿宋_GB2312"/>
          <w:b/>
          <w:sz w:val="30"/>
          <w:szCs w:val="30"/>
          <w:u w:val="single"/>
        </w:rPr>
        <w:t xml:space="preserve"> </w:t>
      </w:r>
      <w:r>
        <w:rPr>
          <w:rFonts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rPr>
        <w:t xml:space="preserve"> </w:t>
      </w:r>
      <w:bookmarkEnd w:id="38"/>
    </w:p>
    <w:p w14:paraId="641B4ED5">
      <w:pPr>
        <w:keepNext w:val="0"/>
        <w:keepLines w:val="0"/>
        <w:pageBreakBefore w:val="0"/>
        <w:widowControl w:val="0"/>
        <w:tabs>
          <w:tab w:val="left" w:pos="8085"/>
        </w:tabs>
        <w:kinsoku/>
        <w:wordWrap/>
        <w:overflowPunct/>
        <w:topLinePunct w:val="0"/>
        <w:autoSpaceDE/>
        <w:autoSpaceDN/>
        <w:bidi w:val="0"/>
        <w:adjustRightInd/>
        <w:snapToGrid/>
        <w:spacing w:line="580" w:lineRule="exact"/>
        <w:ind w:right="127" w:rightChars="53"/>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地址：</w:t>
      </w:r>
      <w:bookmarkStart w:id="39" w:name="OLE_LINK12"/>
      <w:r>
        <w:rPr>
          <w:rFonts w:hint="eastAsia" w:ascii="仿宋_GB2312" w:hAnsi="仿宋_GB2312" w:eastAsia="仿宋_GB2312" w:cs="仿宋_GB2312"/>
          <w:b/>
          <w:sz w:val="30"/>
          <w:szCs w:val="30"/>
          <w:u w:val="single"/>
        </w:rPr>
        <w:t xml:space="preserve"> </w:t>
      </w:r>
      <w:r>
        <w:rPr>
          <w:rFonts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rPr>
        <w:t xml:space="preserve"> </w:t>
      </w:r>
      <w:bookmarkEnd w:id="39"/>
    </w:p>
    <w:p w14:paraId="75D3449B">
      <w:pPr>
        <w:keepNext w:val="0"/>
        <w:keepLines w:val="0"/>
        <w:pageBreakBefore w:val="0"/>
        <w:widowControl w:val="0"/>
        <w:tabs>
          <w:tab w:val="left" w:pos="8085"/>
        </w:tabs>
        <w:kinsoku/>
        <w:wordWrap/>
        <w:overflowPunct/>
        <w:topLinePunct w:val="0"/>
        <w:autoSpaceDE/>
        <w:autoSpaceDN/>
        <w:bidi w:val="0"/>
        <w:adjustRightInd/>
        <w:snapToGrid/>
        <w:spacing w:line="580" w:lineRule="exact"/>
        <w:ind w:left="3012" w:right="36" w:rightChars="15" w:hanging="3012" w:hangingChars="1000"/>
        <w:textAlignment w:val="auto"/>
        <w:rPr>
          <w:rFonts w:hint="eastAsia" w:ascii="仿宋_GB2312" w:hAnsi="仿宋_GB2312" w:eastAsia="仿宋_GB2312" w:cs="仿宋_GB2312"/>
          <w:b/>
          <w:sz w:val="30"/>
          <w:szCs w:val="30"/>
        </w:rPr>
      </w:pPr>
    </w:p>
    <w:p w14:paraId="06AC2B55">
      <w:pPr>
        <w:keepNext w:val="0"/>
        <w:keepLines w:val="0"/>
        <w:pageBreakBefore w:val="0"/>
        <w:widowControl w:val="0"/>
        <w:tabs>
          <w:tab w:val="left" w:pos="8085"/>
        </w:tabs>
        <w:kinsoku/>
        <w:wordWrap/>
        <w:overflowPunct/>
        <w:topLinePunct w:val="0"/>
        <w:autoSpaceDE/>
        <w:autoSpaceDN/>
        <w:bidi w:val="0"/>
        <w:adjustRightInd/>
        <w:snapToGrid/>
        <w:spacing w:line="580" w:lineRule="exact"/>
        <w:ind w:left="3012" w:right="36" w:rightChars="15" w:hanging="3012" w:hangingChars="1000"/>
        <w:textAlignment w:val="auto"/>
        <w:rPr>
          <w:rFonts w:ascii="仿宋_GB2312" w:hAnsi="仿宋_GB2312" w:eastAsia="仿宋_GB2312" w:cs="仿宋_GB2312"/>
          <w:b/>
          <w:sz w:val="30"/>
          <w:szCs w:val="30"/>
          <w:u w:val="single"/>
        </w:rPr>
      </w:pPr>
      <w:r>
        <w:rPr>
          <w:rFonts w:hint="eastAsia" w:ascii="仿宋_GB2312" w:hAnsi="仿宋_GB2312" w:eastAsia="仿宋_GB2312" w:cs="仿宋_GB2312"/>
          <w:b/>
          <w:sz w:val="30"/>
          <w:szCs w:val="30"/>
        </w:rPr>
        <w:t>项目业主（丙方）：</w:t>
      </w:r>
      <w:r>
        <w:rPr>
          <w:rFonts w:hint="eastAsia" w:ascii="仿宋_GB2312" w:hAnsi="仿宋_GB2312" w:eastAsia="仿宋_GB2312" w:cs="仿宋_GB2312"/>
          <w:b/>
          <w:sz w:val="30"/>
          <w:szCs w:val="30"/>
          <w:u w:val="single"/>
        </w:rPr>
        <w:t>东莞市水务环境投资控股集团供水有限公司</w:t>
      </w:r>
    </w:p>
    <w:p w14:paraId="16070937">
      <w:pPr>
        <w:keepNext w:val="0"/>
        <w:keepLines w:val="0"/>
        <w:pageBreakBefore w:val="0"/>
        <w:widowControl w:val="0"/>
        <w:tabs>
          <w:tab w:val="left" w:pos="8085"/>
        </w:tabs>
        <w:kinsoku/>
        <w:wordWrap/>
        <w:overflowPunct/>
        <w:topLinePunct w:val="0"/>
        <w:autoSpaceDE/>
        <w:autoSpaceDN/>
        <w:bidi w:val="0"/>
        <w:adjustRightInd/>
        <w:snapToGrid/>
        <w:spacing w:line="580" w:lineRule="exact"/>
        <w:ind w:right="36" w:rightChars="15"/>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地址：</w:t>
      </w:r>
      <w:r>
        <w:rPr>
          <w:rFonts w:hint="eastAsia" w:ascii="仿宋_GB2312" w:hAnsi="仿宋_GB2312" w:eastAsia="仿宋_GB2312" w:cs="仿宋_GB2312"/>
          <w:b/>
          <w:sz w:val="30"/>
          <w:szCs w:val="30"/>
          <w:u w:val="single"/>
        </w:rPr>
        <w:t>东莞市莞城街道莞龙路莞城段141号</w:t>
      </w:r>
    </w:p>
    <w:p w14:paraId="26F93256">
      <w:pPr>
        <w:pStyle w:val="73"/>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ascii="Times New Roman" w:eastAsia="仿宋_GB2312"/>
          <w:sz w:val="30"/>
          <w:szCs w:val="30"/>
          <w:lang w:val="en-US"/>
        </w:rPr>
      </w:pPr>
    </w:p>
    <w:p w14:paraId="410CDF4A">
      <w:pPr>
        <w:keepNext w:val="0"/>
        <w:keepLines w:val="0"/>
        <w:pageBreakBefore w:val="0"/>
        <w:widowControl w:val="0"/>
        <w:kinsoku/>
        <w:wordWrap/>
        <w:overflowPunct/>
        <w:topLinePunct w:val="0"/>
        <w:autoSpaceDE/>
        <w:autoSpaceDN/>
        <w:bidi w:val="0"/>
        <w:adjustRightInd/>
        <w:snapToGrid/>
        <w:spacing w:line="580" w:lineRule="exact"/>
        <w:ind w:right="-50" w:rightChars="-21"/>
        <w:textAlignment w:val="auto"/>
        <w:rPr>
          <w:rFonts w:ascii="仿宋_GB2312" w:hAnsi="仿宋_GB2312" w:eastAsia="仿宋_GB2312" w:cs="仿宋_GB2312"/>
          <w:sz w:val="30"/>
          <w:szCs w:val="30"/>
          <w:u w:val="single"/>
        </w:rPr>
      </w:pPr>
      <w:r>
        <w:rPr>
          <w:rFonts w:hint="eastAsia" w:ascii="仿宋_GB2312" w:hAnsi="仿宋_GB2312" w:eastAsia="仿宋_GB2312" w:cs="仿宋_GB2312"/>
          <w:b/>
          <w:sz w:val="30"/>
          <w:szCs w:val="30"/>
        </w:rPr>
        <w:t>签订时间：</w:t>
      </w:r>
      <w:r>
        <w:rPr>
          <w:rFonts w:hint="eastAsia" w:ascii="仿宋_GB2312" w:hAnsi="仿宋_GB2312" w:eastAsia="仿宋_GB2312" w:cs="仿宋_GB2312"/>
          <w:b/>
          <w:sz w:val="30"/>
          <w:szCs w:val="30"/>
          <w:u w:val="single"/>
        </w:rPr>
        <w:t xml:space="preserve">     年   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b/>
          <w:sz w:val="30"/>
          <w:szCs w:val="30"/>
          <w:u w:val="single"/>
        </w:rPr>
        <w:t xml:space="preserve">日 </w:t>
      </w:r>
      <w:r>
        <w:rPr>
          <w:rFonts w:hint="eastAsia" w:ascii="仿宋_GB2312" w:hAnsi="仿宋_GB2312" w:eastAsia="仿宋_GB2312" w:cs="仿宋_GB2312"/>
          <w:sz w:val="30"/>
          <w:szCs w:val="30"/>
          <w:u w:val="single"/>
        </w:rPr>
        <w:t xml:space="preserve">　         </w:t>
      </w:r>
    </w:p>
    <w:p w14:paraId="50646DE3">
      <w:pPr>
        <w:autoSpaceDE/>
        <w:autoSpaceDN/>
        <w:adjustRightInd/>
        <w:spacing w:line="580" w:lineRule="exact"/>
        <w:ind w:right="36" w:rightChars="15"/>
        <w:rPr>
          <w:rFonts w:ascii="Times New Roman"/>
          <w:sz w:val="30"/>
          <w:szCs w:val="30"/>
          <w:lang w:val="en-US"/>
        </w:rPr>
      </w:pPr>
      <w:r>
        <w:rPr>
          <w:rFonts w:hint="eastAsia" w:ascii="仿宋_GB2312" w:hAnsi="仿宋_GB2312" w:eastAsia="仿宋_GB2312" w:cs="仿宋_GB2312"/>
          <w:b/>
          <w:sz w:val="30"/>
          <w:szCs w:val="30"/>
        </w:rPr>
        <w:t>签订地点：</w:t>
      </w:r>
      <w:r>
        <w:rPr>
          <w:rFonts w:hint="eastAsia" w:ascii="仿宋_GB2312" w:hAnsi="仿宋_GB2312" w:eastAsia="仿宋_GB2312" w:cs="仿宋_GB2312"/>
          <w:b/>
          <w:sz w:val="30"/>
          <w:szCs w:val="30"/>
          <w:u w:val="single"/>
        </w:rPr>
        <w:t xml:space="preserve">东莞市水务环境投资控股集团建设管理有限公司 </w:t>
      </w:r>
      <w:r>
        <w:rPr>
          <w:rFonts w:eastAsia="仿宋_GB2312"/>
          <w:sz w:val="30"/>
          <w:szCs w:val="30"/>
          <w:u w:val="single"/>
        </w:rPr>
        <w:t xml:space="preserve"> </w:t>
      </w:r>
    </w:p>
    <w:p w14:paraId="209EEB78">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鉴于：（1）丙方已将</w:t>
      </w:r>
      <w:r>
        <w:rPr>
          <w:rFonts w:hint="eastAsia" w:ascii="Times New Roman" w:hAnsi="Times New Roman" w:eastAsia="仿宋_GB2312" w:cs="仿宋_GB2312"/>
          <w:sz w:val="32"/>
          <w:szCs w:val="32"/>
        </w:rPr>
        <w:t>滨海湾新区苗涌东侧规划次干路配套给水工程（含交椅湾板块连通管工程）</w:t>
      </w:r>
      <w:r>
        <w:rPr>
          <w:rFonts w:hint="eastAsia" w:ascii="Times New Roman" w:hAnsi="Times New Roman" w:eastAsia="仿宋_GB2312" w:cs="仿宋_GB2312"/>
          <w:bCs/>
          <w:sz w:val="32"/>
          <w:szCs w:val="32"/>
        </w:rPr>
        <w:t>委托给甲方实施代建，由甲方对该项目进行全过程管理，乙方对丙方授予甲方的权利义务无任何异议。</w:t>
      </w:r>
    </w:p>
    <w:p w14:paraId="0BBC212E">
      <w:pPr>
        <w:spacing w:line="600" w:lineRule="exact"/>
        <w:ind w:firstLine="640" w:firstLineChars="200"/>
        <w:rPr>
          <w:rFonts w:ascii="Times New Roman" w:eastAsia="仿宋_GB2312"/>
          <w:sz w:val="32"/>
        </w:rPr>
      </w:pP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2</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乙方已明确知悉：甲方履行本合同约定的除支付合同价款及应由丙方承担违约责任以外的全部责任义务。丙方按照合同约定的期限和方式支付合同价款且不承担除支付合同价款及承担合同约定应由丙方承担违约责任之外的任何责任义务。</w:t>
      </w:r>
    </w:p>
    <w:p w14:paraId="4B51993C">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本合同甲方委托乙方</w:t>
      </w:r>
      <w:r>
        <w:rPr>
          <w:rFonts w:hint="eastAsia" w:ascii="Times New Roman" w:hAnsi="Times New Roman" w:eastAsia="仿宋_GB2312" w:cs="仿宋_GB2312"/>
          <w:bCs/>
          <w:sz w:val="32"/>
          <w:szCs w:val="32"/>
          <w:lang w:val="en-US" w:eastAsia="zh-CN"/>
        </w:rPr>
        <w:t>开展</w:t>
      </w:r>
      <w:r>
        <w:rPr>
          <w:rFonts w:hint="eastAsia" w:ascii="Times New Roman" w:hAnsi="Times New Roman" w:eastAsia="仿宋_GB2312" w:cs="仿宋_GB2312"/>
          <w:sz w:val="32"/>
          <w:szCs w:val="32"/>
        </w:rPr>
        <w:t>滨海湾新区苗涌东侧规划次</w:t>
      </w:r>
      <w:r>
        <w:rPr>
          <w:rFonts w:hint="eastAsia" w:ascii="Times New Roman" w:hAnsi="Times New Roman" w:eastAsia="仿宋_GB2312" w:cs="仿宋_GB2312"/>
          <w:sz w:val="32"/>
          <w:szCs w:val="32"/>
          <w:lang w:val="en-US" w:eastAsia="zh-CN"/>
        </w:rPr>
        <w:t>干</w:t>
      </w:r>
      <w:r>
        <w:rPr>
          <w:rFonts w:hint="eastAsia" w:ascii="Times New Roman" w:hAnsi="Times New Roman" w:eastAsia="仿宋_GB2312" w:cs="仿宋_GB2312"/>
          <w:sz w:val="32"/>
          <w:szCs w:val="32"/>
        </w:rPr>
        <w:t>路配套给水工程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含交椅湾板块连通管工程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涉地铁2号线安全评估报告编制</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bCs/>
          <w:sz w:val="32"/>
          <w:szCs w:val="32"/>
        </w:rPr>
        <w:t>，并由丙方或</w:t>
      </w:r>
      <w:r>
        <w:rPr>
          <w:rFonts w:hint="eastAsia" w:ascii="Times New Roman" w:hAnsi="Times New Roman" w:eastAsia="仿宋_GB2312" w:cs="仿宋_GB2312"/>
          <w:bCs/>
          <w:sz w:val="32"/>
          <w:szCs w:val="32"/>
          <w:lang w:val="en-US" w:eastAsia="zh-CN"/>
        </w:rPr>
        <w:t>丙方委托甲方</w:t>
      </w:r>
      <w:r>
        <w:rPr>
          <w:rFonts w:hint="eastAsia" w:ascii="Times New Roman" w:hAnsi="Times New Roman" w:eastAsia="仿宋_GB2312" w:cs="仿宋_GB2312"/>
          <w:bCs/>
          <w:sz w:val="32"/>
          <w:szCs w:val="32"/>
        </w:rPr>
        <w:t>向乙方支付</w:t>
      </w:r>
      <w:r>
        <w:rPr>
          <w:rFonts w:hint="eastAsia" w:ascii="Times New Roman" w:hAnsi="Times New Roman" w:eastAsia="仿宋_GB2312" w:cs="仿宋_GB2312"/>
          <w:bCs/>
          <w:sz w:val="32"/>
          <w:szCs w:val="32"/>
          <w:lang w:val="en-US" w:eastAsia="zh-CN"/>
        </w:rPr>
        <w:t>合同价款</w:t>
      </w:r>
      <w:r>
        <w:rPr>
          <w:rFonts w:hint="eastAsia" w:ascii="Times New Roman" w:hAnsi="Times New Roman" w:eastAsia="仿宋_GB2312" w:cs="仿宋_GB2312"/>
          <w:bCs/>
          <w:sz w:val="32"/>
          <w:szCs w:val="32"/>
        </w:rPr>
        <w:t>。三方经平等协商，在真实、充分地表达各自意愿的基础上，根据《中华人民共和国民法典》的规定，达成如下协议，并由三方共同恪守。</w:t>
      </w:r>
    </w:p>
    <w:p w14:paraId="14705D21">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第一条 合同内容</w:t>
      </w:r>
    </w:p>
    <w:p w14:paraId="0C3224B6">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工程名称：滨海湾新区苗涌东侧规划次干路配套给水工程（含交椅湾板块连通管工程）</w:t>
      </w:r>
    </w:p>
    <w:p w14:paraId="7AB706D9">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1.2工程地点：东莞市</w:t>
      </w:r>
    </w:p>
    <w:p w14:paraId="5A8E9D87">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1.3合同范围：涉地铁2号线保护区安全评估</w:t>
      </w:r>
    </w:p>
    <w:p w14:paraId="2C3E370F">
      <w:pPr>
        <w:spacing w:line="600" w:lineRule="exact"/>
        <w:ind w:firstLine="640" w:firstLineChars="200"/>
        <w:rPr>
          <w:rFonts w:hint="eastAsia" w:ascii="Times New Roman" w:hAnsi="Times New Roman" w:eastAsia="仿宋_GB2312" w:cs="仿宋_GB2312"/>
          <w:b w:val="0"/>
          <w:bCs/>
          <w:sz w:val="32"/>
          <w:szCs w:val="32"/>
        </w:rPr>
      </w:pPr>
      <w:r>
        <w:rPr>
          <w:rFonts w:hint="eastAsia" w:ascii="Times New Roman" w:hAnsi="Times New Roman" w:eastAsia="仿宋_GB2312" w:cs="仿宋_GB2312"/>
          <w:bCs/>
          <w:sz w:val="32"/>
          <w:szCs w:val="32"/>
        </w:rPr>
        <w:t>1.4</w:t>
      </w:r>
      <w:r>
        <w:rPr>
          <w:rFonts w:hint="default" w:ascii="Times New Roman" w:hAnsi="Times New Roman" w:eastAsia="仿宋_GB2312" w:cs="仿宋_GB2312"/>
          <w:bCs/>
          <w:sz w:val="32"/>
          <w:szCs w:val="32"/>
          <w:lang w:val="en-US"/>
        </w:rPr>
        <w:t>合同</w:t>
      </w:r>
      <w:r>
        <w:rPr>
          <w:rFonts w:hint="eastAsia" w:ascii="Times New Roman" w:hAnsi="Times New Roman" w:eastAsia="仿宋_GB2312" w:cs="仿宋_GB2312"/>
          <w:bCs/>
          <w:sz w:val="32"/>
          <w:szCs w:val="32"/>
        </w:rPr>
        <w:t>内容：乙方应依据国家、广东省、东莞市及轨道交通相关法律法规、技术标准与规范，以及甲方要求，就滨海湾新区苗涌东侧规划次干路配套给水工程（含交椅湾板块连通管工程）涉及东莞地铁2号线的相关作业，提供全面的安全评估及技术咨询服务。具体工作内容包括但不限于：</w:t>
      </w:r>
      <w:r>
        <w:rPr>
          <w:rFonts w:hint="eastAsia" w:ascii="Times New Roman" w:hAnsi="Times New Roman" w:eastAsia="仿宋_GB2312" w:cs="仿宋_GB2312"/>
          <w:color w:val="000000"/>
          <w:kern w:val="0"/>
          <w:sz w:val="32"/>
          <w:szCs w:val="32"/>
        </w:rPr>
        <w:t>（1）连通管明挖施工段涉地铁安全评估；（2）给水管道定向钻施工段涉地铁安全评估；（3）涉地铁安全评估报告中对设计、施工提出地铁保护建议及意见；</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4）轨道交通设施专项保护方案；</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）协助</w:t>
      </w:r>
      <w:r>
        <w:rPr>
          <w:rFonts w:hint="eastAsia" w:ascii="Times New Roman" w:hAnsi="Times New Roman" w:eastAsia="仿宋_GB2312" w:cs="仿宋_GB2312"/>
          <w:color w:val="000000"/>
          <w:kern w:val="0"/>
          <w:sz w:val="32"/>
          <w:szCs w:val="32"/>
          <w:lang w:val="en-US" w:eastAsia="zh-CN"/>
        </w:rPr>
        <w:t>甲方</w:t>
      </w:r>
      <w:r>
        <w:rPr>
          <w:rFonts w:hint="eastAsia" w:ascii="Times New Roman" w:hAnsi="Times New Roman" w:eastAsia="仿宋_GB2312" w:cs="仿宋_GB2312"/>
          <w:color w:val="000000"/>
          <w:kern w:val="0"/>
          <w:sz w:val="32"/>
          <w:szCs w:val="32"/>
        </w:rPr>
        <w:t>办理涉地铁报审流程并参与涉地铁相关会议等。</w:t>
      </w:r>
    </w:p>
    <w:p w14:paraId="350542CB">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第二条 </w:t>
      </w:r>
      <w:r>
        <w:rPr>
          <w:rFonts w:ascii="Times New Roman" w:hAnsi="Times New Roman" w:eastAsia="仿宋_GB2312" w:cs="仿宋_GB2312"/>
          <w:bCs/>
          <w:sz w:val="32"/>
          <w:szCs w:val="32"/>
        </w:rPr>
        <w:t xml:space="preserve"> </w:t>
      </w:r>
      <w:r>
        <w:rPr>
          <w:rFonts w:hint="eastAsia" w:ascii="Times New Roman" w:hAnsi="Times New Roman" w:eastAsia="仿宋_GB2312" w:cs="仿宋_GB2312"/>
          <w:bCs/>
          <w:sz w:val="32"/>
          <w:szCs w:val="32"/>
        </w:rPr>
        <w:t>合同期限</w:t>
      </w:r>
    </w:p>
    <w:p w14:paraId="019B7749">
      <w:pPr>
        <w:pStyle w:val="8"/>
        <w:autoSpaceDE/>
        <w:autoSpaceDN/>
        <w:adjustRightInd/>
        <w:spacing w:line="600" w:lineRule="exact"/>
        <w:ind w:right="0" w:firstLine="640" w:firstLineChars="200"/>
        <w:jc w:val="left"/>
        <w:rPr>
          <w:rFonts w:hint="default" w:ascii="Times New Roman" w:hAnsi="Times New Roman" w:eastAsia="仿宋_GB2312" w:cs="仿宋_GB2312"/>
          <w:b w:val="0"/>
          <w:bCs/>
          <w:kern w:val="2"/>
          <w:sz w:val="32"/>
          <w:szCs w:val="32"/>
        </w:rPr>
      </w:pPr>
      <w:r>
        <w:rPr>
          <w:rFonts w:ascii="Times New Roman" w:hAnsi="Times New Roman" w:eastAsia="仿宋_GB2312" w:cs="仿宋_GB2312"/>
          <w:b w:val="0"/>
          <w:bCs/>
          <w:kern w:val="2"/>
          <w:sz w:val="32"/>
          <w:szCs w:val="32"/>
        </w:rPr>
        <w:t>2</w:t>
      </w:r>
      <w:r>
        <w:rPr>
          <w:rFonts w:hint="default" w:ascii="Times New Roman" w:hAnsi="Times New Roman" w:eastAsia="仿宋_GB2312" w:cs="仿宋_GB2312"/>
          <w:b w:val="0"/>
          <w:bCs/>
          <w:kern w:val="2"/>
          <w:sz w:val="32"/>
          <w:szCs w:val="32"/>
        </w:rPr>
        <w:t>.1</w:t>
      </w:r>
      <w:r>
        <w:rPr>
          <w:rFonts w:hint="eastAsia" w:ascii="Times New Roman" w:hAnsi="Times New Roman" w:eastAsia="仿宋_GB2312" w:cs="仿宋_GB2312"/>
          <w:b w:val="0"/>
          <w:bCs/>
          <w:kern w:val="2"/>
          <w:sz w:val="32"/>
          <w:szCs w:val="32"/>
          <w:lang w:val="en-US" w:eastAsia="zh-CN"/>
        </w:rPr>
        <w:t>暂定60</w:t>
      </w:r>
      <w:r>
        <w:rPr>
          <w:rFonts w:hint="eastAsia" w:ascii="Times New Roman" w:hAnsi="Times New Roman" w:eastAsia="仿宋_GB2312" w:cs="仿宋_GB2312"/>
          <w:b w:val="0"/>
          <w:kern w:val="0"/>
          <w:sz w:val="32"/>
          <w:szCs w:val="32"/>
          <w:lang w:val="en-US" w:eastAsia="zh-CN"/>
        </w:rPr>
        <w:t>个</w:t>
      </w:r>
      <w:r>
        <w:rPr>
          <w:rFonts w:hint="eastAsia" w:ascii="Times New Roman" w:hAnsi="Times New Roman" w:eastAsia="仿宋_GB2312" w:cs="仿宋_GB2312"/>
          <w:b w:val="0"/>
          <w:kern w:val="0"/>
          <w:sz w:val="32"/>
          <w:szCs w:val="32"/>
        </w:rPr>
        <w:t>日历天，自签订合同之日起至完成本项目涉地铁安全评估服务内容并报地铁权属</w:t>
      </w:r>
      <w:r>
        <w:rPr>
          <w:rFonts w:hint="eastAsia" w:ascii="Times New Roman" w:eastAsia="仿宋_GB2312" w:cs="仿宋_GB2312"/>
          <w:b w:val="0"/>
          <w:kern w:val="0"/>
          <w:sz w:val="32"/>
          <w:szCs w:val="32"/>
          <w:lang w:val="en-US" w:eastAsia="zh-CN"/>
        </w:rPr>
        <w:t>单位</w:t>
      </w:r>
      <w:r>
        <w:rPr>
          <w:rFonts w:hint="eastAsia" w:ascii="Times New Roman" w:hAnsi="Times New Roman" w:eastAsia="仿宋_GB2312" w:cs="仿宋_GB2312"/>
          <w:b w:val="0"/>
          <w:kern w:val="0"/>
          <w:sz w:val="32"/>
          <w:szCs w:val="32"/>
        </w:rPr>
        <w:t>审批通过为止</w:t>
      </w:r>
      <w:r>
        <w:rPr>
          <w:rFonts w:hint="eastAsia" w:ascii="Times New Roman" w:eastAsia="仿宋_GB2312" w:cs="仿宋_GB2312"/>
          <w:b w:val="0"/>
          <w:kern w:val="0"/>
          <w:sz w:val="32"/>
          <w:szCs w:val="32"/>
          <w:lang w:eastAsia="zh-CN"/>
        </w:rPr>
        <w:t>。</w:t>
      </w:r>
    </w:p>
    <w:p w14:paraId="443BE42A">
      <w:pPr>
        <w:pStyle w:val="8"/>
        <w:autoSpaceDE/>
        <w:autoSpaceDN/>
        <w:adjustRightInd/>
        <w:spacing w:line="600" w:lineRule="exact"/>
        <w:ind w:right="0" w:firstLine="640" w:firstLineChars="200"/>
        <w:jc w:val="left"/>
        <w:rPr>
          <w:rFonts w:ascii="Times New Roman" w:hAnsi="Times New Roman" w:eastAsia="仿宋_GB2312" w:cs="仿宋_GB2312"/>
          <w:b w:val="0"/>
          <w:bCs/>
          <w:kern w:val="2"/>
          <w:sz w:val="32"/>
          <w:szCs w:val="32"/>
        </w:rPr>
      </w:pPr>
      <w:r>
        <w:rPr>
          <w:rFonts w:ascii="Times New Roman" w:hAnsi="Times New Roman" w:eastAsia="仿宋_GB2312" w:cs="仿宋_GB2312"/>
          <w:b w:val="0"/>
          <w:bCs/>
          <w:kern w:val="2"/>
          <w:sz w:val="32"/>
          <w:szCs w:val="32"/>
        </w:rPr>
        <w:t>2</w:t>
      </w:r>
      <w:r>
        <w:rPr>
          <w:rFonts w:hint="default" w:ascii="Times New Roman" w:hAnsi="Times New Roman" w:eastAsia="仿宋_GB2312" w:cs="仿宋_GB2312"/>
          <w:b w:val="0"/>
          <w:bCs/>
          <w:kern w:val="2"/>
          <w:sz w:val="32"/>
          <w:szCs w:val="32"/>
        </w:rPr>
        <w:t>.2</w:t>
      </w:r>
      <w:r>
        <w:rPr>
          <w:rFonts w:ascii="Times New Roman" w:hAnsi="Times New Roman" w:eastAsia="仿宋_GB2312" w:cs="仿宋_GB2312"/>
          <w:b w:val="0"/>
          <w:bCs/>
          <w:kern w:val="2"/>
          <w:sz w:val="32"/>
          <w:szCs w:val="32"/>
        </w:rPr>
        <w:t>如因甲方原因，在本合同</w:t>
      </w:r>
      <w:r>
        <w:rPr>
          <w:rFonts w:hint="eastAsia" w:ascii="Times New Roman" w:hAnsi="Times New Roman" w:eastAsia="仿宋_GB2312" w:cs="仿宋_GB2312"/>
          <w:b w:val="0"/>
          <w:bCs/>
          <w:kern w:val="2"/>
          <w:sz w:val="32"/>
          <w:szCs w:val="32"/>
          <w:lang w:val="en-US" w:eastAsia="zh-CN"/>
        </w:rPr>
        <w:t>履行过程</w:t>
      </w:r>
      <w:r>
        <w:rPr>
          <w:rFonts w:ascii="Times New Roman" w:hAnsi="Times New Roman" w:eastAsia="仿宋_GB2312" w:cs="仿宋_GB2312"/>
          <w:b w:val="0"/>
          <w:bCs/>
          <w:kern w:val="2"/>
          <w:sz w:val="32"/>
          <w:szCs w:val="32"/>
        </w:rPr>
        <w:t>中对项目基础资料变更和修改导致</w:t>
      </w:r>
      <w:r>
        <w:rPr>
          <w:rFonts w:hint="eastAsia" w:ascii="Times New Roman" w:hAnsi="Times New Roman" w:eastAsia="仿宋_GB2312" w:cs="仿宋_GB2312"/>
          <w:b w:val="0"/>
          <w:bCs/>
          <w:kern w:val="2"/>
          <w:sz w:val="32"/>
          <w:szCs w:val="32"/>
          <w:lang w:val="en-US" w:eastAsia="zh-CN"/>
        </w:rPr>
        <w:t>编制</w:t>
      </w:r>
      <w:r>
        <w:rPr>
          <w:rFonts w:ascii="Times New Roman" w:hAnsi="Times New Roman" w:eastAsia="仿宋_GB2312" w:cs="仿宋_GB2312"/>
          <w:b w:val="0"/>
          <w:bCs/>
          <w:kern w:val="2"/>
          <w:sz w:val="32"/>
          <w:szCs w:val="32"/>
        </w:rPr>
        <w:t>工作重新变更或修改的，双方可根据实际情况另行协商成果文件的完成提交时间。</w:t>
      </w:r>
    </w:p>
    <w:p w14:paraId="2778409A">
      <w:pPr>
        <w:spacing w:line="600" w:lineRule="exact"/>
        <w:ind w:firstLine="640" w:firstLineChars="200"/>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rPr>
        <w:t>第三条</w:t>
      </w:r>
      <w:r>
        <w:rPr>
          <w:rFonts w:ascii="Times New Roman" w:hAnsi="Times New Roman" w:eastAsia="仿宋_GB2312" w:cs="仿宋_GB2312"/>
          <w:bCs/>
          <w:sz w:val="32"/>
          <w:szCs w:val="32"/>
        </w:rPr>
        <w:t xml:space="preserve">  </w:t>
      </w:r>
      <w:r>
        <w:rPr>
          <w:rFonts w:hint="eastAsia" w:ascii="Times New Roman" w:hAnsi="Times New Roman" w:eastAsia="仿宋_GB2312" w:cs="仿宋_GB2312"/>
          <w:bCs/>
          <w:sz w:val="32"/>
          <w:szCs w:val="32"/>
          <w:lang w:val="en-US" w:eastAsia="zh-CN"/>
        </w:rPr>
        <w:t>服务要求</w:t>
      </w:r>
    </w:p>
    <w:p w14:paraId="29D991F3">
      <w:pPr>
        <w:autoSpaceDE/>
        <w:autoSpaceDN/>
        <w:adjustRightInd w:val="0"/>
        <w:snapToGrid w:val="0"/>
        <w:spacing w:line="600" w:lineRule="exact"/>
        <w:ind w:firstLine="640" w:firstLineChars="200"/>
        <w:jc w:val="left"/>
        <w:rPr>
          <w:rFonts w:hint="eastAsia" w:ascii="Times New Roman" w:hAnsi="Times New Roman" w:eastAsia="仿宋_GB2312" w:cs="楷体_GB2312"/>
          <w:kern w:val="0"/>
          <w:sz w:val="32"/>
          <w:szCs w:val="32"/>
        </w:rPr>
      </w:pPr>
      <w:r>
        <w:rPr>
          <w:rFonts w:hint="eastAsia" w:ascii="Times New Roman" w:hAnsi="Times New Roman" w:eastAsia="仿宋_GB2312" w:cs="楷体_GB2312"/>
          <w:kern w:val="0"/>
          <w:sz w:val="32"/>
          <w:szCs w:val="32"/>
          <w:lang w:val="en-US" w:eastAsia="zh-CN"/>
        </w:rPr>
        <w:t>3.1</w:t>
      </w:r>
      <w:r>
        <w:rPr>
          <w:rFonts w:hint="eastAsia" w:ascii="Times New Roman" w:hAnsi="Times New Roman" w:eastAsia="仿宋_GB2312" w:cs="楷体_GB2312"/>
          <w:kern w:val="0"/>
          <w:sz w:val="32"/>
          <w:szCs w:val="32"/>
        </w:rPr>
        <w:t>编制依据</w:t>
      </w:r>
    </w:p>
    <w:p w14:paraId="273117B5">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（1）</w:t>
      </w:r>
      <w:r>
        <w:rPr>
          <w:rFonts w:ascii="Times New Roman" w:hAnsi="Times New Roman" w:eastAsia="仿宋_GB2312" w:cs="仿宋_GB2312"/>
          <w:kern w:val="0"/>
          <w:sz w:val="32"/>
          <w:szCs w:val="32"/>
        </w:rPr>
        <w:t>《地铁设计规范》(GB 50157-2013)；</w:t>
      </w:r>
    </w:p>
    <w:p w14:paraId="698B04FE">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《建筑结构荷载规范》（GB 50009-2012）；</w:t>
      </w:r>
    </w:p>
    <w:p w14:paraId="48432D3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《混凝土结构设计规范》（GB 50010-2010</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2015</w:t>
      </w:r>
      <w:r>
        <w:rPr>
          <w:rFonts w:hint="eastAsia" w:ascii="Times New Roman" w:hAnsi="Times New Roman" w:eastAsia="仿宋_GB2312" w:cs="仿宋_GB2312"/>
          <w:kern w:val="0"/>
          <w:sz w:val="32"/>
          <w:szCs w:val="32"/>
        </w:rPr>
        <w:t>年版）</w:t>
      </w:r>
      <w:r>
        <w:rPr>
          <w:rFonts w:ascii="Times New Roman" w:hAnsi="Times New Roman" w:eastAsia="仿宋_GB2312" w:cs="仿宋_GB2312"/>
          <w:kern w:val="0"/>
          <w:sz w:val="32"/>
          <w:szCs w:val="32"/>
        </w:rPr>
        <w:t>；</w:t>
      </w:r>
    </w:p>
    <w:p w14:paraId="58F8DB2D">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《地下工程防水技术规范》（GB 50108-2008）；</w:t>
      </w:r>
    </w:p>
    <w:p w14:paraId="06FA35D5">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《广东省建筑基坑支护工程技术规程》（DBJ/T15-20-</w:t>
      </w:r>
      <w:r>
        <w:rPr>
          <w:rFonts w:hint="eastAsia" w:ascii="Times New Roman" w:hAnsi="Times New Roman" w:eastAsia="仿宋_GB2312" w:cs="仿宋_GB2312"/>
          <w:kern w:val="0"/>
          <w:sz w:val="32"/>
          <w:szCs w:val="32"/>
        </w:rPr>
        <w:t>2016</w:t>
      </w:r>
      <w:r>
        <w:rPr>
          <w:rFonts w:ascii="Times New Roman" w:hAnsi="Times New Roman" w:eastAsia="仿宋_GB2312" w:cs="仿宋_GB2312"/>
          <w:kern w:val="0"/>
          <w:sz w:val="32"/>
          <w:szCs w:val="32"/>
        </w:rPr>
        <w:t>）；</w:t>
      </w:r>
    </w:p>
    <w:p w14:paraId="0BA6EAFD">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《广东省建筑地基基础设计规范》（DBJ 15-31-20</w:t>
      </w:r>
      <w:r>
        <w:rPr>
          <w:rFonts w:hint="eastAsia" w:ascii="Times New Roman" w:hAnsi="Times New Roman" w:eastAsia="仿宋_GB2312" w:cs="仿宋_GB2312"/>
          <w:kern w:val="0"/>
          <w:sz w:val="32"/>
          <w:szCs w:val="32"/>
        </w:rPr>
        <w:t>16</w:t>
      </w:r>
      <w:r>
        <w:rPr>
          <w:rFonts w:ascii="Times New Roman" w:hAnsi="Times New Roman" w:eastAsia="仿宋_GB2312" w:cs="仿宋_GB2312"/>
          <w:kern w:val="0"/>
          <w:sz w:val="32"/>
          <w:szCs w:val="32"/>
        </w:rPr>
        <w:t>）；</w:t>
      </w:r>
    </w:p>
    <w:p w14:paraId="43919832">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《城市道路交通工程项目规范》（GB 55011-2021）</w:t>
      </w:r>
      <w:r>
        <w:rPr>
          <w:rFonts w:hint="eastAsia" w:ascii="Times New Roman" w:hAnsi="Times New Roman" w:eastAsia="仿宋_GB2312" w:cs="仿宋_GB2312"/>
          <w:kern w:val="0"/>
          <w:sz w:val="32"/>
          <w:szCs w:val="32"/>
          <w:lang w:eastAsia="zh-CN"/>
        </w:rPr>
        <w:t>；</w:t>
      </w:r>
    </w:p>
    <w:p w14:paraId="7B2FF678">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《建筑与市政工程无障碍通用规范》（GB 55019-2021）</w:t>
      </w:r>
      <w:r>
        <w:rPr>
          <w:rFonts w:hint="eastAsia" w:ascii="Times New Roman" w:hAnsi="Times New Roman" w:eastAsia="仿宋_GB2312" w:cs="仿宋_GB2312"/>
          <w:kern w:val="0"/>
          <w:sz w:val="32"/>
          <w:szCs w:val="32"/>
          <w:lang w:eastAsia="zh-CN"/>
        </w:rPr>
        <w:t>；</w:t>
      </w:r>
    </w:p>
    <w:p w14:paraId="318056A5">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《城市道路工程设计规范》（CJJ 36-2012）（2016年版）</w:t>
      </w:r>
      <w:r>
        <w:rPr>
          <w:rFonts w:hint="eastAsia" w:ascii="Times New Roman" w:hAnsi="Times New Roman" w:eastAsia="仿宋_GB2312" w:cs="仿宋_GB2312"/>
          <w:kern w:val="0"/>
          <w:sz w:val="32"/>
          <w:szCs w:val="32"/>
          <w:lang w:eastAsia="zh-CN"/>
        </w:rPr>
        <w:t>；</w:t>
      </w:r>
    </w:p>
    <w:p w14:paraId="60105876">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10</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《城市道路路线设计规范》（CJJ 193-2012）</w:t>
      </w:r>
      <w:r>
        <w:rPr>
          <w:rFonts w:hint="eastAsia" w:ascii="Times New Roman" w:hAnsi="Times New Roman" w:eastAsia="仿宋_GB2312" w:cs="仿宋_GB2312"/>
          <w:kern w:val="0"/>
          <w:sz w:val="32"/>
          <w:szCs w:val="32"/>
          <w:lang w:eastAsia="zh-CN"/>
        </w:rPr>
        <w:t>；</w:t>
      </w:r>
    </w:p>
    <w:p w14:paraId="53953B4F">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《城市道路路基设计规范》（CJJ 194-2013）</w:t>
      </w:r>
      <w:r>
        <w:rPr>
          <w:rFonts w:hint="eastAsia" w:ascii="Times New Roman" w:hAnsi="Times New Roman" w:eastAsia="仿宋_GB2312" w:cs="仿宋_GB2312"/>
          <w:kern w:val="0"/>
          <w:sz w:val="32"/>
          <w:szCs w:val="32"/>
          <w:lang w:eastAsia="zh-CN"/>
        </w:rPr>
        <w:t>；</w:t>
      </w:r>
    </w:p>
    <w:p w14:paraId="3024DED9">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《城镇道路路面设计规范》（CJJ 169-2012）</w:t>
      </w:r>
      <w:r>
        <w:rPr>
          <w:rFonts w:hint="eastAsia" w:ascii="Times New Roman" w:hAnsi="Times New Roman" w:eastAsia="仿宋_GB2312" w:cs="仿宋_GB2312"/>
          <w:kern w:val="0"/>
          <w:sz w:val="32"/>
          <w:szCs w:val="32"/>
          <w:lang w:eastAsia="zh-CN"/>
        </w:rPr>
        <w:t>；</w:t>
      </w:r>
    </w:p>
    <w:p w14:paraId="7FCF197E">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《城市道路交叉口设计规程》(CJJ 152-2010)</w:t>
      </w:r>
      <w:r>
        <w:rPr>
          <w:rFonts w:hint="eastAsia" w:ascii="Times New Roman" w:hAnsi="Times New Roman" w:eastAsia="仿宋_GB2312" w:cs="仿宋_GB2312"/>
          <w:kern w:val="0"/>
          <w:sz w:val="32"/>
          <w:szCs w:val="32"/>
          <w:lang w:eastAsia="zh-CN"/>
        </w:rPr>
        <w:t>；</w:t>
      </w:r>
    </w:p>
    <w:p w14:paraId="314D5307">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14</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《城市轨道交通结构安全保护技术规范》（CJJ/T202-2013）；</w:t>
      </w:r>
    </w:p>
    <w:p w14:paraId="4AB95DF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15</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《城市轨道交通既有结构保护技术规范》（DBJ/T15-120-2017）；</w:t>
      </w:r>
    </w:p>
    <w:p w14:paraId="2B8D1415">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lang w:eastAsia="zh-CN"/>
        </w:rPr>
        <w:t>）</w:t>
      </w:r>
      <w:r>
        <w:rPr>
          <w:rFonts w:ascii="Times New Roman" w:hAnsi="Times New Roman" w:eastAsia="仿宋_GB2312" w:cs="仿宋_GB2312"/>
          <w:kern w:val="0"/>
          <w:sz w:val="32"/>
          <w:szCs w:val="32"/>
        </w:rPr>
        <w:t>《城市轨道交通</w:t>
      </w:r>
      <w:r>
        <w:rPr>
          <w:rFonts w:hint="eastAsia" w:ascii="Times New Roman" w:hAnsi="Times New Roman" w:eastAsia="仿宋_GB2312" w:cs="仿宋_GB2312"/>
          <w:kern w:val="0"/>
          <w:sz w:val="32"/>
          <w:szCs w:val="32"/>
        </w:rPr>
        <w:t>工程监测技术规范</w:t>
      </w:r>
      <w:r>
        <w:rPr>
          <w:rFonts w:ascii="Times New Roman" w:hAnsi="Times New Roman" w:eastAsia="仿宋_GB2312" w:cs="仿宋_GB2312"/>
          <w:kern w:val="0"/>
          <w:sz w:val="32"/>
          <w:szCs w:val="32"/>
        </w:rPr>
        <w:t>》（GB 50911-2013）；</w:t>
      </w:r>
    </w:p>
    <w:p w14:paraId="0519BC71">
      <w:pPr>
        <w:autoSpaceDE/>
        <w:autoSpaceDN/>
        <w:adjustRightInd w:val="0"/>
        <w:snapToGrid w:val="0"/>
        <w:spacing w:line="600" w:lineRule="exact"/>
        <w:ind w:firstLine="640" w:firstLineChars="200"/>
        <w:jc w:val="left"/>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17</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《东莞市轨道交通安全保护区管控工作指引》（东轨</w:t>
      </w:r>
      <w:r>
        <w:rPr>
          <w:rFonts w:hint="eastAsia" w:ascii="Times New Roman" w:hAnsi="Times New Roman" w:eastAsia="仿宋_GB2312" w:cs="微软雅黑"/>
          <w:kern w:val="0"/>
          <w:sz w:val="32"/>
          <w:szCs w:val="32"/>
          <w:lang w:eastAsia="zh-CN"/>
        </w:rPr>
        <w:t>〔</w:t>
      </w:r>
      <w:r>
        <w:rPr>
          <w:rFonts w:ascii="Times New Roman" w:hAnsi="Times New Roman" w:eastAsia="仿宋_GB2312" w:cs="仿宋_GB2312"/>
          <w:kern w:val="0"/>
          <w:sz w:val="32"/>
          <w:szCs w:val="32"/>
        </w:rPr>
        <w:t>2024</w:t>
      </w:r>
      <w:r>
        <w:rPr>
          <w:rFonts w:hint="eastAsia" w:ascii="Times New Roman" w:hAnsi="Times New Roman" w:eastAsia="仿宋_GB2312" w:cs="微软雅黑"/>
          <w:kern w:val="0"/>
          <w:sz w:val="32"/>
          <w:szCs w:val="32"/>
          <w:lang w:eastAsia="zh-CN"/>
        </w:rPr>
        <w:t>〕</w:t>
      </w:r>
      <w:r>
        <w:rPr>
          <w:rFonts w:ascii="Times New Roman" w:hAnsi="Times New Roman" w:eastAsia="仿宋_GB2312" w:cs="仿宋_GB2312"/>
          <w:kern w:val="0"/>
          <w:sz w:val="32"/>
          <w:szCs w:val="32"/>
        </w:rPr>
        <w:t>28</w:t>
      </w:r>
      <w:r>
        <w:rPr>
          <w:rFonts w:hint="eastAsia" w:ascii="Times New Roman" w:hAnsi="Times New Roman" w:eastAsia="仿宋_GB2312" w:cs="仿宋_GB2312"/>
          <w:kern w:val="0"/>
          <w:sz w:val="32"/>
          <w:szCs w:val="32"/>
        </w:rPr>
        <w:t>号）</w:t>
      </w:r>
      <w:r>
        <w:rPr>
          <w:rFonts w:hint="eastAsia" w:ascii="Times New Roman" w:hAnsi="Times New Roman" w:eastAsia="仿宋_GB2312" w:cs="仿宋_GB2312"/>
          <w:kern w:val="0"/>
          <w:sz w:val="32"/>
          <w:szCs w:val="32"/>
          <w:lang w:eastAsia="zh-CN"/>
        </w:rPr>
        <w:t>；</w:t>
      </w:r>
    </w:p>
    <w:p w14:paraId="60E6CA7A">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1</w:t>
      </w:r>
      <w:r>
        <w:rPr>
          <w:rFonts w:ascii="Times New Roman" w:hAnsi="Times New Roman" w:eastAsia="仿宋_GB2312" w:cs="仿宋_GB2312"/>
          <w:kern w:val="0"/>
          <w:sz w:val="32"/>
          <w:szCs w:val="32"/>
        </w:rPr>
        <w:t>8</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其他相关现行国家设计规范、规程、标准以及东莞相关地方法规、规范、标准</w:t>
      </w:r>
      <w:r>
        <w:rPr>
          <w:rFonts w:ascii="Times New Roman" w:hAnsi="Times New Roman" w:eastAsia="仿宋_GB2312" w:cs="仿宋_GB2312"/>
          <w:kern w:val="0"/>
          <w:sz w:val="32"/>
          <w:szCs w:val="32"/>
        </w:rPr>
        <w:t>。</w:t>
      </w:r>
    </w:p>
    <w:p w14:paraId="76983D3A">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以上规范若有更新版本，应按最新的版本执行。在合同执行期内，各专项施工的执行标准、规范，如未列举，则按国家、行业、地方颁布的相应的政策、法规、规范、标准等执行。</w:t>
      </w:r>
    </w:p>
    <w:p w14:paraId="1635E5C8">
      <w:pPr>
        <w:autoSpaceDE/>
        <w:autoSpaceDN/>
        <w:adjustRightInd w:val="0"/>
        <w:snapToGrid w:val="0"/>
        <w:spacing w:line="600" w:lineRule="exact"/>
        <w:ind w:firstLine="640" w:firstLineChars="200"/>
        <w:jc w:val="left"/>
        <w:rPr>
          <w:rFonts w:hint="eastAsia" w:ascii="Times New Roman" w:hAnsi="Times New Roman" w:eastAsia="仿宋_GB2312" w:cs="楷体_GB2312"/>
          <w:kern w:val="0"/>
          <w:sz w:val="32"/>
          <w:szCs w:val="32"/>
        </w:rPr>
      </w:pPr>
      <w:r>
        <w:rPr>
          <w:rFonts w:hint="eastAsia" w:ascii="Times New Roman" w:hAnsi="Times New Roman" w:eastAsia="仿宋_GB2312" w:cs="楷体_GB2312"/>
          <w:kern w:val="0"/>
          <w:sz w:val="32"/>
          <w:szCs w:val="32"/>
          <w:lang w:val="en-US" w:eastAsia="zh-CN"/>
        </w:rPr>
        <w:t>3.2</w:t>
      </w:r>
      <w:r>
        <w:rPr>
          <w:rFonts w:hint="eastAsia" w:ascii="Times New Roman" w:hAnsi="Times New Roman" w:eastAsia="仿宋_GB2312" w:cs="楷体_GB2312"/>
          <w:kern w:val="0"/>
          <w:sz w:val="32"/>
          <w:szCs w:val="32"/>
        </w:rPr>
        <w:t>工作内容</w:t>
      </w:r>
    </w:p>
    <w:p w14:paraId="4C411DD4">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工作内容包括但不限于：</w:t>
      </w:r>
    </w:p>
    <w:p w14:paraId="74B30B9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收集国内外与本项目相关的法律、法规、标准、规章、规定等资料；</w:t>
      </w:r>
    </w:p>
    <w:p w14:paraId="2A837257">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根</w:t>
      </w:r>
      <w:r>
        <w:rPr>
          <w:rFonts w:hint="eastAsia" w:ascii="Times New Roman" w:hAnsi="Times New Roman" w:eastAsia="仿宋_GB2312" w:cs="仿宋_GB2312"/>
          <w:kern w:val="0"/>
          <w:sz w:val="32"/>
          <w:szCs w:val="32"/>
        </w:rPr>
        <w:t>据相关规范要求，对工程项目的地质环境、建设内容、技术标准、配套给水工程设计等方面进行相应的分析与评价，对项目所采取的施工影响地铁结构方案进行安全分析评估；</w:t>
      </w:r>
    </w:p>
    <w:p w14:paraId="5A7C9DA0">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根据设计单位提供的相关设计文件，对项目可实施性的影响，提出合理化建议，出具评估分析报告；</w:t>
      </w:r>
    </w:p>
    <w:p w14:paraId="2DD7FA09">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根据分析评估结果，提供工程相关的技术咨询服务，包括管道施工方式、基础方案选型、安全设备、设施设置等建议措施；</w:t>
      </w:r>
    </w:p>
    <w:p w14:paraId="0BF8024D">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参与相关会议，协助</w:t>
      </w:r>
      <w:r>
        <w:rPr>
          <w:rFonts w:hint="eastAsia" w:ascii="Times New Roman" w:hAnsi="Times New Roman" w:eastAsia="仿宋_GB2312" w:cs="仿宋_GB2312"/>
          <w:kern w:val="0"/>
          <w:sz w:val="32"/>
          <w:szCs w:val="32"/>
          <w:lang w:val="en-US" w:eastAsia="zh-CN"/>
        </w:rPr>
        <w:t>甲方</w:t>
      </w:r>
      <w:r>
        <w:rPr>
          <w:rFonts w:hint="eastAsia" w:ascii="Times New Roman" w:hAnsi="Times New Roman" w:eastAsia="仿宋_GB2312" w:cs="仿宋_GB2312"/>
          <w:kern w:val="0"/>
          <w:sz w:val="32"/>
          <w:szCs w:val="32"/>
        </w:rPr>
        <w:t>稳定配套给水工程设计方案，必要时承办安全评估报告专家评审会；</w:t>
      </w:r>
    </w:p>
    <w:p w14:paraId="2C6C2BE3">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协助</w:t>
      </w:r>
      <w:r>
        <w:rPr>
          <w:rFonts w:hint="eastAsia" w:ascii="Times New Roman" w:hAnsi="Times New Roman" w:eastAsia="仿宋_GB2312" w:cs="仿宋_GB2312"/>
          <w:kern w:val="0"/>
          <w:sz w:val="32"/>
          <w:szCs w:val="32"/>
          <w:lang w:val="en-US" w:eastAsia="zh-CN"/>
        </w:rPr>
        <w:t>甲方</w:t>
      </w:r>
      <w:r>
        <w:rPr>
          <w:rFonts w:hint="eastAsia" w:ascii="Times New Roman" w:hAnsi="Times New Roman" w:eastAsia="仿宋_GB2312" w:cs="仿宋_GB2312"/>
          <w:kern w:val="0"/>
          <w:sz w:val="32"/>
          <w:szCs w:val="32"/>
        </w:rPr>
        <w:t>向地铁</w:t>
      </w:r>
      <w:r>
        <w:rPr>
          <w:rFonts w:hint="eastAsia" w:ascii="Times New Roman" w:hAnsi="Times New Roman" w:eastAsia="仿宋_GB2312" w:cs="仿宋_GB2312"/>
          <w:kern w:val="0"/>
          <w:sz w:val="32"/>
          <w:szCs w:val="32"/>
          <w:lang w:val="en-US" w:eastAsia="zh-CN"/>
        </w:rPr>
        <w:t>权属单位</w:t>
      </w:r>
      <w:r>
        <w:rPr>
          <w:rFonts w:hint="eastAsia" w:ascii="Times New Roman" w:hAnsi="Times New Roman" w:eastAsia="仿宋_GB2312" w:cs="仿宋_GB2312"/>
          <w:kern w:val="0"/>
          <w:sz w:val="32"/>
          <w:szCs w:val="32"/>
        </w:rPr>
        <w:t>进行报审工作。</w:t>
      </w:r>
    </w:p>
    <w:p w14:paraId="5E8201D9">
      <w:pPr>
        <w:autoSpaceDE/>
        <w:autoSpaceDN/>
        <w:adjustRightInd w:val="0"/>
        <w:snapToGrid w:val="0"/>
        <w:spacing w:line="600" w:lineRule="exact"/>
        <w:ind w:firstLine="640" w:firstLineChars="200"/>
        <w:jc w:val="left"/>
        <w:rPr>
          <w:rFonts w:hint="eastAsia" w:ascii="Times New Roman" w:hAnsi="Times New Roman" w:eastAsia="仿宋_GB2312" w:cs="楷体_GB2312"/>
          <w:kern w:val="0"/>
          <w:sz w:val="32"/>
          <w:szCs w:val="32"/>
        </w:rPr>
      </w:pPr>
      <w:r>
        <w:rPr>
          <w:rFonts w:hint="eastAsia" w:ascii="Times New Roman" w:hAnsi="Times New Roman" w:eastAsia="仿宋_GB2312" w:cs="楷体_GB2312"/>
          <w:kern w:val="0"/>
          <w:sz w:val="32"/>
          <w:szCs w:val="32"/>
          <w:lang w:val="en-US" w:eastAsia="zh-CN"/>
        </w:rPr>
        <w:t>3.3</w:t>
      </w:r>
      <w:r>
        <w:rPr>
          <w:rFonts w:hint="eastAsia" w:ascii="Times New Roman" w:hAnsi="Times New Roman" w:eastAsia="仿宋_GB2312" w:cs="楷体_GB2312"/>
          <w:kern w:val="0"/>
          <w:sz w:val="32"/>
          <w:szCs w:val="32"/>
        </w:rPr>
        <w:t>质量要求</w:t>
      </w:r>
    </w:p>
    <w:p w14:paraId="31D2B2FD">
      <w:pPr>
        <w:wordWrap w:val="0"/>
        <w:topLinePunct/>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出具正式的涉地铁安全评估报告，获取地铁权属单位同意意见复函。（具体成果文件数量以</w:t>
      </w:r>
      <w:r>
        <w:rPr>
          <w:rFonts w:hint="eastAsia" w:ascii="Times New Roman" w:hAnsi="Times New Roman" w:eastAsia="仿宋_GB2312" w:cs="仿宋_GB2312"/>
          <w:kern w:val="0"/>
          <w:sz w:val="32"/>
          <w:szCs w:val="32"/>
          <w:lang w:val="en-US" w:eastAsia="zh-CN"/>
        </w:rPr>
        <w:t>地铁</w:t>
      </w:r>
      <w:r>
        <w:rPr>
          <w:rFonts w:hint="eastAsia" w:ascii="Times New Roman" w:hAnsi="Times New Roman" w:eastAsia="仿宋_GB2312" w:cs="仿宋_GB2312"/>
          <w:kern w:val="0"/>
          <w:sz w:val="32"/>
          <w:szCs w:val="32"/>
        </w:rPr>
        <w:t>权属单位要求为准）。</w:t>
      </w:r>
    </w:p>
    <w:p w14:paraId="251CF3C9">
      <w:pPr>
        <w:autoSpaceDE/>
        <w:autoSpaceDN/>
        <w:adjustRightInd w:val="0"/>
        <w:snapToGrid w:val="0"/>
        <w:spacing w:line="600" w:lineRule="exact"/>
        <w:ind w:firstLine="640" w:firstLineChars="200"/>
        <w:jc w:val="left"/>
        <w:rPr>
          <w:rFonts w:hint="eastAsia" w:ascii="Times New Roman" w:hAnsi="Times New Roman" w:eastAsia="仿宋_GB2312" w:cs="楷体_GB2312"/>
          <w:kern w:val="0"/>
          <w:sz w:val="32"/>
          <w:szCs w:val="32"/>
        </w:rPr>
      </w:pPr>
      <w:r>
        <w:rPr>
          <w:rFonts w:hint="eastAsia" w:ascii="Times New Roman" w:hAnsi="Times New Roman" w:eastAsia="仿宋_GB2312" w:cs="楷体_GB2312"/>
          <w:kern w:val="0"/>
          <w:sz w:val="32"/>
          <w:szCs w:val="32"/>
          <w:lang w:val="en-US" w:eastAsia="zh-CN"/>
        </w:rPr>
        <w:t>3.4</w:t>
      </w:r>
      <w:r>
        <w:rPr>
          <w:rFonts w:hint="eastAsia" w:ascii="Times New Roman" w:hAnsi="Times New Roman" w:eastAsia="仿宋_GB2312" w:cs="楷体_GB2312"/>
          <w:kern w:val="0"/>
          <w:sz w:val="32"/>
          <w:szCs w:val="32"/>
        </w:rPr>
        <w:t>成果要求</w:t>
      </w:r>
    </w:p>
    <w:p w14:paraId="4913B5FF">
      <w:pPr>
        <w:autoSpaceDE/>
        <w:autoSpaceDN/>
        <w:adjustRightInd w:val="0"/>
        <w:snapToGrid w:val="0"/>
        <w:spacing w:line="60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合同签订后，</w:t>
      </w:r>
      <w:r>
        <w:rPr>
          <w:rFonts w:hint="eastAsia" w:ascii="Times New Roman" w:hAnsi="Times New Roman" w:eastAsia="仿宋_GB2312" w:cs="仿宋_GB2312"/>
          <w:kern w:val="0"/>
          <w:sz w:val="32"/>
          <w:szCs w:val="32"/>
          <w:lang w:val="en-US" w:eastAsia="zh-CN"/>
        </w:rPr>
        <w:t>乙方</w:t>
      </w:r>
      <w:r>
        <w:rPr>
          <w:rFonts w:hint="eastAsia" w:ascii="Times New Roman" w:hAnsi="Times New Roman" w:eastAsia="仿宋_GB2312" w:cs="仿宋_GB2312"/>
          <w:kern w:val="0"/>
          <w:sz w:val="32"/>
          <w:szCs w:val="32"/>
        </w:rPr>
        <w:t>在收到</w:t>
      </w:r>
      <w:r>
        <w:rPr>
          <w:rFonts w:hint="eastAsia" w:ascii="Times New Roman" w:hAnsi="Times New Roman" w:eastAsia="仿宋_GB2312" w:cs="仿宋_GB2312"/>
          <w:kern w:val="0"/>
          <w:sz w:val="32"/>
          <w:szCs w:val="32"/>
          <w:lang w:val="en-US" w:eastAsia="zh-CN"/>
        </w:rPr>
        <w:t>甲方</w:t>
      </w:r>
      <w:r>
        <w:rPr>
          <w:rFonts w:hint="eastAsia" w:ascii="Times New Roman" w:hAnsi="Times New Roman" w:eastAsia="仿宋_GB2312" w:cs="仿宋_GB2312"/>
          <w:kern w:val="0"/>
          <w:sz w:val="32"/>
          <w:szCs w:val="32"/>
        </w:rPr>
        <w:t>按双方沟通一致的书面资料清单提供必要资料后14个日历天内提交评估报告；地铁权属单位组织评审后7个日历天内提交正式成果终稿。</w:t>
      </w:r>
    </w:p>
    <w:p w14:paraId="0A1F4BDC">
      <w:pPr>
        <w:spacing w:line="600" w:lineRule="exact"/>
        <w:ind w:firstLine="640" w:firstLineChars="200"/>
        <w:rPr>
          <w:rFonts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t>第</w:t>
      </w:r>
      <w:r>
        <w:rPr>
          <w:rFonts w:hint="eastAsia" w:ascii="Times New Roman" w:hAnsi="Times New Roman" w:eastAsia="仿宋_GB2312" w:cs="仿宋_GB2312"/>
          <w:bCs w:val="0"/>
          <w:sz w:val="32"/>
          <w:szCs w:val="32"/>
          <w:lang w:val="en-US" w:eastAsia="zh-CN"/>
        </w:rPr>
        <w:t>四</w:t>
      </w:r>
      <w:r>
        <w:rPr>
          <w:rFonts w:hint="eastAsia" w:ascii="Times New Roman" w:hAnsi="Times New Roman" w:eastAsia="仿宋_GB2312" w:cs="仿宋_GB2312"/>
          <w:bCs w:val="0"/>
          <w:sz w:val="32"/>
          <w:szCs w:val="32"/>
        </w:rPr>
        <w:t>条</w:t>
      </w:r>
      <w:r>
        <w:rPr>
          <w:rFonts w:ascii="Times New Roman" w:hAnsi="Times New Roman" w:eastAsia="仿宋_GB2312" w:cs="仿宋_GB2312"/>
          <w:bCs w:val="0"/>
          <w:sz w:val="32"/>
          <w:szCs w:val="32"/>
        </w:rPr>
        <w:t xml:space="preserve">  </w:t>
      </w:r>
      <w:r>
        <w:rPr>
          <w:rFonts w:hint="eastAsia" w:ascii="Times New Roman" w:hAnsi="Times New Roman" w:eastAsia="仿宋_GB2312" w:cs="仿宋_GB2312"/>
          <w:bCs w:val="0"/>
          <w:sz w:val="32"/>
          <w:szCs w:val="32"/>
        </w:rPr>
        <w:t>甲方责任</w:t>
      </w:r>
    </w:p>
    <w:p w14:paraId="6C4CC0EF">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4</w:t>
      </w:r>
      <w:r>
        <w:rPr>
          <w:rFonts w:hint="default" w:ascii="Times New Roman" w:hAnsi="Times New Roman" w:eastAsia="仿宋_GB2312" w:cs="仿宋_GB2312"/>
          <w:b w:val="0"/>
          <w:bCs w:val="0"/>
          <w:kern w:val="2"/>
          <w:sz w:val="32"/>
          <w:szCs w:val="32"/>
        </w:rPr>
        <w:t>.</w:t>
      </w:r>
      <w:r>
        <w:rPr>
          <w:rFonts w:ascii="Times New Roman" w:hAnsi="Times New Roman" w:eastAsia="仿宋_GB2312" w:cs="仿宋_GB2312"/>
          <w:b w:val="0"/>
          <w:bCs w:val="0"/>
          <w:kern w:val="2"/>
          <w:sz w:val="32"/>
          <w:szCs w:val="32"/>
        </w:rPr>
        <w:t>1技术资料：</w:t>
      </w:r>
    </w:p>
    <w:p w14:paraId="57927155">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（1）滨海湾新区苗涌东侧规划次干路配套给水工程（含交椅湾板块连通管工程）设计资料（图纸CAD+勘察报告word）；</w:t>
      </w:r>
    </w:p>
    <w:p w14:paraId="2812B900">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（2）邻近的地铁结构工程的相关设计资料</w:t>
      </w:r>
      <w:r>
        <w:rPr>
          <w:rFonts w:hint="eastAsia"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val="en-US" w:eastAsia="zh-CN"/>
        </w:rPr>
        <w:t>若有）</w:t>
      </w:r>
      <w:r>
        <w:rPr>
          <w:rFonts w:ascii="Times New Roman" w:hAnsi="Times New Roman" w:eastAsia="仿宋_GB2312" w:cs="仿宋_GB2312"/>
          <w:b w:val="0"/>
          <w:bCs w:val="0"/>
          <w:kern w:val="2"/>
          <w:sz w:val="32"/>
          <w:szCs w:val="32"/>
        </w:rPr>
        <w:t>；</w:t>
      </w:r>
    </w:p>
    <w:p w14:paraId="714FF6C9">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（3）地铁相关的岩土工程勘察报告</w:t>
      </w:r>
      <w:r>
        <w:rPr>
          <w:rFonts w:hint="eastAsia"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val="en-US" w:eastAsia="zh-CN"/>
        </w:rPr>
        <w:t>若有）</w:t>
      </w:r>
      <w:r>
        <w:rPr>
          <w:rFonts w:ascii="Times New Roman" w:hAnsi="Times New Roman" w:eastAsia="仿宋_GB2312" w:cs="仿宋_GB2312"/>
          <w:b w:val="0"/>
          <w:bCs w:val="0"/>
          <w:kern w:val="2"/>
          <w:sz w:val="32"/>
          <w:szCs w:val="32"/>
        </w:rPr>
        <w:t>；</w:t>
      </w:r>
    </w:p>
    <w:p w14:paraId="23BB694B">
      <w:pPr>
        <w:pStyle w:val="8"/>
        <w:autoSpaceDE/>
        <w:autoSpaceDN/>
        <w:spacing w:line="600" w:lineRule="exact"/>
        <w:ind w:right="0" w:firstLine="640" w:firstLineChars="200"/>
        <w:jc w:val="left"/>
        <w:rPr>
          <w:rFonts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（4）协助提供既有构筑物设计相关资料</w:t>
      </w:r>
      <w:r>
        <w:rPr>
          <w:rFonts w:hint="eastAsia"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val="en-US" w:eastAsia="zh-CN"/>
        </w:rPr>
        <w:t>若有）</w:t>
      </w:r>
      <w:r>
        <w:rPr>
          <w:rFonts w:ascii="Times New Roman" w:hAnsi="Times New Roman" w:eastAsia="仿宋_GB2312" w:cs="仿宋_GB2312"/>
          <w:b w:val="0"/>
          <w:bCs w:val="0"/>
          <w:kern w:val="2"/>
          <w:sz w:val="32"/>
          <w:szCs w:val="32"/>
        </w:rPr>
        <w:t>；</w:t>
      </w:r>
    </w:p>
    <w:p w14:paraId="372D40B2">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（5）邻近地铁结构的工前普查报告</w:t>
      </w:r>
      <w:r>
        <w:rPr>
          <w:rFonts w:hint="eastAsia" w:ascii="Times New Roman" w:hAnsi="Times New Roman" w:eastAsia="仿宋_GB2312" w:cs="仿宋_GB2312"/>
          <w:b w:val="0"/>
          <w:bCs w:val="0"/>
          <w:kern w:val="2"/>
          <w:sz w:val="32"/>
          <w:szCs w:val="32"/>
          <w:lang w:eastAsia="zh-CN"/>
        </w:rPr>
        <w:t>（</w:t>
      </w:r>
      <w:r>
        <w:rPr>
          <w:rFonts w:hint="eastAsia" w:ascii="Times New Roman" w:hAnsi="Times New Roman" w:eastAsia="仿宋_GB2312" w:cs="仿宋_GB2312"/>
          <w:b w:val="0"/>
          <w:bCs w:val="0"/>
          <w:kern w:val="2"/>
          <w:sz w:val="32"/>
          <w:szCs w:val="32"/>
          <w:lang w:val="en-US" w:eastAsia="zh-CN"/>
        </w:rPr>
        <w:t>若有）</w:t>
      </w:r>
      <w:r>
        <w:rPr>
          <w:rFonts w:ascii="Times New Roman" w:hAnsi="Times New Roman" w:eastAsia="仿宋_GB2312" w:cs="仿宋_GB2312"/>
          <w:b w:val="0"/>
          <w:bCs w:val="0"/>
          <w:kern w:val="2"/>
          <w:sz w:val="32"/>
          <w:szCs w:val="32"/>
        </w:rPr>
        <w:t>。</w:t>
      </w:r>
    </w:p>
    <w:p w14:paraId="44DCCC95">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4</w:t>
      </w:r>
      <w:r>
        <w:rPr>
          <w:rFonts w:hint="default" w:ascii="Times New Roman" w:hAnsi="Times New Roman" w:eastAsia="仿宋_GB2312" w:cs="仿宋_GB2312"/>
          <w:b w:val="0"/>
          <w:bCs w:val="0"/>
          <w:kern w:val="2"/>
          <w:sz w:val="32"/>
          <w:szCs w:val="32"/>
        </w:rPr>
        <w:t>.</w:t>
      </w:r>
      <w:r>
        <w:rPr>
          <w:rFonts w:ascii="Times New Roman" w:hAnsi="Times New Roman" w:eastAsia="仿宋_GB2312" w:cs="仿宋_GB2312"/>
          <w:b w:val="0"/>
          <w:bCs w:val="0"/>
          <w:kern w:val="2"/>
          <w:sz w:val="32"/>
          <w:szCs w:val="32"/>
        </w:rPr>
        <w:t>2提供工作条件：协助乙方收集相关资料和现场调查。</w:t>
      </w:r>
    </w:p>
    <w:p w14:paraId="0AC23D61">
      <w:pPr>
        <w:spacing w:line="600" w:lineRule="exact"/>
        <w:ind w:firstLine="640" w:firstLineChars="200"/>
        <w:rPr>
          <w:rFonts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t>第</w:t>
      </w:r>
      <w:r>
        <w:rPr>
          <w:rFonts w:hint="eastAsia" w:ascii="Times New Roman" w:hAnsi="Times New Roman" w:eastAsia="仿宋_GB2312" w:cs="仿宋_GB2312"/>
          <w:bCs w:val="0"/>
          <w:sz w:val="32"/>
          <w:szCs w:val="32"/>
          <w:lang w:val="en-US" w:eastAsia="zh-CN"/>
        </w:rPr>
        <w:t>五</w:t>
      </w:r>
      <w:r>
        <w:rPr>
          <w:rFonts w:hint="eastAsia" w:ascii="Times New Roman" w:hAnsi="Times New Roman" w:eastAsia="仿宋_GB2312" w:cs="仿宋_GB2312"/>
          <w:bCs w:val="0"/>
          <w:sz w:val="32"/>
          <w:szCs w:val="32"/>
        </w:rPr>
        <w:t>条</w:t>
      </w:r>
      <w:r>
        <w:rPr>
          <w:rFonts w:ascii="Times New Roman" w:hAnsi="Times New Roman" w:eastAsia="仿宋_GB2312" w:cs="仿宋_GB2312"/>
          <w:bCs w:val="0"/>
          <w:sz w:val="32"/>
          <w:szCs w:val="32"/>
        </w:rPr>
        <w:t xml:space="preserve">  </w:t>
      </w:r>
      <w:r>
        <w:rPr>
          <w:rFonts w:hint="eastAsia" w:ascii="Times New Roman" w:hAnsi="Times New Roman" w:eastAsia="仿宋_GB2312" w:cs="仿宋_GB2312"/>
          <w:bCs w:val="0"/>
          <w:sz w:val="32"/>
          <w:szCs w:val="32"/>
        </w:rPr>
        <w:t>乙方责任</w:t>
      </w:r>
    </w:p>
    <w:p w14:paraId="1592101E">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.1乙方应当按</w:t>
      </w:r>
      <w:r>
        <w:rPr>
          <w:rFonts w:hint="eastAsia" w:ascii="Times New Roman" w:hAnsi="Times New Roman" w:eastAsia="仿宋_GB2312" w:cs="仿宋_GB2312"/>
          <w:b w:val="0"/>
          <w:bCs w:val="0"/>
          <w:kern w:val="2"/>
          <w:sz w:val="32"/>
          <w:szCs w:val="32"/>
          <w:lang w:val="en-US" w:eastAsia="zh-CN"/>
        </w:rPr>
        <w:t>合同约定完成</w:t>
      </w:r>
      <w:r>
        <w:rPr>
          <w:rFonts w:ascii="Times New Roman" w:hAnsi="Times New Roman" w:eastAsia="仿宋_GB2312" w:cs="仿宋_GB2312"/>
          <w:b w:val="0"/>
          <w:bCs w:val="0"/>
          <w:kern w:val="2"/>
          <w:sz w:val="32"/>
          <w:szCs w:val="32"/>
        </w:rPr>
        <w:t>技术咨询工作</w:t>
      </w:r>
    </w:p>
    <w:p w14:paraId="1F811C01">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（1）相关资料收集、现场调查；</w:t>
      </w:r>
    </w:p>
    <w:p w14:paraId="371C0251">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（2）进行系列的三维数值模拟计算及安全风险影响分析；</w:t>
      </w:r>
    </w:p>
    <w:p w14:paraId="4891C0DB">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（3）提交最终的正式</w:t>
      </w:r>
      <w:r>
        <w:rPr>
          <w:rFonts w:hint="eastAsia" w:ascii="Times New Roman" w:hAnsi="Times New Roman" w:eastAsia="仿宋_GB2312" w:cs="仿宋_GB2312"/>
          <w:b w:val="0"/>
          <w:bCs w:val="0"/>
          <w:kern w:val="2"/>
          <w:sz w:val="32"/>
          <w:szCs w:val="32"/>
          <w:lang w:val="en-US" w:eastAsia="zh-CN"/>
        </w:rPr>
        <w:t>安全评估</w:t>
      </w:r>
      <w:r>
        <w:rPr>
          <w:rFonts w:ascii="Times New Roman" w:hAnsi="Times New Roman" w:eastAsia="仿宋_GB2312" w:cs="仿宋_GB2312"/>
          <w:b w:val="0"/>
          <w:bCs w:val="0"/>
          <w:kern w:val="2"/>
          <w:sz w:val="32"/>
          <w:szCs w:val="32"/>
        </w:rPr>
        <w:t>报告；</w:t>
      </w:r>
    </w:p>
    <w:p w14:paraId="1AA06CD3">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（4）参加与地铁保护相关的技术审查会；</w:t>
      </w:r>
    </w:p>
    <w:p w14:paraId="4DA169E6">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ascii="Times New Roman" w:hAnsi="Times New Roman" w:eastAsia="仿宋_GB2312" w:cs="仿宋_GB2312"/>
          <w:b w:val="0"/>
          <w:bCs w:val="0"/>
          <w:kern w:val="2"/>
          <w:sz w:val="32"/>
          <w:szCs w:val="32"/>
        </w:rPr>
        <w:t>（5）协助甲方向地铁</w:t>
      </w:r>
      <w:r>
        <w:rPr>
          <w:rFonts w:hint="eastAsia" w:ascii="Times New Roman" w:hAnsi="Times New Roman" w:eastAsia="仿宋_GB2312" w:cs="仿宋_GB2312"/>
          <w:b w:val="0"/>
          <w:bCs w:val="0"/>
          <w:kern w:val="2"/>
          <w:sz w:val="32"/>
          <w:szCs w:val="32"/>
          <w:lang w:val="en-US" w:eastAsia="zh-CN"/>
        </w:rPr>
        <w:t>权属单位</w:t>
      </w:r>
      <w:r>
        <w:rPr>
          <w:rFonts w:ascii="Times New Roman" w:hAnsi="Times New Roman" w:eastAsia="仿宋_GB2312" w:cs="仿宋_GB2312"/>
          <w:b w:val="0"/>
          <w:bCs w:val="0"/>
          <w:kern w:val="2"/>
          <w:sz w:val="32"/>
          <w:szCs w:val="32"/>
        </w:rPr>
        <w:t>进行报审工作。</w:t>
      </w:r>
    </w:p>
    <w:p w14:paraId="7B6709E1">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.2乙方应按国家规定和合同约定的技术规范、标准进行安全影响评估报告编制，按本合同约定的内容、时间及甲方要求份数向甲方交付安全评估报告文件，并对提交的文件的质量负责。</w:t>
      </w:r>
    </w:p>
    <w:p w14:paraId="3AF2F872">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.3乙方交付的安全评估报告符合甲方和地铁</w:t>
      </w:r>
      <w:r>
        <w:rPr>
          <w:rFonts w:hint="eastAsia" w:ascii="Times New Roman" w:hAnsi="Times New Roman" w:eastAsia="仿宋_GB2312" w:cs="仿宋_GB2312"/>
          <w:b w:val="0"/>
          <w:bCs w:val="0"/>
          <w:kern w:val="2"/>
          <w:sz w:val="32"/>
          <w:szCs w:val="32"/>
          <w:lang w:val="en-US" w:eastAsia="zh-CN"/>
        </w:rPr>
        <w:t>权属单位</w:t>
      </w:r>
      <w:r>
        <w:rPr>
          <w:rFonts w:ascii="Times New Roman" w:hAnsi="Times New Roman" w:eastAsia="仿宋_GB2312" w:cs="仿宋_GB2312"/>
          <w:b w:val="0"/>
          <w:bCs w:val="0"/>
          <w:kern w:val="2"/>
          <w:sz w:val="32"/>
          <w:szCs w:val="32"/>
        </w:rPr>
        <w:t>的要求，并通过专家评审。</w:t>
      </w:r>
    </w:p>
    <w:p w14:paraId="1632030F">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.4乙方提交的安全评估报告应经甲方和</w:t>
      </w:r>
      <w:r>
        <w:rPr>
          <w:rFonts w:hint="eastAsia" w:ascii="Times New Roman" w:hAnsi="Times New Roman" w:eastAsia="仿宋_GB2312" w:cs="仿宋_GB2312"/>
          <w:b w:val="0"/>
          <w:bCs w:val="0"/>
          <w:kern w:val="2"/>
          <w:sz w:val="32"/>
          <w:szCs w:val="32"/>
          <w:lang w:val="en-US" w:eastAsia="zh-CN"/>
        </w:rPr>
        <w:t>地铁权属单位审核</w:t>
      </w:r>
      <w:r>
        <w:rPr>
          <w:rFonts w:ascii="Times New Roman" w:hAnsi="Times New Roman" w:eastAsia="仿宋_GB2312" w:cs="仿宋_GB2312"/>
          <w:b w:val="0"/>
          <w:bCs w:val="0"/>
          <w:kern w:val="2"/>
          <w:sz w:val="32"/>
          <w:szCs w:val="32"/>
        </w:rPr>
        <w:t>通过，</w:t>
      </w:r>
      <w:r>
        <w:rPr>
          <w:rFonts w:hint="eastAsia" w:ascii="Times New Roman" w:hAnsi="Times New Roman" w:eastAsia="仿宋_GB2312" w:cs="仿宋_GB2312"/>
          <w:b w:val="0"/>
          <w:bCs w:val="0"/>
          <w:kern w:val="2"/>
          <w:sz w:val="32"/>
          <w:szCs w:val="32"/>
          <w:lang w:val="en-US" w:eastAsia="zh-CN"/>
        </w:rPr>
        <w:t>未经甲方和地铁权属单位审核通过的，</w:t>
      </w:r>
      <w:r>
        <w:rPr>
          <w:rFonts w:ascii="Times New Roman" w:hAnsi="Times New Roman" w:eastAsia="仿宋_GB2312" w:cs="仿宋_GB2312"/>
          <w:b w:val="0"/>
          <w:bCs w:val="0"/>
          <w:kern w:val="2"/>
          <w:sz w:val="32"/>
          <w:szCs w:val="32"/>
        </w:rPr>
        <w:t>甲方有权要求乙方重新</w:t>
      </w:r>
      <w:r>
        <w:rPr>
          <w:rFonts w:hint="eastAsia" w:ascii="Times New Roman" w:hAnsi="Times New Roman" w:eastAsia="仿宋_GB2312" w:cs="仿宋_GB2312"/>
          <w:b w:val="0"/>
          <w:bCs w:val="0"/>
          <w:kern w:val="2"/>
          <w:sz w:val="32"/>
          <w:szCs w:val="32"/>
          <w:lang w:val="en-US" w:eastAsia="zh-CN"/>
        </w:rPr>
        <w:t>编制</w:t>
      </w:r>
      <w:r>
        <w:rPr>
          <w:rFonts w:ascii="Times New Roman" w:hAnsi="Times New Roman" w:eastAsia="仿宋_GB2312" w:cs="仿宋_GB2312"/>
          <w:b w:val="0"/>
          <w:bCs w:val="0"/>
          <w:kern w:val="2"/>
          <w:sz w:val="32"/>
          <w:szCs w:val="32"/>
        </w:rPr>
        <w:t>。</w:t>
      </w:r>
    </w:p>
    <w:p w14:paraId="17AC2188">
      <w:pPr>
        <w:pStyle w:val="8"/>
        <w:autoSpaceDE/>
        <w:autoSpaceDN/>
        <w:spacing w:line="600" w:lineRule="exact"/>
        <w:ind w:right="0" w:firstLine="640" w:firstLineChars="200"/>
        <w:jc w:val="left"/>
        <w:rPr>
          <w:rFonts w:hint="default"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.5乙方交付安全影响评估报告后，按规定参加甲方及</w:t>
      </w:r>
      <w:r>
        <w:rPr>
          <w:rFonts w:hint="eastAsia" w:ascii="Times New Roman" w:hAnsi="Times New Roman" w:eastAsia="仿宋_GB2312" w:cs="仿宋_GB2312"/>
          <w:b w:val="0"/>
          <w:bCs w:val="0"/>
          <w:kern w:val="2"/>
          <w:sz w:val="32"/>
          <w:szCs w:val="32"/>
          <w:lang w:val="en-US" w:eastAsia="zh-CN"/>
        </w:rPr>
        <w:t>地铁权属单位</w:t>
      </w:r>
      <w:r>
        <w:rPr>
          <w:rFonts w:ascii="Times New Roman" w:hAnsi="Times New Roman" w:eastAsia="仿宋_GB2312" w:cs="仿宋_GB2312"/>
          <w:b w:val="0"/>
          <w:bCs w:val="0"/>
          <w:kern w:val="2"/>
          <w:sz w:val="32"/>
          <w:szCs w:val="32"/>
        </w:rPr>
        <w:t>的审查，并根据审查结论负责对不超出原定范围的内容做必要调整补充。</w:t>
      </w:r>
    </w:p>
    <w:p w14:paraId="603EF4FF">
      <w:pPr>
        <w:pStyle w:val="8"/>
        <w:autoSpaceDE/>
        <w:autoSpaceDN/>
        <w:spacing w:line="600" w:lineRule="exact"/>
        <w:ind w:right="0" w:firstLine="640" w:firstLineChars="200"/>
        <w:jc w:val="left"/>
        <w:rPr>
          <w:rFonts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lang w:val="en-US" w:eastAsia="zh-CN"/>
        </w:rPr>
        <w:t>5</w:t>
      </w:r>
      <w:r>
        <w:rPr>
          <w:rFonts w:ascii="Times New Roman" w:hAnsi="Times New Roman" w:eastAsia="仿宋_GB2312" w:cs="仿宋_GB2312"/>
          <w:b w:val="0"/>
          <w:bCs w:val="0"/>
          <w:kern w:val="2"/>
          <w:sz w:val="32"/>
          <w:szCs w:val="32"/>
        </w:rPr>
        <w:t>.6若由于乙方的原因造成安全影响评估报告出现重大技术性错误或遗漏的，不管安全影响评估报告是否经过了甲方或有关部门的确认，甲方都有权随时要求乙方重新进行安全影响评估。</w:t>
      </w:r>
    </w:p>
    <w:p w14:paraId="58E807A1">
      <w:pPr>
        <w:pStyle w:val="8"/>
        <w:autoSpaceDE/>
        <w:autoSpaceDN/>
        <w:spacing w:line="600" w:lineRule="exact"/>
        <w:ind w:right="0" w:firstLine="640" w:firstLineChars="200"/>
        <w:jc w:val="left"/>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第</w:t>
      </w:r>
      <w:r>
        <w:rPr>
          <w:rFonts w:hint="eastAsia" w:ascii="Times New Roman" w:hAnsi="Times New Roman" w:eastAsia="仿宋_GB2312" w:cs="仿宋_GB2312"/>
          <w:b w:val="0"/>
          <w:bCs/>
          <w:sz w:val="32"/>
          <w:szCs w:val="32"/>
          <w:lang w:val="en-US" w:eastAsia="zh-CN"/>
        </w:rPr>
        <w:t>六</w:t>
      </w:r>
      <w:r>
        <w:rPr>
          <w:rFonts w:hint="eastAsia" w:ascii="Times New Roman" w:hAnsi="Times New Roman" w:eastAsia="仿宋_GB2312" w:cs="仿宋_GB2312"/>
          <w:b w:val="0"/>
          <w:bCs/>
          <w:sz w:val="32"/>
          <w:szCs w:val="32"/>
        </w:rPr>
        <w:t>条</w:t>
      </w:r>
      <w:r>
        <w:rPr>
          <w:rFonts w:ascii="Times New Roman" w:hAnsi="Times New Roman" w:eastAsia="仿宋_GB2312" w:cs="仿宋_GB2312"/>
          <w:b w:val="0"/>
          <w:bCs/>
          <w:sz w:val="32"/>
          <w:szCs w:val="32"/>
        </w:rPr>
        <w:t xml:space="preserve">  </w:t>
      </w:r>
      <w:r>
        <w:rPr>
          <w:rFonts w:hint="eastAsia" w:ascii="Times New Roman" w:hAnsi="Times New Roman" w:eastAsia="仿宋_GB2312" w:cs="仿宋_GB2312"/>
          <w:b w:val="0"/>
          <w:bCs/>
          <w:sz w:val="32"/>
          <w:szCs w:val="32"/>
          <w:lang w:val="en-US" w:eastAsia="zh-CN"/>
        </w:rPr>
        <w:t>丙方</w:t>
      </w:r>
      <w:r>
        <w:rPr>
          <w:rFonts w:hint="eastAsia" w:ascii="Times New Roman" w:hAnsi="Times New Roman" w:eastAsia="仿宋_GB2312" w:cs="仿宋_GB2312"/>
          <w:b w:val="0"/>
          <w:bCs/>
          <w:sz w:val="32"/>
          <w:szCs w:val="32"/>
        </w:rPr>
        <w:t>责任</w:t>
      </w:r>
    </w:p>
    <w:p w14:paraId="418F1208">
      <w:pPr>
        <w:pStyle w:val="8"/>
        <w:autoSpaceDE/>
        <w:autoSpaceDN/>
        <w:spacing w:line="600" w:lineRule="exact"/>
        <w:ind w:right="0" w:firstLine="640" w:firstLineChars="200"/>
        <w:jc w:val="left"/>
        <w:rPr>
          <w:rFonts w:hint="default" w:ascii="Times New Roman" w:hAnsi="Times New Roman" w:eastAsia="仿宋_GB2312"/>
          <w:b w:val="0"/>
          <w:sz w:val="32"/>
        </w:rPr>
      </w:pPr>
      <w:r>
        <w:rPr>
          <w:rFonts w:hint="eastAsia" w:ascii="Times New Roman" w:hAnsi="Times New Roman" w:eastAsia="仿宋_GB2312" w:cs="仿宋_GB2312"/>
          <w:b w:val="0"/>
          <w:bCs/>
          <w:kern w:val="2"/>
          <w:sz w:val="32"/>
          <w:szCs w:val="32"/>
          <w:lang w:val="en-US" w:eastAsia="zh-CN"/>
        </w:rPr>
        <w:t>6.1丙方应</w:t>
      </w:r>
      <w:r>
        <w:rPr>
          <w:rFonts w:ascii="Times New Roman" w:hAnsi="Times New Roman" w:eastAsia="仿宋_GB2312" w:cs="仿宋_GB2312"/>
          <w:b w:val="0"/>
          <w:bCs/>
          <w:kern w:val="2"/>
          <w:sz w:val="32"/>
          <w:szCs w:val="32"/>
        </w:rPr>
        <w:t>按合同</w:t>
      </w:r>
      <w:r>
        <w:rPr>
          <w:rFonts w:hint="eastAsia" w:ascii="Times New Roman" w:hAnsi="Times New Roman" w:eastAsia="仿宋_GB2312" w:cs="仿宋_GB2312"/>
          <w:b w:val="0"/>
          <w:bCs/>
          <w:kern w:val="2"/>
          <w:sz w:val="32"/>
          <w:szCs w:val="32"/>
          <w:lang w:val="en-US" w:eastAsia="zh-CN"/>
        </w:rPr>
        <w:t>约定</w:t>
      </w:r>
      <w:r>
        <w:rPr>
          <w:rFonts w:ascii="Times New Roman" w:hAnsi="Times New Roman" w:eastAsia="仿宋_GB2312" w:cs="仿宋_GB2312"/>
          <w:b w:val="0"/>
          <w:bCs/>
          <w:kern w:val="2"/>
          <w:sz w:val="32"/>
          <w:szCs w:val="32"/>
        </w:rPr>
        <w:t>及时支付乙方</w:t>
      </w:r>
      <w:r>
        <w:rPr>
          <w:rFonts w:hint="eastAsia" w:ascii="Times New Roman" w:hAnsi="Times New Roman" w:eastAsia="仿宋_GB2312" w:cs="仿宋_GB2312"/>
          <w:b w:val="0"/>
          <w:bCs/>
          <w:kern w:val="2"/>
          <w:sz w:val="32"/>
          <w:szCs w:val="32"/>
          <w:lang w:val="en-US" w:eastAsia="zh-CN"/>
        </w:rPr>
        <w:t>合同价款</w:t>
      </w:r>
      <w:r>
        <w:rPr>
          <w:rFonts w:ascii="Times New Roman" w:hAnsi="Times New Roman" w:eastAsia="仿宋_GB2312" w:cs="仿宋_GB2312"/>
          <w:b w:val="0"/>
          <w:bCs/>
          <w:kern w:val="2"/>
          <w:sz w:val="32"/>
          <w:szCs w:val="32"/>
        </w:rPr>
        <w:t>。</w:t>
      </w:r>
    </w:p>
    <w:p w14:paraId="269C5900">
      <w:pPr>
        <w:pStyle w:val="9"/>
        <w:spacing w:after="0" w:line="600"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w:t>
      </w:r>
      <w:r>
        <w:rPr>
          <w:rFonts w:hint="eastAsia" w:ascii="Times New Roman" w:hAnsi="Times New Roman" w:eastAsia="仿宋_GB2312" w:cs="仿宋_GB2312"/>
          <w:bCs/>
          <w:sz w:val="32"/>
          <w:szCs w:val="32"/>
          <w:lang w:val="en-US" w:eastAsia="zh-CN"/>
        </w:rPr>
        <w:t>七</w:t>
      </w:r>
      <w:r>
        <w:rPr>
          <w:rFonts w:hint="eastAsia" w:ascii="Times New Roman" w:hAnsi="Times New Roman" w:eastAsia="仿宋_GB2312" w:cs="仿宋_GB2312"/>
          <w:bCs/>
          <w:sz w:val="32"/>
          <w:szCs w:val="32"/>
        </w:rPr>
        <w:t>条</w:t>
      </w:r>
      <w:r>
        <w:rPr>
          <w:rFonts w:ascii="Times New Roman" w:hAnsi="Times New Roman" w:eastAsia="仿宋_GB2312" w:cs="仿宋_GB2312"/>
          <w:bCs/>
          <w:sz w:val="32"/>
          <w:szCs w:val="32"/>
        </w:rPr>
        <w:t xml:space="preserve">  </w:t>
      </w:r>
      <w:r>
        <w:rPr>
          <w:rFonts w:hint="eastAsia" w:ascii="Times New Roman" w:hAnsi="Times New Roman" w:eastAsia="仿宋_GB2312" w:cs="仿宋_GB2312"/>
          <w:bCs/>
          <w:sz w:val="32"/>
          <w:szCs w:val="32"/>
        </w:rPr>
        <w:t>质量验收标准</w:t>
      </w:r>
    </w:p>
    <w:p w14:paraId="38BECFB7">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7.1</w:t>
      </w:r>
      <w:r>
        <w:rPr>
          <w:rFonts w:hint="eastAsia" w:ascii="Times New Roman" w:hAnsi="Times New Roman" w:eastAsia="仿宋_GB2312" w:cs="仿宋_GB2312"/>
          <w:bCs/>
          <w:sz w:val="32"/>
          <w:szCs w:val="32"/>
        </w:rPr>
        <w:t>双方确定，按以下标准和方式对乙方提交的技术咨询工作成果进行验收：</w:t>
      </w:r>
    </w:p>
    <w:p w14:paraId="21B40320">
      <w:pPr>
        <w:spacing w:line="600" w:lineRule="exact"/>
        <w:ind w:left="0" w:leftChars="0"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1</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乙方提交技术咨询工作成果的形式：咨询报告包含本合同所列的评估内容，安全影响评估技术咨询报告应以乙方名义出具并盖章。</w:t>
      </w:r>
    </w:p>
    <w:p w14:paraId="48DB5EC4">
      <w:pPr>
        <w:spacing w:line="600" w:lineRule="exact"/>
        <w:ind w:left="0" w:leftChars="0"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2</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技术咨询工作成果的验收标准：安全影响评估技术咨询报告应基于甲方所提供的相关资料，针对合同所列评估内容所进行的分析合理，依据充分，观点明确，结论可信，通过专家评审，并取得有权审批主管部门的批复文件。</w:t>
      </w:r>
    </w:p>
    <w:p w14:paraId="128578BE">
      <w:pPr>
        <w:pStyle w:val="9"/>
        <w:spacing w:after="0"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w:t>
      </w:r>
      <w:r>
        <w:rPr>
          <w:rFonts w:hint="eastAsia" w:ascii="Times New Roman" w:hAnsi="Times New Roman" w:eastAsia="仿宋_GB2312" w:cs="仿宋_GB2312"/>
          <w:bCs/>
          <w:sz w:val="32"/>
          <w:szCs w:val="32"/>
          <w:lang w:val="en-US" w:eastAsia="zh-CN"/>
        </w:rPr>
        <w:t>八</w:t>
      </w:r>
      <w:r>
        <w:rPr>
          <w:rFonts w:hint="eastAsia" w:ascii="Times New Roman" w:hAnsi="Times New Roman" w:eastAsia="仿宋_GB2312" w:cs="仿宋_GB2312"/>
          <w:bCs/>
          <w:sz w:val="32"/>
          <w:szCs w:val="32"/>
        </w:rPr>
        <w:t>条</w:t>
      </w:r>
      <w:r>
        <w:rPr>
          <w:rFonts w:ascii="Times New Roman" w:hAnsi="Times New Roman" w:eastAsia="仿宋_GB2312" w:cs="仿宋_GB2312"/>
          <w:bCs/>
          <w:sz w:val="32"/>
          <w:szCs w:val="32"/>
        </w:rPr>
        <w:t xml:space="preserve">  </w:t>
      </w:r>
      <w:r>
        <w:rPr>
          <w:rFonts w:hint="eastAsia" w:ascii="Times New Roman" w:hAnsi="Times New Roman" w:eastAsia="仿宋_GB2312" w:cs="仿宋_GB2312"/>
          <w:bCs/>
          <w:sz w:val="32"/>
          <w:szCs w:val="32"/>
        </w:rPr>
        <w:t>项目负责人</w:t>
      </w:r>
    </w:p>
    <w:p w14:paraId="2575C061">
      <w:pPr>
        <w:pStyle w:val="9"/>
        <w:spacing w:after="0"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8</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甲方委派的履行本合同的项目负责人为</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rPr>
        <w:t>，电话：</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rPr>
        <w:t>。</w:t>
      </w:r>
    </w:p>
    <w:p w14:paraId="01F33380">
      <w:pPr>
        <w:pStyle w:val="9"/>
        <w:spacing w:after="0"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8</w:t>
      </w:r>
      <w:r>
        <w:rPr>
          <w:rFonts w:ascii="Times New Roman" w:hAnsi="Times New Roman" w:eastAsia="仿宋_GB2312" w:cs="仿宋_GB2312"/>
          <w:bCs/>
          <w:sz w:val="32"/>
          <w:szCs w:val="32"/>
        </w:rPr>
        <w:t>.2</w:t>
      </w:r>
      <w:r>
        <w:rPr>
          <w:rFonts w:hint="eastAsia" w:ascii="Times New Roman" w:hAnsi="Times New Roman" w:eastAsia="仿宋_GB2312" w:cs="仿宋_GB2312"/>
          <w:bCs/>
          <w:sz w:val="32"/>
          <w:szCs w:val="32"/>
        </w:rPr>
        <w:t>乙方委派的履行本合同的项目负责人为</w:t>
      </w:r>
      <w:r>
        <w:rPr>
          <w:rFonts w:hint="eastAsia" w:ascii="Times New Roman" w:hAnsi="Times New Roman" w:eastAsia="仿宋_GB2312" w:cs="仿宋_GB2312"/>
          <w:bCs/>
          <w:sz w:val="32"/>
          <w:szCs w:val="32"/>
          <w:u w:val="single"/>
        </w:rPr>
        <w:t xml:space="preserve"> </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，电话：</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w:t>
      </w:r>
    </w:p>
    <w:p w14:paraId="6A0B787C">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w:t>
      </w:r>
      <w:r>
        <w:rPr>
          <w:rFonts w:hint="eastAsia" w:ascii="Times New Roman" w:hAnsi="Times New Roman" w:eastAsia="仿宋_GB2312" w:cs="仿宋_GB2312"/>
          <w:bCs/>
          <w:sz w:val="32"/>
          <w:szCs w:val="32"/>
          <w:lang w:val="en-US" w:eastAsia="zh-CN"/>
        </w:rPr>
        <w:t>九</w:t>
      </w:r>
      <w:r>
        <w:rPr>
          <w:rFonts w:hint="eastAsia" w:ascii="Times New Roman" w:hAnsi="Times New Roman" w:eastAsia="仿宋_GB2312" w:cs="仿宋_GB2312"/>
          <w:bCs/>
          <w:sz w:val="32"/>
          <w:szCs w:val="32"/>
        </w:rPr>
        <w:t>条 安全要求</w:t>
      </w:r>
    </w:p>
    <w:p w14:paraId="551A2CB8">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9</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1乙方应做好服务的安全防护措施，在涉地铁安全评估技术服务过程中出现的质量事故由</w:t>
      </w:r>
      <w:r>
        <w:rPr>
          <w:rFonts w:hint="eastAsia" w:ascii="Times New Roman" w:hAnsi="Times New Roman" w:eastAsia="仿宋_GB2312" w:cs="仿宋_GB2312"/>
          <w:bCs/>
          <w:sz w:val="32"/>
          <w:szCs w:val="32"/>
          <w:lang w:val="en-US" w:eastAsia="zh-CN"/>
        </w:rPr>
        <w:t>乙方</w:t>
      </w:r>
      <w:r>
        <w:rPr>
          <w:rFonts w:hint="eastAsia" w:ascii="Times New Roman" w:hAnsi="Times New Roman" w:eastAsia="仿宋_GB2312" w:cs="仿宋_GB2312"/>
          <w:bCs/>
          <w:sz w:val="32"/>
          <w:szCs w:val="32"/>
        </w:rPr>
        <w:t>自行承担。</w:t>
      </w:r>
    </w:p>
    <w:p w14:paraId="683274D2">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9</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2乙方必须做好安全防护工作，由于乙方自身的原因导致的质量事故，均由</w:t>
      </w:r>
      <w:r>
        <w:rPr>
          <w:rFonts w:hint="eastAsia" w:ascii="Times New Roman" w:hAnsi="Times New Roman" w:eastAsia="仿宋_GB2312" w:cs="仿宋_GB2312"/>
          <w:bCs/>
          <w:sz w:val="32"/>
          <w:szCs w:val="32"/>
          <w:lang w:val="en-US" w:eastAsia="zh-CN"/>
        </w:rPr>
        <w:t>乙方</w:t>
      </w:r>
      <w:r>
        <w:rPr>
          <w:rFonts w:hint="eastAsia" w:ascii="Times New Roman" w:hAnsi="Times New Roman" w:eastAsia="仿宋_GB2312" w:cs="仿宋_GB2312"/>
          <w:bCs/>
          <w:sz w:val="32"/>
          <w:szCs w:val="32"/>
        </w:rPr>
        <w:t>自行承担。</w:t>
      </w:r>
    </w:p>
    <w:p w14:paraId="524B38A9">
      <w:pPr>
        <w:spacing w:line="600" w:lineRule="exact"/>
        <w:ind w:firstLine="640" w:firstLineChars="200"/>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rPr>
        <w:t>第</w:t>
      </w:r>
      <w:r>
        <w:rPr>
          <w:rFonts w:hint="eastAsia" w:ascii="Times New Roman" w:hAnsi="Times New Roman" w:eastAsia="仿宋_GB2312" w:cs="仿宋_GB2312"/>
          <w:bCs/>
          <w:sz w:val="32"/>
          <w:szCs w:val="32"/>
          <w:lang w:val="en-US" w:eastAsia="zh-CN"/>
        </w:rPr>
        <w:t>十</w:t>
      </w:r>
      <w:r>
        <w:rPr>
          <w:rFonts w:hint="eastAsia" w:ascii="Times New Roman" w:hAnsi="Times New Roman" w:eastAsia="仿宋_GB2312" w:cs="仿宋_GB2312"/>
          <w:bCs/>
          <w:sz w:val="32"/>
          <w:szCs w:val="32"/>
        </w:rPr>
        <w:t xml:space="preserve">条 </w:t>
      </w:r>
      <w:r>
        <w:rPr>
          <w:rFonts w:hint="eastAsia" w:ascii="Times New Roman" w:hAnsi="Times New Roman" w:eastAsia="仿宋_GB2312" w:cs="仿宋_GB2312"/>
          <w:bCs/>
          <w:sz w:val="32"/>
          <w:szCs w:val="32"/>
          <w:lang w:val="en-US" w:eastAsia="zh-CN"/>
        </w:rPr>
        <w:t>合同价款及支付方式</w:t>
      </w:r>
    </w:p>
    <w:p w14:paraId="2AC995A5">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10</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合同价款</w:t>
      </w:r>
    </w:p>
    <w:p w14:paraId="127EA426">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合同价款为包干价</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合同价款（含税）为：</w:t>
      </w:r>
      <w:r>
        <w:rPr>
          <w:rFonts w:hint="eastAsia" w:ascii="Times New Roman" w:hAnsi="Times New Roman" w:eastAsia="仿宋_GB2312" w:cs="宋体"/>
          <w:bCs/>
          <w:sz w:val="32"/>
          <w:szCs w:val="32"/>
        </w:rPr>
        <w:t>¥</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（大写：人民币</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w:t>
      </w:r>
      <w:r>
        <w:rPr>
          <w:rFonts w:hint="eastAsia" w:ascii="Times New Roman" w:hAnsi="Times New Roman" w:eastAsia="仿宋_GB2312" w:cs="仿宋_GB2312"/>
          <w:bCs/>
          <w:sz w:val="32"/>
          <w:szCs w:val="32"/>
        </w:rPr>
        <w:t>。其中，不含增值税合同</w:t>
      </w:r>
      <w:r>
        <w:rPr>
          <w:rFonts w:hint="eastAsia" w:ascii="Times New Roman" w:hAnsi="Times New Roman" w:eastAsia="仿宋_GB2312" w:cs="仿宋_GB2312"/>
          <w:bCs/>
          <w:sz w:val="32"/>
          <w:szCs w:val="32"/>
          <w:lang w:val="en-US" w:eastAsia="zh-CN"/>
        </w:rPr>
        <w:t>价款</w:t>
      </w:r>
      <w:r>
        <w:rPr>
          <w:rFonts w:hint="eastAsia" w:ascii="Times New Roman" w:hAnsi="Times New Roman" w:eastAsia="仿宋_GB2312" w:cs="仿宋_GB2312"/>
          <w:bCs/>
          <w:sz w:val="32"/>
          <w:szCs w:val="32"/>
        </w:rPr>
        <w:t>（含除增值税以外的其他税金）为：</w:t>
      </w:r>
      <w:r>
        <w:rPr>
          <w:rFonts w:hint="eastAsia" w:ascii="Times New Roman" w:hAnsi="Times New Roman" w:eastAsia="仿宋_GB2312" w:cs="宋体"/>
          <w:bCs/>
          <w:sz w:val="32"/>
          <w:szCs w:val="32"/>
        </w:rPr>
        <w:t>¥</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（大写：人民币</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税率为</w:t>
      </w:r>
      <w:r>
        <w:rPr>
          <w:rFonts w:hint="eastAsia" w:ascii="Times New Roman" w:hAnsi="Times New Roman" w:eastAsia="仿宋_GB2312" w:cs="仿宋_GB2312"/>
          <w:bCs/>
          <w:sz w:val="32"/>
          <w:szCs w:val="32"/>
          <w:u w:val="single"/>
          <w:lang w:val="en-US" w:eastAsia="zh-CN"/>
        </w:rPr>
        <w:t xml:space="preserve">    </w:t>
      </w:r>
      <w:r>
        <w:rPr>
          <w:rFonts w:hint="eastAsia" w:ascii="Times New Roman" w:hAnsi="Times New Roman" w:eastAsia="仿宋_GB2312" w:cs="仿宋_GB2312"/>
          <w:bCs/>
          <w:sz w:val="32"/>
          <w:szCs w:val="32"/>
          <w:lang w:val="en-US" w:eastAsia="zh-CN"/>
        </w:rPr>
        <w:t>%，</w:t>
      </w:r>
      <w:r>
        <w:rPr>
          <w:rFonts w:hint="eastAsia" w:ascii="Times New Roman" w:hAnsi="Times New Roman" w:eastAsia="仿宋_GB2312" w:cs="仿宋_GB2312"/>
          <w:bCs/>
          <w:sz w:val="32"/>
          <w:szCs w:val="32"/>
        </w:rPr>
        <w:t>增值税税金为：</w:t>
      </w:r>
      <w:r>
        <w:rPr>
          <w:rFonts w:hint="eastAsia" w:ascii="Times New Roman" w:hAnsi="Times New Roman" w:eastAsia="仿宋_GB2312" w:cs="宋体"/>
          <w:bCs/>
          <w:sz w:val="32"/>
          <w:szCs w:val="32"/>
        </w:rPr>
        <w:t>¥</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（大写：人民币</w:t>
      </w:r>
      <w:r>
        <w:rPr>
          <w:rFonts w:hint="eastAsia" w:ascii="Times New Roman" w:hAnsi="Times New Roman" w:eastAsia="仿宋_GB2312" w:cs="宋体"/>
          <w:bCs/>
          <w:sz w:val="32"/>
          <w:szCs w:val="32"/>
          <w:u w:val="single"/>
          <w:lang w:val="en-US" w:eastAsia="zh-CN"/>
        </w:rPr>
        <w:t xml:space="preserve">         </w:t>
      </w:r>
      <w:r>
        <w:rPr>
          <w:rFonts w:hint="eastAsia" w:ascii="Times New Roman" w:hAnsi="Times New Roman" w:eastAsia="仿宋_GB2312" w:cs="宋体"/>
          <w:bCs/>
          <w:sz w:val="32"/>
          <w:szCs w:val="32"/>
          <w:u w:val="none"/>
          <w:lang w:val="en-US" w:eastAsia="zh-CN"/>
        </w:rPr>
        <w:t>）</w:t>
      </w:r>
      <w:r>
        <w:rPr>
          <w:rFonts w:hint="eastAsia" w:ascii="Times New Roman" w:hAnsi="Times New Roman" w:eastAsia="仿宋_GB2312" w:cs="仿宋_GB2312"/>
          <w:bCs/>
          <w:sz w:val="32"/>
          <w:szCs w:val="32"/>
        </w:rPr>
        <w:t>。该费用包括但不限于人工费、仪器仪具使用费、备件配件、办公费、住宿费、交通费、会务费、专家费、评审费、税金、保险、利润、编制费，基础资料收集、购买费用，现场调查、分析等作业费用，报告成果文件编制费用（含初稿、送审、报批各阶段文稿编制、修改及印刷）等其他一切相关费用（不含其他专题费用）。未经甲方书面同意，乙方无权另行要求其他费用。</w:t>
      </w:r>
    </w:p>
    <w:p w14:paraId="1F6C0B0A">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10</w:t>
      </w:r>
      <w:r>
        <w:rPr>
          <w:rFonts w:ascii="Times New Roman" w:hAnsi="Times New Roman" w:eastAsia="仿宋_GB2312" w:cs="仿宋_GB2312"/>
          <w:bCs/>
          <w:sz w:val="32"/>
          <w:szCs w:val="32"/>
        </w:rPr>
        <w:t>.2</w:t>
      </w:r>
      <w:r>
        <w:rPr>
          <w:rFonts w:hint="eastAsia" w:ascii="Times New Roman" w:hAnsi="Times New Roman" w:eastAsia="仿宋_GB2312" w:cs="仿宋_GB2312"/>
          <w:bCs/>
          <w:sz w:val="32"/>
          <w:szCs w:val="32"/>
        </w:rPr>
        <w:t>支付方式</w:t>
      </w:r>
    </w:p>
    <w:p w14:paraId="32079A10">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乙方</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履行完本合同项下与本项目安全评估报告</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编制</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相关的全部义务，且该报告已通过外部专家评审并取得地铁</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权属单位</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的书面批准后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，可</w:t>
      </w:r>
      <w:r>
        <w:rPr>
          <w:rFonts w:hint="eastAsia" w:ascii="Times New Roman" w:hAnsi="Times New Roman" w:eastAsia="仿宋_GB2312" w:cs="仿宋_GB2312"/>
          <w:color w:val="000000" w:themeColor="text1"/>
          <w:kern w:val="0"/>
          <w:sz w:val="32"/>
          <w:szCs w:val="32"/>
          <w14:textFill>
            <w14:solidFill>
              <w14:schemeClr w14:val="tx1"/>
            </w14:solidFill>
          </w14:textFill>
        </w:rPr>
        <w:t>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甲方</w:t>
      </w:r>
      <w:r>
        <w:rPr>
          <w:rFonts w:hint="eastAsia" w:ascii="Times New Roman" w:hAnsi="Times New Roman" w:eastAsia="仿宋_GB2312" w:cs="仿宋_GB2312"/>
          <w:color w:val="000000" w:themeColor="text1"/>
          <w:kern w:val="0"/>
          <w:sz w:val="32"/>
          <w:szCs w:val="32"/>
          <w14:textFill>
            <w14:solidFill>
              <w14:schemeClr w14:val="tx1"/>
            </w14:solidFill>
          </w14:textFill>
        </w:rPr>
        <w:t>提出支付申请</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申请时，</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乙方</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须同时提交最终成果文件</w:t>
      </w:r>
      <w:r>
        <w:rPr>
          <w:rFonts w:hint="eastAsia" w:ascii="Times New Roman" w:hAnsi="Times New Roman" w:eastAsia="仿宋_GB2312" w:cs="仿宋_GB2312"/>
          <w:i w:val="0"/>
          <w:iCs w:val="0"/>
          <w:caps w:val="0"/>
          <w:color w:val="000000" w:themeColor="text1"/>
          <w:spacing w:val="0"/>
          <w:kern w:val="0"/>
          <w:sz w:val="32"/>
          <w:szCs w:val="32"/>
          <w:shd w:val="clear" w:fill="auto"/>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审批通过的证明文件</w:t>
      </w:r>
      <w:r>
        <w:rPr>
          <w:rFonts w:hint="eastAsia" w:ascii="Times New Roman" w:hAnsi="Times New Roman" w:eastAsia="仿宋_GB2312" w:cs="仿宋_GB2312"/>
          <w:color w:val="000000" w:themeColor="text1"/>
          <w:sz w:val="32"/>
          <w:szCs w:val="32"/>
          <w:shd w:val="clear" w:fill="auto"/>
          <w:lang w:val="en-US" w:eastAsia="zh-CN"/>
          <w14:textFill>
            <w14:solidFill>
              <w14:schemeClr w14:val="tx1"/>
            </w14:solidFill>
          </w14:textFill>
        </w:rPr>
        <w:t>及等额有效的增值税普通发票</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甲方自</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收到</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乙方</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提交的完整且无争议的付款申请</w:t>
      </w:r>
      <w:r>
        <w:rPr>
          <w:rFonts w:hint="eastAsia" w:ascii="Times New Roman" w:hAnsi="Times New Roman" w:eastAsia="仿宋_GB2312" w:cs="仿宋_GB2312"/>
          <w:i w:val="0"/>
          <w:iCs w:val="0"/>
          <w:caps w:val="0"/>
          <w:color w:val="000000" w:themeColor="text1"/>
          <w:spacing w:val="0"/>
          <w:kern w:val="0"/>
          <w:sz w:val="32"/>
          <w:szCs w:val="32"/>
          <w:shd w:val="clear" w:fill="auto"/>
          <w:lang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审批通过的</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证明文件</w:t>
      </w:r>
      <w:r>
        <w:rPr>
          <w:rFonts w:hint="eastAsia" w:ascii="Times New Roman" w:hAnsi="Times New Roman" w:eastAsia="仿宋_GB2312" w:cs="仿宋_GB2312"/>
          <w:color w:val="000000" w:themeColor="text1"/>
          <w:sz w:val="32"/>
          <w:szCs w:val="32"/>
          <w:shd w:val="clear" w:fill="auto"/>
          <w:lang w:val="en-US" w:eastAsia="zh-CN"/>
          <w14:textFill>
            <w14:solidFill>
              <w14:schemeClr w14:val="tx1"/>
            </w14:solidFill>
          </w14:textFill>
        </w:rPr>
        <w:t>及等额有效的增值税普通发票</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之日起45</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个工作日内</w:t>
      </w:r>
      <w:r>
        <w:rPr>
          <w:rFonts w:hint="eastAsia" w:ascii="Times New Roman" w:hAnsi="Times New Roman" w:eastAsia="仿宋_GB2312" w:cs="仿宋_GB2312"/>
          <w:i w:val="0"/>
          <w:iCs w:val="0"/>
          <w:caps w:val="0"/>
          <w:color w:val="000000" w:themeColor="text1"/>
          <w:spacing w:val="0"/>
          <w:kern w:val="0"/>
          <w:sz w:val="32"/>
          <w:szCs w:val="32"/>
          <w:shd w:val="clear" w:fill="auto"/>
          <w:lang w:val="en-US" w:eastAsia="zh-CN"/>
          <w14:textFill>
            <w14:solidFill>
              <w14:schemeClr w14:val="tx1"/>
            </w14:solidFill>
          </w14:textFill>
        </w:rPr>
        <w:t>通知丙方，由丙方或丙方委托甲方</w:t>
      </w:r>
      <w:r>
        <w:rPr>
          <w:rFonts w:hint="eastAsia" w:ascii="Times New Roman" w:hAnsi="Times New Roman" w:eastAsia="仿宋_GB2312" w:cs="仿宋_GB2312"/>
          <w:i w:val="0"/>
          <w:iCs w:val="0"/>
          <w:caps w:val="0"/>
          <w:color w:val="000000" w:themeColor="text1"/>
          <w:spacing w:val="0"/>
          <w:kern w:val="0"/>
          <w:sz w:val="32"/>
          <w:szCs w:val="32"/>
          <w:shd w:val="clear" w:fill="auto"/>
          <w14:textFill>
            <w14:solidFill>
              <w14:schemeClr w14:val="tx1"/>
            </w14:solidFill>
          </w14:textFill>
        </w:rPr>
        <w:t>一次性支付合同全款</w:t>
      </w:r>
      <w:r>
        <w:rPr>
          <w:rFonts w:hint="eastAsia" w:ascii="Times New Roman" w:hAnsi="Times New Roman" w:eastAsia="仿宋_GB2312" w:cs="仿宋_GB2312"/>
          <w:bCs/>
          <w:sz w:val="32"/>
          <w:szCs w:val="32"/>
        </w:rPr>
        <w:t>。</w:t>
      </w:r>
    </w:p>
    <w:p w14:paraId="68AE2CEE">
      <w:pPr>
        <w:spacing w:line="600" w:lineRule="exact"/>
        <w:ind w:firstLine="640" w:firstLineChars="200"/>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sz w:val="32"/>
          <w:szCs w:val="32"/>
          <w:lang w:val="en-US" w:eastAsia="zh-CN"/>
        </w:rPr>
        <w:t>10</w:t>
      </w:r>
      <w:r>
        <w:rPr>
          <w:rFonts w:ascii="Times New Roman" w:hAnsi="Times New Roman" w:eastAsia="仿宋_GB2312" w:cs="仿宋_GB2312"/>
          <w:bCs/>
          <w:sz w:val="32"/>
          <w:szCs w:val="32"/>
        </w:rPr>
        <w:t>.3</w:t>
      </w:r>
      <w:r>
        <w:rPr>
          <w:rFonts w:hint="eastAsia" w:ascii="Times New Roman" w:hAnsi="Times New Roman" w:eastAsia="仿宋_GB2312" w:cs="仿宋_GB2312"/>
          <w:bCs/>
          <w:sz w:val="32"/>
          <w:szCs w:val="32"/>
        </w:rPr>
        <w:t>乙方</w:t>
      </w:r>
      <w:r>
        <w:rPr>
          <w:rFonts w:hint="eastAsia" w:ascii="Times New Roman" w:hAnsi="Times New Roman" w:eastAsia="仿宋_GB2312" w:cs="仿宋_GB2312"/>
          <w:bCs/>
          <w:sz w:val="32"/>
          <w:szCs w:val="32"/>
          <w:lang w:val="en-US" w:eastAsia="zh-CN"/>
        </w:rPr>
        <w:t>收款账户</w:t>
      </w:r>
    </w:p>
    <w:p w14:paraId="7CFE8D7C">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户 </w:t>
      </w:r>
      <w:r>
        <w:rPr>
          <w:rFonts w:ascii="Times New Roman" w:hAnsi="Times New Roman" w:eastAsia="仿宋_GB2312" w:cs="仿宋_GB2312"/>
          <w:bCs/>
          <w:sz w:val="32"/>
          <w:szCs w:val="32"/>
        </w:rPr>
        <w:t xml:space="preserve">   </w:t>
      </w:r>
      <w:r>
        <w:rPr>
          <w:rFonts w:hint="eastAsia" w:ascii="Times New Roman" w:hAnsi="Times New Roman" w:eastAsia="仿宋_GB2312" w:cs="仿宋_GB2312"/>
          <w:bCs/>
          <w:sz w:val="32"/>
          <w:szCs w:val="32"/>
        </w:rPr>
        <w:t>名：</w:t>
      </w:r>
      <w:r>
        <w:rPr>
          <w:rFonts w:hint="eastAsia" w:ascii="Times New Roman" w:hAnsi="Times New Roman" w:eastAsia="仿宋_GB2312" w:cs="仿宋_GB2312"/>
          <w:bCs/>
          <w:sz w:val="32"/>
          <w:szCs w:val="32"/>
          <w:u w:val="single"/>
        </w:rPr>
        <w:t xml:space="preserve"> </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w:t>
      </w:r>
    </w:p>
    <w:p w14:paraId="4C86C4E2">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开户银行：</w:t>
      </w:r>
      <w:r>
        <w:rPr>
          <w:rFonts w:hint="eastAsia" w:ascii="Times New Roman" w:hAnsi="Times New Roman" w:eastAsia="仿宋_GB2312" w:cs="仿宋_GB2312"/>
          <w:bCs/>
          <w:sz w:val="32"/>
          <w:szCs w:val="32"/>
          <w:u w:val="single"/>
        </w:rPr>
        <w:t xml:space="preserve"> </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w:t>
      </w:r>
    </w:p>
    <w:p w14:paraId="693BEF3C">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账    号：</w:t>
      </w:r>
      <w:r>
        <w:rPr>
          <w:rFonts w:hint="eastAsia" w:ascii="Times New Roman" w:hAnsi="Times New Roman" w:eastAsia="仿宋_GB2312" w:cs="仿宋_GB2312"/>
          <w:bCs/>
          <w:sz w:val="32"/>
          <w:szCs w:val="32"/>
          <w:u w:val="single"/>
        </w:rPr>
        <w:t xml:space="preserve"> </w:t>
      </w:r>
      <w:r>
        <w:rPr>
          <w:rFonts w:ascii="Times New Roman" w:hAnsi="Times New Roman" w:eastAsia="仿宋_GB2312" w:cs="仿宋_GB2312"/>
          <w:bCs/>
          <w:sz w:val="32"/>
          <w:szCs w:val="32"/>
          <w:u w:val="single"/>
        </w:rPr>
        <w:t xml:space="preserve">                      </w:t>
      </w:r>
      <w:r>
        <w:rPr>
          <w:rFonts w:hint="eastAsia" w:ascii="Times New Roman" w:hAnsi="Times New Roman" w:eastAsia="仿宋_GB2312" w:cs="仿宋_GB2312"/>
          <w:bCs/>
          <w:sz w:val="32"/>
          <w:szCs w:val="32"/>
        </w:rPr>
        <w:t>。</w:t>
      </w:r>
    </w:p>
    <w:p w14:paraId="3B55C888">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第十</w:t>
      </w:r>
      <w:r>
        <w:rPr>
          <w:rFonts w:hint="eastAsia" w:ascii="Times New Roman" w:hAnsi="Times New Roman" w:eastAsia="仿宋_GB2312" w:cs="仿宋_GB2312"/>
          <w:bCs/>
          <w:sz w:val="32"/>
          <w:szCs w:val="32"/>
          <w:lang w:val="en-US" w:eastAsia="zh-CN"/>
        </w:rPr>
        <w:t>一</w:t>
      </w:r>
      <w:r>
        <w:rPr>
          <w:rFonts w:hint="eastAsia" w:ascii="Times New Roman" w:hAnsi="Times New Roman" w:eastAsia="仿宋_GB2312" w:cs="仿宋_GB2312"/>
          <w:bCs/>
          <w:sz w:val="32"/>
          <w:szCs w:val="32"/>
        </w:rPr>
        <w:t>条 违约责任：</w:t>
      </w:r>
    </w:p>
    <w:p w14:paraId="64FAED49">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乙方违反本合同第</w:t>
      </w:r>
      <w:r>
        <w:rPr>
          <w:rFonts w:hint="eastAsia" w:ascii="Times New Roman" w:hAnsi="Times New Roman" w:eastAsia="仿宋_GB2312" w:cs="仿宋_GB2312"/>
          <w:bCs/>
          <w:sz w:val="32"/>
          <w:szCs w:val="32"/>
          <w:lang w:val="en-US" w:eastAsia="zh-CN"/>
        </w:rPr>
        <w:t>三</w:t>
      </w:r>
      <w:r>
        <w:rPr>
          <w:rFonts w:hint="eastAsia" w:ascii="Times New Roman" w:hAnsi="Times New Roman" w:eastAsia="仿宋_GB2312" w:cs="仿宋_GB2312"/>
          <w:bCs/>
          <w:sz w:val="32"/>
          <w:szCs w:val="32"/>
        </w:rPr>
        <w:t>条约定的期限，每逾期一个日历天应当支付甲方合同价款万分之五的违约金，逾期超过30个日历天，甲方有权单方解除合同，乙方应按合同价款的10%支付违约金，由此给甲方造成的直接和间接损失概由乙方承担。</w:t>
      </w:r>
    </w:p>
    <w:p w14:paraId="096DE83C">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.2</w:t>
      </w:r>
      <w:r>
        <w:rPr>
          <w:rFonts w:hint="eastAsia" w:ascii="Times New Roman" w:hAnsi="Times New Roman" w:eastAsia="仿宋_GB2312" w:cs="仿宋_GB2312"/>
          <w:bCs/>
          <w:sz w:val="32"/>
          <w:szCs w:val="32"/>
        </w:rPr>
        <w:t>因乙方自身原因，安全评估报告验收未能取得</w:t>
      </w:r>
      <w:r>
        <w:rPr>
          <w:rFonts w:hint="eastAsia" w:ascii="Times New Roman" w:hAnsi="Times New Roman" w:eastAsia="仿宋_GB2312" w:cs="仿宋_GB2312"/>
          <w:bCs/>
          <w:sz w:val="32"/>
          <w:szCs w:val="32"/>
          <w:lang w:val="en-US" w:eastAsia="zh-CN"/>
        </w:rPr>
        <w:t>地铁权属单位</w:t>
      </w:r>
      <w:r>
        <w:rPr>
          <w:rFonts w:hint="eastAsia" w:ascii="Times New Roman" w:hAnsi="Times New Roman" w:eastAsia="仿宋_GB2312" w:cs="仿宋_GB2312"/>
          <w:bCs/>
          <w:sz w:val="32"/>
          <w:szCs w:val="32"/>
        </w:rPr>
        <w:t>审批通过的证明文件，乙方应无条件完善相关工作直至通过审批。否则，甲方有权解除合同，并</w:t>
      </w:r>
      <w:r>
        <w:rPr>
          <w:rFonts w:hint="eastAsia" w:ascii="Times New Roman" w:hAnsi="Times New Roman" w:eastAsia="仿宋_GB2312" w:cs="仿宋_GB2312"/>
          <w:bCs/>
          <w:sz w:val="32"/>
          <w:szCs w:val="32"/>
          <w:lang w:val="en-US" w:eastAsia="zh-CN"/>
        </w:rPr>
        <w:t>要求乙方</w:t>
      </w:r>
      <w:r>
        <w:rPr>
          <w:rFonts w:hint="eastAsia" w:ascii="Times New Roman" w:hAnsi="Times New Roman" w:eastAsia="仿宋_GB2312" w:cs="仿宋_GB2312"/>
          <w:bCs/>
          <w:sz w:val="32"/>
          <w:szCs w:val="32"/>
        </w:rPr>
        <w:t>承担合同价款10%的违约金。</w:t>
      </w:r>
    </w:p>
    <w:p w14:paraId="5872E9B0">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.3</w:t>
      </w:r>
      <w:r>
        <w:rPr>
          <w:rFonts w:hint="eastAsia" w:ascii="Times New Roman" w:hAnsi="Times New Roman" w:eastAsia="仿宋_GB2312" w:cs="仿宋_GB2312"/>
          <w:bCs/>
          <w:sz w:val="32"/>
          <w:szCs w:val="32"/>
        </w:rPr>
        <w:t>乙方自身原因要求终止项目，丙方不支付咨询费用，且乙方应支付甲方合同价款10%的违约金，同时偿还丙方已付费用（若有），并承担甲方由此造成的损失。</w:t>
      </w:r>
    </w:p>
    <w:p w14:paraId="53EC6ED5">
      <w:pPr>
        <w:spacing w:line="600" w:lineRule="exact"/>
        <w:ind w:firstLine="640" w:firstLineChars="200"/>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11.4</w:t>
      </w:r>
      <w:r>
        <w:rPr>
          <w:rFonts w:hint="eastAsia" w:ascii="Times New Roman" w:hAnsi="Times New Roman" w:eastAsia="仿宋_GB2312" w:cs="仿宋_GB2312"/>
          <w:bCs/>
          <w:sz w:val="32"/>
          <w:szCs w:val="32"/>
        </w:rPr>
        <w:t>在合同执行期内，如因乙方违规经营或违约并被受查处时，本合同将自动提前终止执行，同时甲方有权要求乙方支付合同价款10%的违约金。</w:t>
      </w:r>
    </w:p>
    <w:p w14:paraId="4B7BDF00">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5</w:t>
      </w:r>
      <w:r>
        <w:rPr>
          <w:rFonts w:hint="eastAsia" w:ascii="Times New Roman" w:hAnsi="Times New Roman" w:eastAsia="仿宋_GB2312" w:cs="仿宋_GB2312"/>
          <w:bCs/>
          <w:sz w:val="32"/>
          <w:szCs w:val="32"/>
        </w:rPr>
        <w:t>如乙方违约，除应承担本合同约定的违约责任外，还应承担甲方或丙方为解决纠纷产生的诉讼费、仲裁费及处理费、律师费、担保费及保全费、执行费、公证费、评估费、拍卖费、差旅费等全部费用。</w:t>
      </w:r>
    </w:p>
    <w:p w14:paraId="2AC56C2D">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6</w:t>
      </w:r>
      <w:r>
        <w:rPr>
          <w:rFonts w:hint="eastAsia" w:ascii="Times New Roman" w:hAnsi="Times New Roman" w:eastAsia="仿宋_GB2312" w:cs="仿宋_GB2312"/>
          <w:bCs/>
          <w:sz w:val="32"/>
          <w:szCs w:val="32"/>
        </w:rPr>
        <w:t>甲方无正当理由中途中断或提前终止合同，</w:t>
      </w:r>
      <w:r>
        <w:rPr>
          <w:rFonts w:hint="eastAsia" w:ascii="Times New Roman" w:hAnsi="Times New Roman" w:eastAsia="仿宋_GB2312" w:cs="仿宋_GB2312"/>
          <w:bCs/>
          <w:sz w:val="32"/>
          <w:szCs w:val="32"/>
          <w:lang w:val="en-US" w:eastAsia="zh-CN"/>
        </w:rPr>
        <w:t>丙方</w:t>
      </w:r>
      <w:r>
        <w:rPr>
          <w:rFonts w:hint="eastAsia" w:ascii="Times New Roman" w:hAnsi="Times New Roman" w:eastAsia="仿宋_GB2312" w:cs="仿宋_GB2312"/>
          <w:bCs/>
          <w:sz w:val="32"/>
          <w:szCs w:val="32"/>
        </w:rPr>
        <w:t>应按照乙方</w:t>
      </w:r>
      <w:r>
        <w:rPr>
          <w:rFonts w:hint="eastAsia" w:ascii="Times New Roman" w:hAnsi="Times New Roman" w:eastAsia="仿宋_GB2312" w:cs="仿宋_GB2312"/>
          <w:bCs/>
          <w:sz w:val="32"/>
          <w:szCs w:val="32"/>
          <w:lang w:val="en-US" w:eastAsia="zh-CN"/>
        </w:rPr>
        <w:t>经甲方认可的</w:t>
      </w:r>
      <w:r>
        <w:rPr>
          <w:rFonts w:hint="eastAsia" w:ascii="Times New Roman" w:hAnsi="Times New Roman" w:eastAsia="仿宋_GB2312" w:cs="仿宋_GB2312"/>
          <w:bCs/>
          <w:sz w:val="32"/>
          <w:szCs w:val="32"/>
        </w:rPr>
        <w:t>已完成工作量支付合同价款，若乙方已完成安全评估报告编制，</w:t>
      </w:r>
      <w:r>
        <w:rPr>
          <w:rFonts w:hint="eastAsia" w:ascii="Times New Roman" w:hAnsi="Times New Roman" w:eastAsia="仿宋_GB2312" w:cs="仿宋_GB2312"/>
          <w:bCs/>
          <w:sz w:val="32"/>
          <w:szCs w:val="32"/>
          <w:lang w:val="en-US" w:eastAsia="zh-CN"/>
        </w:rPr>
        <w:t>丙方</w:t>
      </w:r>
      <w:r>
        <w:rPr>
          <w:rFonts w:hint="eastAsia" w:ascii="Times New Roman" w:hAnsi="Times New Roman" w:eastAsia="仿宋_GB2312" w:cs="仿宋_GB2312"/>
          <w:bCs/>
          <w:sz w:val="32"/>
          <w:szCs w:val="32"/>
        </w:rPr>
        <w:t>应支付乙方合同</w:t>
      </w:r>
      <w:r>
        <w:rPr>
          <w:rFonts w:hint="eastAsia" w:ascii="Times New Roman" w:hAnsi="Times New Roman" w:eastAsia="仿宋_GB2312" w:cs="仿宋_GB2312"/>
          <w:bCs/>
          <w:sz w:val="32"/>
          <w:szCs w:val="32"/>
          <w:lang w:val="en-US" w:eastAsia="zh-CN"/>
        </w:rPr>
        <w:t>价款</w:t>
      </w:r>
      <w:r>
        <w:rPr>
          <w:rFonts w:hint="eastAsia" w:ascii="Times New Roman" w:hAnsi="Times New Roman" w:eastAsia="仿宋_GB2312" w:cs="仿宋_GB2312"/>
          <w:bCs/>
          <w:sz w:val="32"/>
          <w:szCs w:val="32"/>
        </w:rPr>
        <w:t>的50%作为补偿。</w:t>
      </w:r>
    </w:p>
    <w:p w14:paraId="633BDABE">
      <w:pPr>
        <w:spacing w:line="600" w:lineRule="exact"/>
        <w:ind w:firstLine="640" w:firstLineChars="200"/>
        <w:rPr>
          <w:rFonts w:ascii="Times New Roman" w:hAnsi="Times New Roman" w:eastAsia="仿宋_GB2312" w:cs="仿宋_GB2312"/>
          <w:bCs/>
          <w:sz w:val="32"/>
          <w:szCs w:val="32"/>
        </w:rPr>
      </w:pP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1</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7</w:t>
      </w:r>
      <w:r>
        <w:rPr>
          <w:rFonts w:hint="eastAsia" w:ascii="Times New Roman" w:hAnsi="Times New Roman" w:eastAsia="仿宋_GB2312" w:cs="仿宋_GB2312"/>
          <w:bCs/>
          <w:sz w:val="32"/>
          <w:szCs w:val="32"/>
        </w:rPr>
        <w:t>因</w:t>
      </w:r>
      <w:r>
        <w:rPr>
          <w:rFonts w:hint="eastAsia" w:ascii="Times New Roman" w:hAnsi="Times New Roman" w:eastAsia="仿宋_GB2312" w:cs="仿宋_GB2312"/>
          <w:bCs/>
          <w:sz w:val="32"/>
          <w:szCs w:val="32"/>
          <w:lang w:val="en-US" w:eastAsia="zh-CN"/>
        </w:rPr>
        <w:t>丙方</w:t>
      </w:r>
      <w:r>
        <w:rPr>
          <w:rFonts w:hint="eastAsia" w:ascii="Times New Roman" w:hAnsi="Times New Roman" w:eastAsia="仿宋_GB2312" w:cs="仿宋_GB2312"/>
          <w:bCs/>
          <w:sz w:val="32"/>
          <w:szCs w:val="32"/>
        </w:rPr>
        <w:t>自身原因未能按合同约定的时间支付应付合同价款，每逾期</w:t>
      </w:r>
      <w:r>
        <w:rPr>
          <w:rFonts w:hint="eastAsia" w:ascii="Times New Roman" w:hAnsi="Times New Roman" w:eastAsia="仿宋_GB2312" w:cs="仿宋_GB2312"/>
          <w:bCs/>
          <w:sz w:val="32"/>
          <w:szCs w:val="32"/>
          <w:lang w:val="en-US" w:eastAsia="zh-CN"/>
        </w:rPr>
        <w:t>1个日历</w:t>
      </w:r>
      <w:r>
        <w:rPr>
          <w:rFonts w:hint="eastAsia" w:ascii="Times New Roman" w:hAnsi="Times New Roman" w:eastAsia="仿宋_GB2312" w:cs="仿宋_GB2312"/>
          <w:bCs/>
          <w:sz w:val="32"/>
          <w:szCs w:val="32"/>
        </w:rPr>
        <w:t>天按当期应付款的万分之</w:t>
      </w:r>
      <w:r>
        <w:rPr>
          <w:rFonts w:hint="eastAsia" w:ascii="Times New Roman" w:hAnsi="Times New Roman" w:eastAsia="仿宋_GB2312" w:cs="仿宋_GB2312"/>
          <w:bCs/>
          <w:sz w:val="32"/>
          <w:szCs w:val="32"/>
          <w:lang w:val="en-US" w:eastAsia="zh-CN"/>
        </w:rPr>
        <w:t>一</w:t>
      </w:r>
      <w:r>
        <w:rPr>
          <w:rFonts w:hint="eastAsia" w:ascii="Times New Roman" w:hAnsi="Times New Roman" w:eastAsia="仿宋_GB2312" w:cs="仿宋_GB2312"/>
          <w:bCs/>
          <w:sz w:val="32"/>
          <w:szCs w:val="32"/>
        </w:rPr>
        <w:t>向乙方支付违约金，违约金总额不超过本合同总额</w:t>
      </w:r>
      <w:r>
        <w:rPr>
          <w:rFonts w:hint="eastAsia" w:ascii="Times New Roman" w:hAnsi="Times New Roman" w:eastAsia="仿宋_GB2312" w:cs="仿宋_GB2312"/>
          <w:bCs/>
          <w:sz w:val="32"/>
          <w:szCs w:val="32"/>
          <w:lang w:eastAsia="zh-CN"/>
        </w:rPr>
        <w:t>的</w:t>
      </w:r>
      <w:r>
        <w:rPr>
          <w:rFonts w:hint="eastAsia" w:ascii="Times New Roman" w:hAnsi="Times New Roman" w:eastAsia="仿宋_GB2312" w:cs="仿宋_GB2312"/>
          <w:bCs/>
          <w:sz w:val="32"/>
          <w:szCs w:val="32"/>
          <w:lang w:val="en-US" w:eastAsia="zh-CN"/>
        </w:rPr>
        <w:t>5%</w:t>
      </w:r>
      <w:r>
        <w:rPr>
          <w:rFonts w:hint="eastAsia" w:ascii="Times New Roman" w:hAnsi="Times New Roman" w:eastAsia="仿宋_GB2312" w:cs="仿宋_GB2312"/>
          <w:bCs/>
          <w:sz w:val="32"/>
          <w:szCs w:val="32"/>
        </w:rPr>
        <w:t>。</w:t>
      </w:r>
    </w:p>
    <w:p w14:paraId="6A26E993">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第十</w:t>
      </w:r>
      <w:r>
        <w:rPr>
          <w:rFonts w:hint="eastAsia" w:ascii="Times New Roman" w:hAnsi="Times New Roman" w:eastAsia="仿宋_GB2312" w:cs="仿宋_GB2312"/>
          <w:bCs/>
          <w:sz w:val="32"/>
          <w:szCs w:val="32"/>
          <w:lang w:val="en-US" w:eastAsia="zh-CN"/>
        </w:rPr>
        <w:t>二</w:t>
      </w:r>
      <w:r>
        <w:rPr>
          <w:rFonts w:hint="eastAsia" w:ascii="Times New Roman" w:hAnsi="Times New Roman" w:eastAsia="仿宋_GB2312" w:cs="仿宋_GB2312"/>
          <w:bCs/>
          <w:sz w:val="32"/>
          <w:szCs w:val="32"/>
        </w:rPr>
        <w:t>条 本项目所形成的安全评估报告相关资料的知识产权归甲方所有，未经甲方书面许可，乙方不得以任何方式泄露给任何第三方或自行使用。</w:t>
      </w:r>
    </w:p>
    <w:p w14:paraId="71DB9FCA">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第十</w:t>
      </w:r>
      <w:r>
        <w:rPr>
          <w:rFonts w:hint="eastAsia" w:ascii="Times New Roman" w:hAnsi="Times New Roman" w:eastAsia="仿宋_GB2312" w:cs="仿宋_GB2312"/>
          <w:bCs/>
          <w:sz w:val="32"/>
          <w:szCs w:val="32"/>
          <w:lang w:val="en-US" w:eastAsia="zh-CN"/>
        </w:rPr>
        <w:t>三</w:t>
      </w:r>
      <w:r>
        <w:rPr>
          <w:rFonts w:hint="eastAsia" w:ascii="Times New Roman" w:hAnsi="Times New Roman" w:eastAsia="仿宋_GB2312" w:cs="仿宋_GB2312"/>
          <w:bCs/>
          <w:sz w:val="32"/>
          <w:szCs w:val="32"/>
        </w:rPr>
        <w:t>条 乙方应对在合作过程中所获得或知晓的甲方和丙方的资料、技术信息和经营状况保密，在未经甲方或丙方书面许可时，乙方不得将甲方、丙方经营、生产状况及技术资料以任何方式泄露给任何第三方（法规另有规定除外）。</w:t>
      </w:r>
    </w:p>
    <w:p w14:paraId="118DFE19">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第十</w:t>
      </w:r>
      <w:r>
        <w:rPr>
          <w:rFonts w:hint="eastAsia" w:ascii="Times New Roman" w:hAnsi="Times New Roman" w:eastAsia="仿宋_GB2312" w:cs="仿宋_GB2312"/>
          <w:bCs/>
          <w:sz w:val="32"/>
          <w:szCs w:val="32"/>
          <w:lang w:val="en-US" w:eastAsia="zh-CN"/>
        </w:rPr>
        <w:t>四</w:t>
      </w:r>
      <w:r>
        <w:rPr>
          <w:rFonts w:hint="eastAsia" w:ascii="Times New Roman" w:hAnsi="Times New Roman" w:eastAsia="仿宋_GB2312" w:cs="仿宋_GB2312"/>
          <w:bCs/>
          <w:sz w:val="32"/>
          <w:szCs w:val="32"/>
        </w:rPr>
        <w:t>条 合同终止</w:t>
      </w:r>
    </w:p>
    <w:p w14:paraId="0F59C659">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如发现乙方有以下违约行为之一，甲方有权终止本合同，并按有关法律法规追究其相应责任：</w:t>
      </w:r>
    </w:p>
    <w:p w14:paraId="021AFFD4">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4</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提供虚假信息、误导或欺骗甲方，以谋取非法利益；</w:t>
      </w:r>
    </w:p>
    <w:p w14:paraId="6BD433B4">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4</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2拒绝接受甲方及相关部门监督、检查的；</w:t>
      </w:r>
    </w:p>
    <w:p w14:paraId="46D06758">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4</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3出现信用危机、财务危机、生产经营危机甚至破产、倒闭，无法继续履行合同；</w:t>
      </w:r>
    </w:p>
    <w:p w14:paraId="1D3616CF">
      <w:pPr>
        <w:wordWrap w:val="0"/>
        <w:topLinePunct/>
        <w:spacing w:line="600"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4</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4相应资质被降级或吊销的；</w:t>
      </w:r>
    </w:p>
    <w:p w14:paraId="40278FD9">
      <w:pPr>
        <w:wordWrap w:val="0"/>
        <w:topLinePunct/>
        <w:spacing w:line="600" w:lineRule="exact"/>
        <w:ind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4</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rPr>
        <w:t>5擅自将本</w:t>
      </w:r>
      <w:r>
        <w:rPr>
          <w:rFonts w:hint="eastAsia" w:ascii="Times New Roman" w:hAnsi="Times New Roman" w:eastAsia="仿宋_GB2312" w:cs="仿宋_GB2312"/>
          <w:bCs/>
          <w:sz w:val="32"/>
          <w:szCs w:val="32"/>
          <w:lang w:val="en-US" w:eastAsia="zh-CN"/>
        </w:rPr>
        <w:t>合同</w:t>
      </w:r>
      <w:r>
        <w:rPr>
          <w:rFonts w:hint="eastAsia" w:ascii="Times New Roman" w:hAnsi="Times New Roman" w:eastAsia="仿宋_GB2312" w:cs="仿宋_GB2312"/>
          <w:bCs/>
          <w:sz w:val="32"/>
          <w:szCs w:val="32"/>
        </w:rPr>
        <w:t>约定服务转让给任何第三方的。</w:t>
      </w:r>
    </w:p>
    <w:p w14:paraId="48C63CFE">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第十</w:t>
      </w:r>
      <w:r>
        <w:rPr>
          <w:rFonts w:hint="eastAsia" w:ascii="Times New Roman" w:hAnsi="Times New Roman" w:eastAsia="仿宋_GB2312" w:cs="仿宋_GB2312"/>
          <w:bCs/>
          <w:sz w:val="32"/>
          <w:szCs w:val="32"/>
          <w:lang w:val="en-US" w:eastAsia="zh-CN"/>
        </w:rPr>
        <w:t>五</w:t>
      </w:r>
      <w:r>
        <w:rPr>
          <w:rFonts w:hint="eastAsia" w:ascii="Times New Roman" w:hAnsi="Times New Roman" w:eastAsia="仿宋_GB2312" w:cs="仿宋_GB2312"/>
          <w:bCs/>
          <w:sz w:val="32"/>
          <w:szCs w:val="32"/>
        </w:rPr>
        <w:t>条 合同生效及其他</w:t>
      </w:r>
    </w:p>
    <w:p w14:paraId="12F7AE11">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5</w:t>
      </w:r>
      <w:r>
        <w:rPr>
          <w:rFonts w:ascii="Times New Roman" w:hAnsi="Times New Roman" w:eastAsia="仿宋_GB2312" w:cs="仿宋_GB2312"/>
          <w:bCs/>
          <w:sz w:val="32"/>
          <w:szCs w:val="32"/>
        </w:rPr>
        <w:t>.1</w:t>
      </w:r>
      <w:r>
        <w:rPr>
          <w:rFonts w:hint="eastAsia" w:ascii="Times New Roman" w:hAnsi="Times New Roman" w:eastAsia="仿宋_GB2312" w:cs="仿宋_GB2312"/>
          <w:bCs/>
          <w:sz w:val="32"/>
          <w:szCs w:val="32"/>
        </w:rPr>
        <w:t>本合同经三方法定代表人或授权代理人签字盖章后生效，一式陆份，甲方贰份，乙方贰份，丙方贰份。</w:t>
      </w:r>
    </w:p>
    <w:p w14:paraId="63778AB1">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5</w:t>
      </w:r>
      <w:r>
        <w:rPr>
          <w:rFonts w:ascii="Times New Roman" w:hAnsi="Times New Roman" w:eastAsia="仿宋_GB2312" w:cs="仿宋_GB2312"/>
          <w:bCs/>
          <w:sz w:val="32"/>
          <w:szCs w:val="32"/>
        </w:rPr>
        <w:t>.2</w:t>
      </w:r>
      <w:r>
        <w:rPr>
          <w:rFonts w:hint="eastAsia" w:ascii="Times New Roman" w:hAnsi="Times New Roman" w:eastAsia="仿宋_GB2312" w:cs="仿宋_GB2312"/>
          <w:bCs/>
          <w:sz w:val="32"/>
          <w:szCs w:val="32"/>
        </w:rPr>
        <w:t>本合同未尽之事宜，可以经三方协商以补充合同的形式加以补充。补充合同与本合同具有同样的法律效力。</w:t>
      </w:r>
    </w:p>
    <w:p w14:paraId="559FF39D">
      <w:pPr>
        <w:pStyle w:val="9"/>
        <w:spacing w:after="0"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5</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3</w:t>
      </w:r>
      <w:r>
        <w:rPr>
          <w:rFonts w:hint="eastAsia" w:ascii="Times New Roman" w:hAnsi="Times New Roman" w:eastAsia="仿宋_GB2312" w:cs="仿宋_GB2312"/>
          <w:bCs/>
          <w:sz w:val="32"/>
          <w:szCs w:val="32"/>
        </w:rPr>
        <w:t>合同文件及解释顺序</w:t>
      </w:r>
    </w:p>
    <w:p w14:paraId="5128918C">
      <w:p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组成本合同的文件及优先解释顺序如下：</w:t>
      </w:r>
    </w:p>
    <w:p w14:paraId="28645A63">
      <w:pPr>
        <w:numPr>
          <w:ilvl w:val="0"/>
          <w:numId w:val="0"/>
        </w:numPr>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kern w:val="2"/>
          <w:sz w:val="32"/>
          <w:szCs w:val="32"/>
          <w:lang w:val="en-US" w:eastAsia="zh-CN" w:bidi="ar-SA"/>
        </w:rPr>
        <w:t>（1）</w:t>
      </w:r>
      <w:r>
        <w:rPr>
          <w:rFonts w:hint="eastAsia" w:ascii="Times New Roman" w:hAnsi="Times New Roman" w:eastAsia="仿宋_GB2312" w:cs="仿宋_GB2312"/>
          <w:bCs/>
          <w:sz w:val="32"/>
          <w:szCs w:val="32"/>
        </w:rPr>
        <w:t>本合同；</w:t>
      </w:r>
    </w:p>
    <w:p w14:paraId="7EF3FD1E">
      <w:pPr>
        <w:numPr>
          <w:ilvl w:val="0"/>
          <w:numId w:val="0"/>
        </w:numPr>
        <w:spacing w:line="600" w:lineRule="exact"/>
        <w:ind w:firstLine="640" w:firstLineChars="200"/>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kern w:val="2"/>
          <w:sz w:val="32"/>
          <w:szCs w:val="32"/>
          <w:lang w:val="en-US" w:eastAsia="zh-CN" w:bidi="ar-SA"/>
        </w:rPr>
        <w:t>（2）</w:t>
      </w:r>
      <w:r>
        <w:rPr>
          <w:rFonts w:hint="eastAsia" w:ascii="Times New Roman" w:hAnsi="Times New Roman" w:eastAsia="仿宋_GB2312" w:cs="仿宋_GB2312"/>
          <w:bCs/>
          <w:sz w:val="32"/>
          <w:szCs w:val="32"/>
        </w:rPr>
        <w:t>本合同附件。</w:t>
      </w:r>
    </w:p>
    <w:p w14:paraId="6FDE28F3">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5</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4</w:t>
      </w:r>
      <w:r>
        <w:rPr>
          <w:rFonts w:hint="eastAsia" w:ascii="Times New Roman" w:hAnsi="Times New Roman" w:eastAsia="仿宋_GB2312" w:cs="仿宋_GB2312"/>
          <w:bCs/>
          <w:sz w:val="32"/>
          <w:szCs w:val="32"/>
        </w:rPr>
        <w:t>由于不可抗力因素致使合同无法履行时，三方应及时协商解决。</w:t>
      </w:r>
    </w:p>
    <w:p w14:paraId="38D5E79E">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bCs/>
          <w:sz w:val="32"/>
          <w:szCs w:val="32"/>
          <w:lang w:val="en-US" w:eastAsia="zh-CN"/>
        </w:rPr>
        <w:t>5</w:t>
      </w:r>
      <w:r>
        <w:rPr>
          <w:rFonts w:ascii="Times New Roman" w:hAnsi="Times New Roman" w:eastAsia="仿宋_GB2312" w:cs="仿宋_GB2312"/>
          <w:bCs/>
          <w:sz w:val="32"/>
          <w:szCs w:val="32"/>
        </w:rPr>
        <w:t>.</w:t>
      </w:r>
      <w:r>
        <w:rPr>
          <w:rFonts w:hint="eastAsia" w:ascii="Times New Roman" w:hAnsi="Times New Roman" w:eastAsia="仿宋_GB2312" w:cs="仿宋_GB2312"/>
          <w:bCs/>
          <w:sz w:val="32"/>
          <w:szCs w:val="32"/>
          <w:lang w:val="en-US" w:eastAsia="zh-CN"/>
        </w:rPr>
        <w:t>5</w:t>
      </w:r>
      <w:r>
        <w:rPr>
          <w:rFonts w:hint="eastAsia" w:ascii="Times New Roman" w:hAnsi="Times New Roman" w:eastAsia="仿宋_GB2312" w:cs="仿宋_GB2312"/>
          <w:bCs/>
          <w:sz w:val="32"/>
          <w:szCs w:val="32"/>
        </w:rPr>
        <w:t>执行本合同发生争议，当事人应尽力协商解决；若协商不能解决，任何一方有权向合同签订地人民法院提起诉讼。</w:t>
      </w:r>
    </w:p>
    <w:p w14:paraId="3890B928">
      <w:pPr>
        <w:spacing w:line="600" w:lineRule="exact"/>
        <w:ind w:firstLine="640" w:firstLineChars="200"/>
        <w:rPr>
          <w:rFonts w:hint="eastAsia" w:ascii="Times New Roman" w:hAnsi="Times New Roman" w:eastAsia="仿宋_GB2312" w:cs="仿宋_GB2312"/>
          <w:bCs/>
          <w:sz w:val="32"/>
          <w:szCs w:val="32"/>
        </w:rPr>
      </w:pPr>
    </w:p>
    <w:p w14:paraId="513DB937">
      <w:pPr>
        <w:pStyle w:val="5"/>
        <w:spacing w:line="600" w:lineRule="exact"/>
        <w:ind w:firstLine="640" w:firstLineChars="200"/>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附件：1.用户需求书</w:t>
      </w:r>
    </w:p>
    <w:p w14:paraId="26FD2A39">
      <w:pPr>
        <w:pStyle w:val="5"/>
        <w:spacing w:line="600" w:lineRule="exact"/>
        <w:ind w:firstLine="1600" w:firstLineChars="500"/>
        <w:rPr>
          <w:rFonts w:hint="default"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2.阳光合作告知函及回执</w:t>
      </w:r>
    </w:p>
    <w:p w14:paraId="639ECAB3">
      <w:pPr>
        <w:spacing w:line="600" w:lineRule="exact"/>
        <w:ind w:firstLine="640" w:firstLineChars="200"/>
        <w:rPr>
          <w:rFonts w:ascii="仿宋_GB2312" w:hAnsi="仿宋_GB2312" w:eastAsia="仿宋_GB2312" w:cs="仿宋_GB2312"/>
          <w:bCs/>
          <w:sz w:val="32"/>
          <w:szCs w:val="32"/>
        </w:rPr>
      </w:pPr>
    </w:p>
    <w:p w14:paraId="4D4D7D0B">
      <w:pPr>
        <w:spacing w:line="600" w:lineRule="exact"/>
        <w:ind w:firstLine="640" w:firstLineChars="200"/>
        <w:rPr>
          <w:rFonts w:ascii="仿宋_GB2312" w:hAnsi="仿宋_GB2312" w:eastAsia="仿宋_GB2312" w:cs="仿宋_GB2312"/>
          <w:bCs/>
          <w:sz w:val="32"/>
          <w:szCs w:val="32"/>
        </w:rPr>
        <w:sectPr>
          <w:footerReference r:id="rId5" w:type="default"/>
          <w:pgSz w:w="11906" w:h="16838"/>
          <w:pgMar w:top="2098" w:right="1474" w:bottom="1984" w:left="1587" w:header="851" w:footer="992" w:gutter="0"/>
          <w:cols w:space="720" w:num="1"/>
          <w:docGrid w:type="lines" w:linePitch="312" w:charSpace="0"/>
        </w:sectPr>
      </w:pPr>
      <w:r>
        <w:rPr>
          <w:rFonts w:hint="eastAsia" w:ascii="仿宋_GB2312" w:hAnsi="仿宋_GB2312" w:eastAsia="仿宋_GB2312" w:cs="仿宋_GB2312"/>
          <w:bCs/>
          <w:sz w:val="32"/>
          <w:szCs w:val="32"/>
        </w:rPr>
        <w:t>（以下无正文内容，转签署页）</w:t>
      </w:r>
    </w:p>
    <w:p w14:paraId="4770BA15">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甲方：东莞市水务环境投资控股集团建设管理有限公司</w:t>
      </w:r>
    </w:p>
    <w:p w14:paraId="4A9F86FA">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甲方法定代表人</w:t>
      </w:r>
      <w:r>
        <w:rPr>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bCs/>
          <w:sz w:val="32"/>
          <w:szCs w:val="32"/>
        </w:rPr>
        <w:t>或授权代理人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 xml:space="preserve">：         </w:t>
      </w:r>
    </w:p>
    <w:p w14:paraId="650A0C5F">
      <w:pPr>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联系人：                    </w:t>
      </w:r>
    </w:p>
    <w:p w14:paraId="4D897366">
      <w:pPr>
        <w:spacing w:line="520" w:lineRule="exact"/>
        <w:rPr>
          <w:rFonts w:ascii="仿宋_GB2312" w:hAnsi="仿宋_GB2312" w:eastAsia="仿宋_GB2312"/>
          <w:bCs/>
          <w:sz w:val="28"/>
          <w:szCs w:val="30"/>
        </w:rPr>
      </w:pPr>
      <w:r>
        <w:rPr>
          <w:rFonts w:hint="eastAsia" w:ascii="仿宋_GB2312" w:hAnsi="仿宋_GB2312" w:eastAsia="仿宋_GB2312" w:cs="仿宋_GB2312"/>
          <w:bCs/>
          <w:sz w:val="32"/>
          <w:szCs w:val="32"/>
        </w:rPr>
        <w:t xml:space="preserve">联系电话：    </w:t>
      </w:r>
      <w:r>
        <w:rPr>
          <w:rFonts w:hint="eastAsia" w:ascii="仿宋_GB2312" w:hAnsi="仿宋_GB2312" w:eastAsia="仿宋_GB2312"/>
          <w:bCs/>
          <w:sz w:val="28"/>
          <w:szCs w:val="30"/>
        </w:rPr>
        <w:t xml:space="preserve">          </w:t>
      </w:r>
    </w:p>
    <w:p w14:paraId="2D1CF68F">
      <w:pPr>
        <w:spacing w:line="520" w:lineRule="exact"/>
        <w:rPr>
          <w:rFonts w:ascii="仿宋_GB2312" w:hAnsi="仿宋_GB2312" w:eastAsia="仿宋_GB2312"/>
          <w:bCs/>
          <w:sz w:val="28"/>
          <w:szCs w:val="30"/>
        </w:rPr>
      </w:pPr>
    </w:p>
    <w:p w14:paraId="4B2B9202">
      <w:pPr>
        <w:pStyle w:val="73"/>
        <w:ind w:firstLine="420"/>
        <w:rPr>
          <w:rFonts w:ascii="Times New Roman"/>
          <w:lang w:val="en-US"/>
        </w:rPr>
      </w:pPr>
    </w:p>
    <w:p w14:paraId="618D2A32">
      <w:pPr>
        <w:pStyle w:val="73"/>
        <w:ind w:firstLine="420"/>
        <w:rPr>
          <w:rFonts w:ascii="Times New Roman"/>
          <w:lang w:val="en-US"/>
        </w:rPr>
      </w:pPr>
    </w:p>
    <w:p w14:paraId="7F98A756">
      <w:pPr>
        <w:pStyle w:val="73"/>
        <w:ind w:firstLine="0" w:firstLineChars="0"/>
        <w:rPr>
          <w:rFonts w:ascii="Times New Roman" w:eastAsia="仿宋_GB2312"/>
          <w:lang w:val="en-US"/>
        </w:rPr>
      </w:pPr>
      <w:r>
        <w:rPr>
          <w:rFonts w:hint="eastAsia" w:ascii="仿宋_GB2312" w:hAnsi="仿宋_GB2312" w:eastAsia="仿宋_GB2312" w:cs="仿宋_GB2312"/>
          <w:bCs/>
          <w:sz w:val="32"/>
          <w:szCs w:val="32"/>
        </w:rPr>
        <w:t>乙方：</w:t>
      </w:r>
      <w:bookmarkStart w:id="40" w:name="OLE_LINK6"/>
      <w:r>
        <w:rPr>
          <w:rFonts w:hint="eastAsia" w:ascii="仿宋_GB2312" w:hAnsi="仿宋_GB2312" w:eastAsia="仿宋_GB2312" w:cs="仿宋_GB2312"/>
          <w:bCs/>
          <w:sz w:val="32"/>
          <w:szCs w:val="32"/>
        </w:rPr>
        <w:t xml:space="preserve"> </w:t>
      </w:r>
    </w:p>
    <w:bookmarkEnd w:id="40"/>
    <w:p w14:paraId="1E589304">
      <w:pPr>
        <w:pStyle w:val="73"/>
        <w:ind w:firstLine="0" w:firstLineChars="0"/>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rPr>
        <w:t>乙方法定代表人</w:t>
      </w:r>
      <w:r>
        <w:rPr>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bCs/>
          <w:sz w:val="32"/>
          <w:szCs w:val="32"/>
        </w:rPr>
        <w:t>或授权代理人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470CD532">
      <w:pPr>
        <w:pStyle w:val="73"/>
        <w:ind w:firstLine="0" w:firstLineChars="0"/>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rPr>
        <w:t>联系人：</w:t>
      </w:r>
    </w:p>
    <w:p w14:paraId="525BC9B6">
      <w:pPr>
        <w:pStyle w:val="73"/>
        <w:ind w:firstLine="0" w:firstLineChars="0"/>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rPr>
        <w:t>联系电话：</w:t>
      </w:r>
    </w:p>
    <w:p w14:paraId="26563033">
      <w:pPr>
        <w:pStyle w:val="73"/>
        <w:ind w:firstLine="420"/>
        <w:rPr>
          <w:rFonts w:ascii="Times New Roman"/>
          <w:lang w:val="en-US"/>
        </w:rPr>
      </w:pPr>
    </w:p>
    <w:p w14:paraId="5383C947">
      <w:pPr>
        <w:pStyle w:val="73"/>
        <w:ind w:firstLine="420"/>
        <w:rPr>
          <w:rFonts w:ascii="Times New Roman"/>
          <w:lang w:val="en-US"/>
        </w:rPr>
      </w:pPr>
    </w:p>
    <w:p w14:paraId="01CD7DD7">
      <w:pPr>
        <w:pStyle w:val="73"/>
        <w:ind w:firstLine="420"/>
        <w:rPr>
          <w:rFonts w:ascii="Times New Roman"/>
          <w:lang w:val="en-US"/>
        </w:rPr>
      </w:pPr>
    </w:p>
    <w:p w14:paraId="43615ACD">
      <w:pPr>
        <w:spacing w:line="520" w:lineRule="exact"/>
        <w:rPr>
          <w:rFonts w:ascii="仿宋_GB2312" w:hAnsi="仿宋_GB2312" w:eastAsia="仿宋_GB2312"/>
          <w:bCs/>
          <w:sz w:val="32"/>
          <w:szCs w:val="32"/>
        </w:rPr>
      </w:pPr>
      <w:r>
        <w:rPr>
          <w:rFonts w:hint="eastAsia" w:ascii="仿宋_GB2312" w:hAnsi="仿宋_GB2312" w:eastAsia="仿宋_GB2312"/>
          <w:bCs/>
          <w:sz w:val="32"/>
          <w:szCs w:val="32"/>
        </w:rPr>
        <w:t>丙方：东莞市水务环境投资控股集团</w:t>
      </w:r>
      <w:r>
        <w:rPr>
          <w:rFonts w:hint="eastAsia" w:ascii="仿宋_GB2312" w:hAnsi="仿宋_GB2312" w:eastAsia="仿宋_GB2312"/>
          <w:bCs/>
          <w:sz w:val="32"/>
          <w:szCs w:val="32"/>
          <w:lang w:val="en-US" w:eastAsia="zh-CN"/>
        </w:rPr>
        <w:t>供水</w:t>
      </w:r>
      <w:r>
        <w:rPr>
          <w:rFonts w:hint="eastAsia" w:ascii="仿宋_GB2312" w:hAnsi="仿宋_GB2312" w:eastAsia="仿宋_GB2312"/>
          <w:bCs/>
          <w:sz w:val="32"/>
          <w:szCs w:val="32"/>
        </w:rPr>
        <w:t>有限公司</w:t>
      </w:r>
    </w:p>
    <w:p w14:paraId="08E53F13">
      <w:pPr>
        <w:spacing w:line="520" w:lineRule="exact"/>
        <w:rPr>
          <w:rFonts w:ascii="仿宋_GB2312" w:hAnsi="仿宋_GB2312" w:eastAsia="仿宋_GB2312"/>
          <w:bCs/>
          <w:sz w:val="32"/>
          <w:szCs w:val="32"/>
        </w:rPr>
      </w:pPr>
      <w:r>
        <w:rPr>
          <w:rFonts w:hint="eastAsia" w:ascii="仿宋_GB2312" w:hAnsi="仿宋_GB2312" w:eastAsia="仿宋_GB2312"/>
          <w:bCs/>
          <w:sz w:val="32"/>
          <w:szCs w:val="32"/>
        </w:rPr>
        <w:t>丙方</w:t>
      </w:r>
      <w:r>
        <w:rPr>
          <w:rFonts w:hint="eastAsia" w:ascii="仿宋_GB2312" w:hAnsi="仿宋_GB2312" w:eastAsia="仿宋_GB2312" w:cs="仿宋_GB2312"/>
          <w:bCs/>
          <w:sz w:val="32"/>
          <w:szCs w:val="32"/>
        </w:rPr>
        <w:t>法定代表人</w:t>
      </w:r>
      <w:r>
        <w:rPr>
          <w:rFonts w:hint="eastAsia" w:ascii="仿宋_GB2312" w:hAnsi="仿宋_GB2312" w:eastAsia="仿宋_GB2312" w:cs="仿宋_GB2312"/>
          <w:bCs/>
          <w:sz w:val="32"/>
          <w:szCs w:val="32"/>
          <w:lang w:eastAsia="zh-CN"/>
        </w:rPr>
        <w:t>（</w:t>
      </w:r>
      <w:r>
        <w:rPr>
          <w:rFonts w:hint="eastAsia" w:ascii="Times New Roman" w:hAnsi="Times New Roman" w:eastAsia="仿宋_GB2312" w:cs="仿宋_GB2312"/>
          <w:bCs/>
          <w:sz w:val="32"/>
          <w:szCs w:val="32"/>
        </w:rPr>
        <w:t>或授权代理人</w:t>
      </w:r>
      <w:r>
        <w:rPr>
          <w:rFonts w:hint="eastAsia" w:ascii="仿宋_GB2312" w:hAnsi="仿宋_GB2312" w:eastAsia="仿宋_GB2312" w:cs="仿宋_GB2312"/>
          <w:bCs/>
          <w:sz w:val="32"/>
          <w:szCs w:val="32"/>
          <w:lang w:eastAsia="zh-CN"/>
        </w:rPr>
        <w:t>）</w:t>
      </w:r>
      <w:r>
        <w:rPr>
          <w:rFonts w:hint="eastAsia" w:ascii="仿宋_GB2312" w:hAnsi="仿宋_GB2312" w:eastAsia="仿宋_GB2312"/>
          <w:bCs/>
          <w:sz w:val="32"/>
          <w:szCs w:val="32"/>
        </w:rPr>
        <w:t>：</w:t>
      </w:r>
    </w:p>
    <w:p w14:paraId="5DB162CA">
      <w:pPr>
        <w:spacing w:line="520" w:lineRule="exact"/>
        <w:rPr>
          <w:rFonts w:ascii="仿宋_GB2312" w:hAnsi="仿宋_GB2312" w:eastAsia="仿宋_GB2312"/>
          <w:bCs/>
          <w:sz w:val="32"/>
          <w:szCs w:val="32"/>
        </w:rPr>
      </w:pPr>
      <w:r>
        <w:rPr>
          <w:rFonts w:hint="eastAsia" w:ascii="仿宋_GB2312" w:hAnsi="仿宋_GB2312" w:eastAsia="仿宋_GB2312"/>
          <w:bCs/>
          <w:sz w:val="32"/>
          <w:szCs w:val="32"/>
        </w:rPr>
        <w:t>联系人：</w:t>
      </w:r>
    </w:p>
    <w:p w14:paraId="7927C3A2">
      <w:pPr>
        <w:spacing w:line="520" w:lineRule="exact"/>
        <w:rPr>
          <w:rFonts w:ascii="仿宋_GB2312" w:hAnsi="仿宋_GB2312" w:eastAsia="仿宋_GB2312"/>
          <w:bCs/>
          <w:sz w:val="32"/>
          <w:szCs w:val="32"/>
        </w:rPr>
      </w:pPr>
      <w:r>
        <w:rPr>
          <w:rFonts w:hint="eastAsia" w:ascii="仿宋_GB2312" w:hAnsi="仿宋_GB2312" w:eastAsia="仿宋_GB2312"/>
          <w:bCs/>
          <w:sz w:val="32"/>
          <w:szCs w:val="32"/>
        </w:rPr>
        <w:t>联系电话：</w:t>
      </w:r>
    </w:p>
    <w:p w14:paraId="05891F68">
      <w:pPr>
        <w:pStyle w:val="73"/>
        <w:ind w:firstLine="420"/>
        <w:rPr>
          <w:rFonts w:ascii="Times New Roman"/>
          <w:lang w:val="en-US"/>
        </w:rPr>
      </w:pPr>
    </w:p>
    <w:p w14:paraId="78868E80">
      <w:pPr>
        <w:pStyle w:val="73"/>
        <w:ind w:firstLine="420"/>
        <w:rPr>
          <w:rFonts w:ascii="Times New Roman"/>
          <w:lang w:val="en-US"/>
        </w:rPr>
      </w:pPr>
    </w:p>
    <w:p w14:paraId="5D15CDC4">
      <w:pPr>
        <w:pStyle w:val="73"/>
        <w:ind w:firstLine="420"/>
        <w:rPr>
          <w:rFonts w:ascii="Times New Roman"/>
          <w:lang w:val="en-US"/>
        </w:rPr>
      </w:pPr>
    </w:p>
    <w:p w14:paraId="2883CF6A">
      <w:pPr>
        <w:pStyle w:val="73"/>
        <w:ind w:firstLine="420"/>
        <w:rPr>
          <w:rFonts w:ascii="Times New Roman"/>
          <w:lang w:val="en-US"/>
        </w:rPr>
      </w:pPr>
    </w:p>
    <w:p w14:paraId="63B8EEF8">
      <w:pPr>
        <w:pStyle w:val="73"/>
        <w:ind w:firstLine="420"/>
        <w:rPr>
          <w:rFonts w:ascii="Times New Roman"/>
          <w:lang w:val="en-US"/>
        </w:rPr>
      </w:pPr>
    </w:p>
    <w:p w14:paraId="48B49BA6">
      <w:pPr>
        <w:pStyle w:val="73"/>
        <w:ind w:firstLine="420"/>
        <w:rPr>
          <w:rFonts w:ascii="Times New Roman"/>
          <w:lang w:val="en-US"/>
        </w:rPr>
      </w:pPr>
    </w:p>
    <w:p w14:paraId="53C41D4C">
      <w:pPr>
        <w:pStyle w:val="73"/>
        <w:ind w:firstLine="420"/>
        <w:rPr>
          <w:rFonts w:ascii="Times New Roman"/>
          <w:lang w:val="en-US"/>
        </w:rPr>
      </w:pPr>
    </w:p>
    <w:p w14:paraId="25A4DF54">
      <w:pPr>
        <w:pStyle w:val="73"/>
        <w:ind w:firstLine="420"/>
        <w:rPr>
          <w:rFonts w:ascii="Times New Roman"/>
          <w:lang w:val="en-US"/>
        </w:rPr>
      </w:pPr>
    </w:p>
    <w:p w14:paraId="41185083">
      <w:pPr>
        <w:pStyle w:val="73"/>
        <w:ind w:firstLine="420"/>
        <w:rPr>
          <w:rFonts w:ascii="Times New Roman"/>
          <w:lang w:val="en-US"/>
        </w:rPr>
      </w:pPr>
    </w:p>
    <w:p w14:paraId="5CD597DE">
      <w:pPr>
        <w:pStyle w:val="73"/>
        <w:ind w:firstLine="420"/>
        <w:rPr>
          <w:rFonts w:ascii="Times New Roman"/>
          <w:lang w:val="en-US"/>
        </w:rPr>
      </w:pPr>
    </w:p>
    <w:p w14:paraId="092FF72B">
      <w:pPr>
        <w:pStyle w:val="73"/>
        <w:ind w:firstLine="420"/>
        <w:rPr>
          <w:rFonts w:ascii="Times New Roman"/>
          <w:lang w:val="en-US"/>
        </w:rPr>
      </w:pPr>
    </w:p>
    <w:p w14:paraId="5CE6C884">
      <w:pPr>
        <w:spacing w:after="156" w:line="580" w:lineRule="exact"/>
        <w:jc w:val="left"/>
        <w:rPr>
          <w:rFonts w:eastAsia="方正小标宋简体" w:cs="Times New Roman"/>
          <w:bCs/>
          <w:color w:val="000000"/>
          <w:sz w:val="44"/>
          <w:szCs w:val="44"/>
        </w:rPr>
      </w:pPr>
      <w:r>
        <w:rPr>
          <w:rFonts w:eastAsia="方正小标宋简体" w:cs="Times New Roman"/>
          <w:bCs/>
          <w:color w:val="000000"/>
          <w:sz w:val="44"/>
          <w:szCs w:val="44"/>
        </w:rPr>
        <w:br w:type="page"/>
      </w:r>
    </w:p>
    <w:p w14:paraId="20DF0385">
      <w:pPr>
        <w:spacing w:after="156" w:line="580" w:lineRule="exact"/>
        <w:jc w:val="left"/>
        <w:rPr>
          <w:rFonts w:eastAsia="方正小标宋简体" w:cs="Times New Roman"/>
          <w:bCs/>
          <w:color w:val="000000"/>
          <w:sz w:val="44"/>
          <w:szCs w:val="44"/>
        </w:rPr>
      </w:pPr>
      <w:r>
        <w:rPr>
          <w:rFonts w:hint="eastAsia" w:ascii="Times New Roman" w:hAnsi="Times New Roman" w:eastAsia="仿宋_GB2312" w:cs="仿宋_GB2312"/>
          <w:bCs/>
          <w:sz w:val="32"/>
          <w:szCs w:val="32"/>
          <w:lang w:val="en-US" w:eastAsia="zh-CN"/>
        </w:rPr>
        <w:t>附件1用户需求书（见询价文件第二章）</w:t>
      </w:r>
    </w:p>
    <w:p w14:paraId="54668323">
      <w:pPr>
        <w:spacing w:after="156" w:line="580" w:lineRule="exact"/>
        <w:jc w:val="left"/>
        <w:rPr>
          <w:rFonts w:eastAsia="方正小标宋简体" w:cs="Times New Roman"/>
          <w:bCs/>
          <w:color w:val="000000"/>
          <w:sz w:val="44"/>
          <w:szCs w:val="44"/>
        </w:rPr>
      </w:pPr>
    </w:p>
    <w:p w14:paraId="2E3F8B90">
      <w:pPr>
        <w:spacing w:after="156" w:line="580" w:lineRule="exact"/>
        <w:jc w:val="left"/>
        <w:rPr>
          <w:rFonts w:hint="eastAsia"/>
          <w:sz w:val="28"/>
          <w:szCs w:val="24"/>
        </w:rPr>
      </w:pPr>
    </w:p>
    <w:p w14:paraId="652D37E2">
      <w:pPr>
        <w:spacing w:after="156" w:line="580" w:lineRule="exact"/>
        <w:jc w:val="left"/>
        <w:rPr>
          <w:rFonts w:hint="eastAsia"/>
          <w:sz w:val="28"/>
          <w:szCs w:val="24"/>
        </w:rPr>
      </w:pPr>
    </w:p>
    <w:p w14:paraId="12C19B0B">
      <w:pPr>
        <w:spacing w:after="156" w:line="580" w:lineRule="exact"/>
        <w:jc w:val="left"/>
        <w:rPr>
          <w:rFonts w:hint="eastAsia"/>
          <w:sz w:val="28"/>
          <w:szCs w:val="24"/>
        </w:rPr>
      </w:pPr>
    </w:p>
    <w:p w14:paraId="1F078FA8">
      <w:pPr>
        <w:spacing w:after="156" w:line="580" w:lineRule="exact"/>
        <w:jc w:val="left"/>
        <w:rPr>
          <w:rFonts w:hint="eastAsia"/>
          <w:sz w:val="28"/>
          <w:szCs w:val="24"/>
        </w:rPr>
      </w:pPr>
    </w:p>
    <w:p w14:paraId="32642D7A">
      <w:pPr>
        <w:spacing w:after="156" w:line="580" w:lineRule="exact"/>
        <w:jc w:val="left"/>
        <w:rPr>
          <w:rFonts w:hint="eastAsia"/>
          <w:sz w:val="28"/>
          <w:szCs w:val="24"/>
        </w:rPr>
      </w:pPr>
    </w:p>
    <w:p w14:paraId="6DE4A446">
      <w:pPr>
        <w:spacing w:after="156" w:line="580" w:lineRule="exact"/>
        <w:jc w:val="left"/>
        <w:rPr>
          <w:rFonts w:hint="eastAsia"/>
          <w:sz w:val="28"/>
          <w:szCs w:val="24"/>
        </w:rPr>
      </w:pPr>
    </w:p>
    <w:p w14:paraId="1E4994DD">
      <w:pPr>
        <w:spacing w:after="156" w:line="580" w:lineRule="exact"/>
        <w:jc w:val="left"/>
        <w:rPr>
          <w:rFonts w:hint="eastAsia"/>
          <w:sz w:val="28"/>
          <w:szCs w:val="24"/>
        </w:rPr>
      </w:pPr>
    </w:p>
    <w:p w14:paraId="32A8CB2C">
      <w:pPr>
        <w:spacing w:after="156" w:line="580" w:lineRule="exact"/>
        <w:jc w:val="left"/>
        <w:rPr>
          <w:rFonts w:hint="eastAsia"/>
          <w:sz w:val="28"/>
          <w:szCs w:val="24"/>
        </w:rPr>
      </w:pPr>
    </w:p>
    <w:p w14:paraId="58C83E0B">
      <w:pPr>
        <w:spacing w:after="156" w:line="580" w:lineRule="exact"/>
        <w:jc w:val="left"/>
        <w:rPr>
          <w:rFonts w:hint="eastAsia"/>
          <w:sz w:val="28"/>
          <w:szCs w:val="24"/>
        </w:rPr>
      </w:pPr>
    </w:p>
    <w:p w14:paraId="758B0979">
      <w:pPr>
        <w:spacing w:after="156" w:line="580" w:lineRule="exact"/>
        <w:jc w:val="left"/>
        <w:rPr>
          <w:rFonts w:hint="eastAsia"/>
          <w:sz w:val="28"/>
          <w:szCs w:val="24"/>
        </w:rPr>
      </w:pPr>
    </w:p>
    <w:p w14:paraId="205606D0">
      <w:pPr>
        <w:spacing w:after="156" w:line="580" w:lineRule="exact"/>
        <w:jc w:val="left"/>
        <w:rPr>
          <w:rFonts w:hint="eastAsia"/>
          <w:sz w:val="28"/>
          <w:szCs w:val="24"/>
        </w:rPr>
      </w:pPr>
    </w:p>
    <w:p w14:paraId="26DD9A3C">
      <w:pPr>
        <w:spacing w:after="156" w:line="580" w:lineRule="exact"/>
        <w:jc w:val="left"/>
        <w:rPr>
          <w:rFonts w:hint="eastAsia"/>
          <w:sz w:val="28"/>
          <w:szCs w:val="24"/>
        </w:rPr>
      </w:pPr>
    </w:p>
    <w:p w14:paraId="5507894A">
      <w:pPr>
        <w:spacing w:after="156" w:line="580" w:lineRule="exact"/>
        <w:jc w:val="left"/>
        <w:rPr>
          <w:rFonts w:hint="eastAsia"/>
          <w:sz w:val="28"/>
          <w:szCs w:val="24"/>
        </w:rPr>
      </w:pPr>
    </w:p>
    <w:p w14:paraId="774EE78D">
      <w:pPr>
        <w:spacing w:after="156" w:line="580" w:lineRule="exact"/>
        <w:jc w:val="left"/>
        <w:rPr>
          <w:rFonts w:hint="eastAsia"/>
          <w:sz w:val="28"/>
          <w:szCs w:val="24"/>
        </w:rPr>
      </w:pPr>
    </w:p>
    <w:p w14:paraId="160BC2C5">
      <w:pPr>
        <w:spacing w:after="156" w:line="580" w:lineRule="exact"/>
        <w:jc w:val="left"/>
        <w:rPr>
          <w:rFonts w:hint="eastAsia"/>
          <w:sz w:val="28"/>
          <w:szCs w:val="24"/>
        </w:rPr>
      </w:pPr>
    </w:p>
    <w:p w14:paraId="62A679A3">
      <w:pPr>
        <w:spacing w:after="156" w:line="580" w:lineRule="exact"/>
        <w:jc w:val="left"/>
        <w:rPr>
          <w:rFonts w:hint="eastAsia"/>
          <w:sz w:val="28"/>
          <w:szCs w:val="24"/>
        </w:rPr>
      </w:pPr>
    </w:p>
    <w:p w14:paraId="1DA828D4">
      <w:pPr>
        <w:spacing w:after="156" w:line="580" w:lineRule="exact"/>
        <w:jc w:val="left"/>
        <w:rPr>
          <w:rFonts w:hint="eastAsia"/>
          <w:sz w:val="28"/>
          <w:szCs w:val="24"/>
        </w:rPr>
      </w:pPr>
    </w:p>
    <w:p w14:paraId="1029E618">
      <w:pPr>
        <w:spacing w:after="156" w:line="580" w:lineRule="exact"/>
        <w:jc w:val="left"/>
        <w:rPr>
          <w:rFonts w:hint="eastAsia" w:eastAsia="宋体"/>
          <w:sz w:val="28"/>
          <w:szCs w:val="24"/>
          <w:lang w:eastAsia="zh-CN"/>
        </w:rPr>
      </w:pPr>
      <w:r>
        <w:rPr>
          <w:rFonts w:hint="eastAsia" w:ascii="Times New Roman" w:hAnsi="Times New Roman" w:eastAsia="仿宋_GB2312"/>
          <w:sz w:val="32"/>
          <w:szCs w:val="24"/>
        </w:rPr>
        <w:t>附件</w:t>
      </w:r>
      <w:r>
        <w:rPr>
          <w:rFonts w:hint="eastAsia" w:ascii="Times New Roman" w:hAnsi="Times New Roman" w:eastAsia="仿宋_GB2312"/>
          <w:sz w:val="32"/>
          <w:szCs w:val="24"/>
          <w:lang w:val="en-US" w:eastAsia="zh-CN"/>
        </w:rPr>
        <w:t>2</w:t>
      </w:r>
    </w:p>
    <w:p w14:paraId="326CE669">
      <w:pPr>
        <w:spacing w:after="156" w:line="580" w:lineRule="exact"/>
        <w:jc w:val="center"/>
        <w:rPr>
          <w:b/>
          <w:sz w:val="28"/>
          <w:szCs w:val="24"/>
        </w:rPr>
      </w:pPr>
      <w:r>
        <w:rPr>
          <w:rFonts w:hint="eastAsia" w:ascii="Times New Roman" w:hAnsi="Times New Roman" w:eastAsia="方正小标宋简体"/>
          <w:sz w:val="44"/>
          <w:szCs w:val="24"/>
        </w:rPr>
        <w:t>阳光合作告知函</w:t>
      </w:r>
    </w:p>
    <w:p w14:paraId="16D00CC2">
      <w:pPr>
        <w:spacing w:after="156" w:line="400" w:lineRule="exact"/>
        <w:rPr>
          <w:rFonts w:hint="eastAsia" w:eastAsia="宋体"/>
          <w:b/>
          <w:sz w:val="28"/>
          <w:szCs w:val="24"/>
          <w:lang w:eastAsia="zh-CN"/>
        </w:rPr>
      </w:pPr>
      <w:r>
        <w:rPr>
          <w:rFonts w:hint="eastAsia"/>
          <w:b/>
          <w:sz w:val="28"/>
          <w:szCs w:val="24"/>
        </w:rPr>
        <w:t>项目名称：滨海湾新区苗涌东侧规划次</w:t>
      </w:r>
      <w:r>
        <w:rPr>
          <w:rFonts w:hint="eastAsia"/>
          <w:b/>
          <w:sz w:val="28"/>
          <w:szCs w:val="24"/>
          <w:lang w:val="en-US" w:eastAsia="zh-CN"/>
        </w:rPr>
        <w:t>干</w:t>
      </w:r>
      <w:r>
        <w:rPr>
          <w:rFonts w:hint="eastAsia"/>
          <w:b/>
          <w:sz w:val="28"/>
          <w:szCs w:val="24"/>
        </w:rPr>
        <w:t>路配套给水工程</w:t>
      </w:r>
      <w:r>
        <w:rPr>
          <w:rFonts w:hint="eastAsia"/>
          <w:b/>
          <w:sz w:val="28"/>
          <w:szCs w:val="24"/>
          <w:lang w:eastAsia="zh-CN"/>
        </w:rPr>
        <w:t>（</w:t>
      </w:r>
      <w:r>
        <w:rPr>
          <w:rFonts w:hint="eastAsia"/>
          <w:b/>
          <w:sz w:val="28"/>
          <w:szCs w:val="24"/>
        </w:rPr>
        <w:t>含交椅湾板块连通管工程</w:t>
      </w:r>
      <w:r>
        <w:rPr>
          <w:rFonts w:hint="eastAsia"/>
          <w:b/>
          <w:sz w:val="28"/>
          <w:szCs w:val="24"/>
          <w:lang w:eastAsia="zh-CN"/>
        </w:rPr>
        <w:t>）</w:t>
      </w:r>
      <w:r>
        <w:rPr>
          <w:rFonts w:hint="eastAsia"/>
          <w:b/>
          <w:sz w:val="28"/>
          <w:szCs w:val="24"/>
        </w:rPr>
        <w:t>涉地铁2号线安全评估报告编制</w:t>
      </w:r>
      <w:r>
        <w:rPr>
          <w:rFonts w:hint="eastAsia"/>
          <w:b/>
          <w:sz w:val="28"/>
          <w:szCs w:val="24"/>
          <w:lang w:eastAsia="zh-CN"/>
        </w:rPr>
        <w:t>（</w:t>
      </w:r>
      <w:r>
        <w:rPr>
          <w:rFonts w:hint="eastAsia"/>
          <w:b/>
          <w:sz w:val="28"/>
          <w:szCs w:val="24"/>
          <w:lang w:val="en-US" w:eastAsia="zh-CN"/>
        </w:rPr>
        <w:t>采购编号：</w:t>
      </w:r>
      <w:r>
        <w:rPr>
          <w:rFonts w:hint="eastAsia"/>
          <w:b/>
          <w:sz w:val="28"/>
          <w:szCs w:val="24"/>
        </w:rPr>
        <w:t>2025-CG-033</w:t>
      </w:r>
      <w:r>
        <w:rPr>
          <w:rFonts w:hint="eastAsia"/>
          <w:b/>
          <w:sz w:val="28"/>
          <w:szCs w:val="24"/>
          <w:lang w:eastAsia="zh-CN"/>
        </w:rPr>
        <w:t>）</w:t>
      </w:r>
    </w:p>
    <w:p w14:paraId="1D13DDE5">
      <w:pPr>
        <w:ind w:firstLine="1120" w:firstLineChars="400"/>
        <w:rPr>
          <w:rFonts w:ascii="仿宋_GB2312" w:hAnsi="Times New Roman" w:eastAsia="仿宋_GB2312"/>
          <w:sz w:val="28"/>
          <w:szCs w:val="28"/>
        </w:rPr>
      </w:pPr>
      <w:r>
        <w:rPr>
          <w:rFonts w:hint="eastAsia" w:ascii="仿宋_GB2312" w:hAnsi="Times New Roman" w:eastAsia="仿宋_GB2312"/>
          <w:sz w:val="28"/>
          <w:szCs w:val="28"/>
        </w:rPr>
        <w:t>公司：</w:t>
      </w:r>
    </w:p>
    <w:p w14:paraId="25919FA1">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为保证我公司人员廉洁从业，规范和鼓励诚信交易行为，防止腐败和商业贿赂发生，推动双方建立阳光合作关系，现将我方推行阳光合作的相关管理规定函告如下：</w:t>
      </w:r>
    </w:p>
    <w:p w14:paraId="5EA5B0AA">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14:paraId="1577470C">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14:paraId="1BED504F">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14:paraId="7A2E9BF8">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14:paraId="69227EEA">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14:paraId="6B6BC0BB">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14:paraId="1FCDAB17">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财物”），不得参加贵方提供的旅游或其他可能影响职务廉洁的活动；</w:t>
      </w:r>
    </w:p>
    <w:p w14:paraId="30294D39">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14:paraId="3B846291">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14:paraId="60C62CDD">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14:paraId="2DB41279">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14:paraId="70356CEB">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14:paraId="4CA05FB8">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14:paraId="3F84E27F">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八、贵方投诉举报的情况，经查证属实，我方将视情节轻重和影响恶劣程度对相关人员进行内部处理；构成犯罪的，依法移送司法机关处置，并将调查结果及时向贵方反馈。</w:t>
      </w:r>
    </w:p>
    <w:p w14:paraId="67F1F501">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14:paraId="48512385">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14:paraId="6BCC7E54">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w:t>
      </w:r>
      <w:bookmarkStart w:id="41" w:name="OLE_LINK1"/>
      <w:r>
        <w:rPr>
          <w:rFonts w:hint="eastAsia" w:ascii="仿宋_GB2312" w:hAnsi="Times New Roman" w:eastAsia="仿宋_GB2312"/>
          <w:sz w:val="28"/>
          <w:szCs w:val="28"/>
        </w:rPr>
        <w:t>其他</w:t>
      </w:r>
    </w:p>
    <w:p w14:paraId="1F1754A1">
      <w:pPr>
        <w:pStyle w:val="71"/>
        <w:adjustRightInd/>
        <w:spacing w:after="156" w:line="4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bookmarkEnd w:id="41"/>
    <w:p w14:paraId="5D165E8E">
      <w:pPr>
        <w:pStyle w:val="71"/>
        <w:adjustRightInd/>
        <w:spacing w:after="156" w:line="40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14:paraId="3E366506">
      <w:pPr>
        <w:pStyle w:val="71"/>
        <w:adjustRightInd/>
        <w:spacing w:after="156" w:line="400" w:lineRule="exact"/>
        <w:ind w:firstLine="562" w:firstLineChars="200"/>
        <w:rPr>
          <w:rFonts w:hint="eastAsia" w:ascii="Times New Roman" w:hAnsi="Times New Roman" w:eastAsia="仿宋_GB2312" w:cs="Times New Roman"/>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投诉举报受理部门：</w:t>
      </w:r>
      <w:r>
        <w:rPr>
          <w:rFonts w:hint="eastAsia" w:ascii="Times New Roman" w:hAnsi="Times New Roman" w:eastAsia="仿宋_GB2312" w:cs="Times New Roman"/>
          <w:sz w:val="28"/>
          <w:szCs w:val="28"/>
          <w:lang w:eastAsia="zh-CN"/>
        </w:rPr>
        <w:t>东莞市水务环境投资控股集团有限公司纪检监察部；</w:t>
      </w:r>
    </w:p>
    <w:p w14:paraId="47CE5F30">
      <w:pPr>
        <w:pStyle w:val="71"/>
        <w:adjustRightInd/>
        <w:spacing w:after="156" w:line="4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2.</w:t>
      </w:r>
      <w:r>
        <w:rPr>
          <w:rFonts w:hint="eastAsia" w:ascii="Times New Roman" w:hAnsi="Times New Roman" w:eastAsia="仿宋_GB2312"/>
          <w:b/>
          <w:sz w:val="28"/>
          <w:szCs w:val="28"/>
        </w:rPr>
        <w:t>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28823293（星期一至星期五：8:30-17:30）；</w:t>
      </w:r>
    </w:p>
    <w:p w14:paraId="53267D44">
      <w:pPr>
        <w:pStyle w:val="71"/>
        <w:adjustRightInd/>
        <w:spacing w:after="156" w:line="4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3.</w:t>
      </w:r>
      <w:r>
        <w:rPr>
          <w:rFonts w:hint="eastAsia" w:ascii="Times New Roman" w:hAnsi="Times New Roman" w:eastAsia="仿宋_GB2312"/>
          <w:b/>
          <w:sz w:val="28"/>
          <w:szCs w:val="28"/>
        </w:rPr>
        <w:t>联系地址：</w:t>
      </w:r>
      <w:r>
        <w:rPr>
          <w:rFonts w:hint="eastAsia" w:ascii="Times New Roman" w:hAnsi="Times New Roman" w:eastAsia="仿宋_GB2312"/>
          <w:sz w:val="28"/>
          <w:szCs w:val="28"/>
        </w:rPr>
        <w:t>东莞市东城街道育华路1号；</w:t>
      </w:r>
    </w:p>
    <w:p w14:paraId="06A088D3">
      <w:pPr>
        <w:pStyle w:val="71"/>
        <w:adjustRightInd/>
        <w:spacing w:after="156" w:line="4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4.</w:t>
      </w:r>
      <w:r>
        <w:rPr>
          <w:rFonts w:hint="eastAsia" w:ascii="Times New Roman" w:hAnsi="Times New Roman" w:eastAsia="仿宋_GB2312"/>
          <w:b/>
          <w:sz w:val="28"/>
          <w:szCs w:val="28"/>
        </w:rPr>
        <w:t>邮编：</w:t>
      </w:r>
      <w:r>
        <w:rPr>
          <w:rFonts w:hint="eastAsia" w:ascii="Times New Roman" w:hAnsi="Times New Roman" w:eastAsia="仿宋_GB2312"/>
          <w:sz w:val="28"/>
          <w:szCs w:val="28"/>
        </w:rPr>
        <w:t>523000。</w:t>
      </w:r>
    </w:p>
    <w:p w14:paraId="57ADC870">
      <w:pPr>
        <w:pStyle w:val="71"/>
        <w:adjustRightInd/>
        <w:spacing w:after="156" w:line="4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让我们共同为建立健康、公平的商业秩序和实现双赢而努力。</w:t>
      </w:r>
    </w:p>
    <w:p w14:paraId="40EF5CF6">
      <w:pPr>
        <w:pStyle w:val="71"/>
        <w:adjustRightInd/>
        <w:spacing w:after="156" w:line="4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特此致函。</w:t>
      </w:r>
    </w:p>
    <w:p w14:paraId="2D725602">
      <w:pPr>
        <w:pStyle w:val="71"/>
        <w:wordWrap w:val="0"/>
        <w:adjustRightInd/>
        <w:snapToGrid w:val="0"/>
        <w:spacing w:line="460" w:lineRule="exact"/>
        <w:ind w:firstLine="0"/>
        <w:jc w:val="right"/>
        <w:rPr>
          <w:rFonts w:hint="eastAsia" w:ascii="仿宋_GB2312" w:hAnsi="Times New Roman" w:eastAsia="仿宋_GB2312"/>
          <w:color w:val="auto"/>
          <w:sz w:val="28"/>
          <w:szCs w:val="28"/>
        </w:rPr>
      </w:pPr>
      <w:r>
        <w:rPr>
          <w:rFonts w:hint="eastAsia" w:ascii="仿宋_GB2312" w:hAnsi="Times New Roman" w:eastAsia="仿宋_GB2312"/>
          <w:color w:val="auto"/>
          <w:sz w:val="28"/>
          <w:szCs w:val="28"/>
          <w:lang w:eastAsia="zh-CN"/>
        </w:rPr>
        <w:t>东莞市水务环境投资控股集团建设管理有限公司</w:t>
      </w:r>
    </w:p>
    <w:p w14:paraId="2DA127DB">
      <w:pPr>
        <w:pStyle w:val="71"/>
        <w:wordWrap/>
        <w:adjustRightInd/>
        <w:snapToGrid w:val="0"/>
        <w:spacing w:line="460" w:lineRule="exact"/>
        <w:ind w:firstLine="0"/>
        <w:jc w:val="center"/>
        <w:rPr>
          <w:rFonts w:hint="default" w:ascii="仿宋_GB2312" w:hAnsi="Times New Roman" w:eastAsia="仿宋_GB2312"/>
          <w:color w:val="auto"/>
          <w:sz w:val="28"/>
          <w:szCs w:val="28"/>
          <w:lang w:val="en-US" w:eastAsia="zh-CN"/>
        </w:rPr>
      </w:pPr>
      <w:r>
        <w:rPr>
          <w:rFonts w:hint="eastAsia" w:ascii="仿宋_GB2312" w:hAnsi="Times New Roman" w:eastAsia="仿宋_GB2312"/>
          <w:color w:val="auto"/>
          <w:sz w:val="28"/>
          <w:szCs w:val="28"/>
          <w:lang w:val="en-US" w:eastAsia="zh-CN"/>
        </w:rPr>
        <w:t xml:space="preserve">                  东莞市水务环境投资控股集团供水有限公司</w:t>
      </w:r>
    </w:p>
    <w:p w14:paraId="79AD3A1D">
      <w:pPr>
        <w:pStyle w:val="71"/>
        <w:adjustRightInd/>
        <w:spacing w:after="156" w:line="400" w:lineRule="exact"/>
        <w:ind w:firstLine="5320" w:firstLineChars="1900"/>
        <w:rPr>
          <w:rFonts w:ascii="仿宋_GB2312" w:hAnsi="Times New Roman" w:eastAsia="仿宋_GB2312"/>
          <w:sz w:val="28"/>
          <w:szCs w:val="28"/>
        </w:rPr>
      </w:pPr>
      <w:r>
        <w:rPr>
          <w:rFonts w:hint="eastAsia" w:ascii="Times New Roman" w:hAnsi="Times New Roman" w:eastAsia="仿宋_GB2312"/>
          <w:sz w:val="28"/>
          <w:szCs w:val="28"/>
        </w:rPr>
        <w:t xml:space="preserve">   </w:t>
      </w:r>
      <w:bookmarkStart w:id="42" w:name="现场签证通知单"/>
      <w:bookmarkEnd w:id="42"/>
      <w:bookmarkStart w:id="43" w:name="设计变更通知单"/>
      <w:bookmarkEnd w:id="43"/>
      <w:r>
        <w:rPr>
          <w:rFonts w:hint="eastAsia" w:ascii="Times New Roman" w:hAnsi="Times New Roman" w:eastAsia="仿宋_GB2312"/>
          <w:sz w:val="28"/>
          <w:szCs w:val="28"/>
        </w:rPr>
        <w:t xml:space="preserve">年   月  </w:t>
      </w:r>
      <w:r>
        <w:rPr>
          <w:rFonts w:ascii="Times New Roman" w:hAnsi="Times New Roman" w:eastAsia="仿宋_GB2312"/>
          <w:sz w:val="28"/>
          <w:szCs w:val="28"/>
        </w:rPr>
        <w:t xml:space="preserve"> </w:t>
      </w:r>
      <w:r>
        <w:rPr>
          <w:rFonts w:hint="eastAsia" w:ascii="仿宋_GB2312" w:hAnsi="Times New Roman" w:eastAsia="仿宋_GB2312"/>
          <w:sz w:val="28"/>
          <w:szCs w:val="28"/>
        </w:rPr>
        <w:t>日</w:t>
      </w:r>
    </w:p>
    <w:p w14:paraId="059B6CB1">
      <w:pPr>
        <w:pStyle w:val="71"/>
        <w:spacing w:after="156" w:line="580" w:lineRule="exact"/>
        <w:ind w:firstLine="0"/>
        <w:jc w:val="center"/>
        <w:rPr>
          <w:rFonts w:ascii="Times New Roman" w:hAnsi="Times New Roman" w:eastAsia="黑体"/>
          <w:sz w:val="48"/>
          <w:szCs w:val="48"/>
          <w:lang w:val="zh-CN"/>
        </w:rPr>
      </w:pPr>
      <w:r>
        <w:rPr>
          <w:rFonts w:hint="eastAsia"/>
        </w:rPr>
        <w:br w:type="page"/>
      </w:r>
      <w:r>
        <w:rPr>
          <w:rFonts w:hint="eastAsia" w:ascii="Times New Roman" w:hAnsi="Times New Roman" w:eastAsia="黑体"/>
          <w:sz w:val="48"/>
          <w:szCs w:val="48"/>
          <w:lang w:val="zh-CN"/>
        </w:rPr>
        <w:t>阳光合作告知函回执</w:t>
      </w:r>
    </w:p>
    <w:p w14:paraId="36A5630C">
      <w:pPr>
        <w:pStyle w:val="71"/>
        <w:spacing w:after="156"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1D5854D">
      <w:pPr>
        <w:pStyle w:val="71"/>
        <w:spacing w:after="156"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hint="eastAsia" w:ascii="楷体_GB2312" w:hAnsi="Times New Roman" w:eastAsia="楷体_GB2312"/>
          <w:sz w:val="28"/>
          <w:szCs w:val="28"/>
          <w:lang w:val="zh-CN"/>
        </w:rPr>
        <w:t>编号：2025-CG-033</w:t>
      </w:r>
      <w:r>
        <w:rPr>
          <w:rFonts w:hint="eastAsia" w:ascii="Times New Roman" w:hAnsi="Times New Roman" w:eastAsia="楷体_GB2312"/>
          <w:sz w:val="28"/>
          <w:szCs w:val="28"/>
        </w:rPr>
        <w:t xml:space="preserve">   </w:t>
      </w:r>
    </w:p>
    <w:p w14:paraId="77678873">
      <w:pPr>
        <w:autoSpaceDE w:val="0"/>
        <w:autoSpaceDN w:val="0"/>
        <w:spacing w:after="156" w:line="580" w:lineRule="exact"/>
        <w:ind w:firstLine="700" w:firstLineChars="250"/>
        <w:jc w:val="left"/>
        <w:rPr>
          <w:rFonts w:ascii="Times New Roman" w:hAnsi="Times New Roman" w:eastAsia="仿宋_GB2312"/>
          <w:kern w:val="0"/>
          <w:sz w:val="28"/>
          <w:szCs w:val="24"/>
          <w:lang w:val="zh-CN"/>
        </w:rPr>
      </w:pPr>
      <w:r>
        <w:rPr>
          <w:rFonts w:hint="eastAsia" w:ascii="Times New Roman" w:hAnsi="Times New Roman" w:eastAsia="仿宋_GB2312"/>
          <w:sz w:val="28"/>
          <w:szCs w:val="24"/>
          <w:lang w:val="zh-CN"/>
        </w:rPr>
        <w:t>我单位于</w:t>
      </w:r>
      <w:r>
        <w:rPr>
          <w:rFonts w:ascii="Times New Roman" w:hAnsi="Times New Roman" w:eastAsia="仿宋_GB2312"/>
          <w:sz w:val="28"/>
          <w:szCs w:val="24"/>
          <w:u w:val="single"/>
          <w:lang w:val="zh-CN"/>
        </w:rPr>
        <w:t xml:space="preserve">       </w:t>
      </w:r>
      <w:r>
        <w:rPr>
          <w:rFonts w:hint="eastAsia" w:ascii="Times New Roman" w:hAnsi="Times New Roman" w:eastAsia="仿宋_GB2312"/>
          <w:sz w:val="28"/>
          <w:szCs w:val="24"/>
          <w:lang w:val="zh-CN"/>
        </w:rPr>
        <w:t>年</w:t>
      </w:r>
      <w:r>
        <w:rPr>
          <w:rFonts w:ascii="Times New Roman" w:hAnsi="Times New Roman" w:eastAsia="仿宋_GB2312"/>
          <w:sz w:val="28"/>
          <w:szCs w:val="24"/>
          <w:u w:val="single"/>
          <w:lang w:val="zh-CN"/>
        </w:rPr>
        <w:t xml:space="preserve">    </w:t>
      </w:r>
      <w:r>
        <w:rPr>
          <w:rFonts w:hint="eastAsia" w:ascii="Times New Roman" w:hAnsi="Times New Roman" w:eastAsia="仿宋_GB2312"/>
          <w:sz w:val="28"/>
          <w:szCs w:val="24"/>
          <w:lang w:val="zh-CN"/>
        </w:rPr>
        <w:t>月</w:t>
      </w:r>
      <w:r>
        <w:rPr>
          <w:rFonts w:ascii="Times New Roman" w:hAnsi="Times New Roman" w:eastAsia="仿宋_GB2312"/>
          <w:sz w:val="28"/>
          <w:szCs w:val="24"/>
          <w:u w:val="single"/>
          <w:lang w:val="zh-CN"/>
        </w:rPr>
        <w:t xml:space="preserve">    </w:t>
      </w:r>
      <w:r>
        <w:rPr>
          <w:rFonts w:hint="eastAsia" w:ascii="Times New Roman" w:hAnsi="Times New Roman" w:eastAsia="仿宋_GB2312"/>
          <w:sz w:val="28"/>
          <w:szCs w:val="24"/>
          <w:lang w:val="zh-CN"/>
        </w:rPr>
        <w:t>日收到</w:t>
      </w:r>
      <w:r>
        <w:rPr>
          <w:rFonts w:hint="eastAsia" w:ascii="Times New Roman" w:hAnsi="Times New Roman" w:eastAsia="仿宋_GB2312"/>
          <w:kern w:val="0"/>
          <w:sz w:val="28"/>
          <w:szCs w:val="24"/>
          <w:u w:val="single"/>
          <w:lang w:val="zh-CN"/>
        </w:rPr>
        <w:t>东莞市水务环境投资控股集团建设管理有限公司</w:t>
      </w:r>
      <w:r>
        <w:rPr>
          <w:rFonts w:hint="eastAsia" w:ascii="Times New Roman" w:hAnsi="Times New Roman" w:eastAsia="仿宋_GB2312"/>
          <w:sz w:val="28"/>
          <w:szCs w:val="24"/>
          <w:lang w:val="zh-CN"/>
        </w:rPr>
        <w:t>的《阳光合作告知</w:t>
      </w:r>
      <w:r>
        <w:rPr>
          <w:rFonts w:hint="eastAsia" w:ascii="Times New Roman" w:hAnsi="Times New Roman" w:eastAsia="仿宋_GB2312"/>
          <w:kern w:val="0"/>
          <w:sz w:val="28"/>
          <w:szCs w:val="24"/>
          <w:lang w:val="zh-CN"/>
        </w:rPr>
        <w:t>函</w:t>
      </w:r>
      <w:r>
        <w:rPr>
          <w:rFonts w:hint="eastAsia" w:ascii="Times New Roman" w:hAnsi="Times New Roman" w:eastAsia="仿宋_GB2312"/>
          <w:sz w:val="28"/>
          <w:szCs w:val="24"/>
          <w:lang w:val="zh-CN"/>
        </w:rPr>
        <w:t>》</w:t>
      </w:r>
      <w:r>
        <w:rPr>
          <w:rFonts w:hint="eastAsia" w:ascii="Times New Roman" w:hAnsi="Times New Roman" w:eastAsia="仿宋_GB2312"/>
          <w:kern w:val="0"/>
          <w:sz w:val="28"/>
          <w:szCs w:val="24"/>
          <w:lang w:val="zh-CN"/>
        </w:rPr>
        <w:t>，承诺理解函告内容并告知相关人员严格执行其中规定。</w:t>
      </w:r>
    </w:p>
    <w:p w14:paraId="59EAADCC">
      <w:pPr>
        <w:autoSpaceDE w:val="0"/>
        <w:autoSpaceDN w:val="0"/>
        <w:spacing w:after="156" w:line="580" w:lineRule="exact"/>
        <w:jc w:val="left"/>
        <w:rPr>
          <w:rFonts w:ascii="Times New Roman" w:hAnsi="Times New Roman" w:eastAsia="仿宋_GB2312"/>
          <w:sz w:val="28"/>
          <w:szCs w:val="24"/>
          <w:lang w:val="zh-CN"/>
        </w:rPr>
      </w:pPr>
    </w:p>
    <w:p w14:paraId="1B1A4BFF">
      <w:pPr>
        <w:wordWrap w:val="0"/>
        <w:autoSpaceDE w:val="0"/>
        <w:autoSpaceDN w:val="0"/>
        <w:spacing w:after="156" w:line="580" w:lineRule="exact"/>
        <w:jc w:val="right"/>
        <w:rPr>
          <w:rFonts w:ascii="仿宋_GB2312" w:hAnsi="仿宋" w:eastAsia="仿宋_GB2312" w:cs="仿宋"/>
          <w:sz w:val="28"/>
          <w:szCs w:val="28"/>
        </w:rPr>
      </w:pPr>
      <w:bookmarkStart w:id="44" w:name="OLE_LINK5"/>
      <w:r>
        <w:rPr>
          <w:rFonts w:hint="eastAsia" w:ascii="Times New Roman" w:hAnsi="Times New Roman" w:eastAsia="仿宋_GB2312"/>
          <w:sz w:val="28"/>
          <w:szCs w:val="24"/>
        </w:rPr>
        <w:t>公司</w:t>
      </w:r>
      <w:bookmarkEnd w:id="44"/>
      <w:r>
        <w:rPr>
          <w:rFonts w:hint="eastAsia" w:ascii="仿宋_GB2312" w:hAnsi="Times New Roman" w:eastAsia="仿宋_GB2312"/>
          <w:sz w:val="28"/>
          <w:szCs w:val="24"/>
        </w:rPr>
        <w:t xml:space="preserve"> </w:t>
      </w:r>
    </w:p>
    <w:p w14:paraId="5AE223CB">
      <w:pPr>
        <w:autoSpaceDE w:val="0"/>
        <w:autoSpaceDN w:val="0"/>
        <w:spacing w:after="156" w:line="580" w:lineRule="exact"/>
        <w:jc w:val="left"/>
        <w:rPr>
          <w:rFonts w:ascii="Times New Roman" w:hAnsi="Times New Roman" w:eastAsia="仿宋_GB2312"/>
          <w:sz w:val="28"/>
          <w:szCs w:val="24"/>
          <w:lang w:val="zh-CN"/>
        </w:rPr>
      </w:pPr>
    </w:p>
    <w:p w14:paraId="3083F864">
      <w:pPr>
        <w:autoSpaceDE w:val="0"/>
        <w:autoSpaceDN w:val="0"/>
        <w:spacing w:after="156" w:line="580" w:lineRule="exact"/>
        <w:ind w:right="1280" w:firstLine="4480" w:firstLineChars="1600"/>
        <w:rPr>
          <w:rFonts w:ascii="Times New Roman" w:hAnsi="Times New Roman" w:eastAsia="仿宋_GB2312"/>
          <w:sz w:val="28"/>
          <w:szCs w:val="24"/>
        </w:rPr>
      </w:pPr>
      <w:r>
        <w:rPr>
          <w:rFonts w:hint="eastAsia" w:ascii="Times New Roman" w:hAnsi="Times New Roman" w:eastAsia="仿宋_GB2312"/>
          <w:sz w:val="28"/>
          <w:szCs w:val="24"/>
        </w:rPr>
        <w:t xml:space="preserve">法定代表人：           </w:t>
      </w:r>
    </w:p>
    <w:p w14:paraId="51DCDF68">
      <w:pPr>
        <w:wordWrap w:val="0"/>
        <w:autoSpaceDE w:val="0"/>
        <w:autoSpaceDN w:val="0"/>
        <w:spacing w:after="156" w:line="580" w:lineRule="exact"/>
        <w:jc w:val="right"/>
        <w:rPr>
          <w:rFonts w:ascii="Times New Roman" w:hAnsi="Times New Roman" w:eastAsia="仿宋_GB2312"/>
          <w:sz w:val="28"/>
          <w:szCs w:val="24"/>
        </w:rPr>
      </w:pPr>
      <w:r>
        <w:rPr>
          <w:rFonts w:hint="eastAsia" w:ascii="Times New Roman" w:hAnsi="Times New Roman" w:eastAsia="仿宋_GB2312"/>
          <w:sz w:val="28"/>
          <w:szCs w:val="24"/>
        </w:rPr>
        <w:t xml:space="preserve"> </w:t>
      </w:r>
    </w:p>
    <w:p w14:paraId="217372C6">
      <w:pPr>
        <w:autoSpaceDE w:val="0"/>
        <w:autoSpaceDN w:val="0"/>
        <w:spacing w:after="156" w:line="580" w:lineRule="exact"/>
        <w:jc w:val="right"/>
        <w:rPr>
          <w:rFonts w:ascii="Times New Roman" w:hAnsi="Times New Roman" w:eastAsia="仿宋_GB2312"/>
          <w:sz w:val="28"/>
          <w:szCs w:val="24"/>
        </w:rPr>
      </w:pPr>
      <w:r>
        <w:rPr>
          <w:rFonts w:hint="eastAsia" w:ascii="Times New Roman" w:hAnsi="Times New Roman" w:eastAsia="仿宋_GB2312"/>
          <w:sz w:val="28"/>
          <w:szCs w:val="24"/>
        </w:rPr>
        <w:t>年    月    日</w:t>
      </w:r>
    </w:p>
    <w:p w14:paraId="6506CF2C">
      <w:pPr>
        <w:spacing w:after="156"/>
        <w:rPr>
          <w:sz w:val="28"/>
          <w:szCs w:val="24"/>
        </w:rPr>
      </w:pPr>
    </w:p>
    <w:p w14:paraId="5146C27F">
      <w:pPr>
        <w:rPr>
          <w:sz w:val="28"/>
          <w:szCs w:val="24"/>
        </w:rPr>
      </w:pPr>
    </w:p>
    <w:p w14:paraId="22A0511D">
      <w:pPr>
        <w:pStyle w:val="73"/>
        <w:ind w:firstLine="420"/>
        <w:rPr>
          <w:rFonts w:ascii="Times New Roman"/>
          <w:lang w:val="en-US"/>
        </w:rPr>
      </w:pPr>
    </w:p>
    <w:p w14:paraId="2BA94D4C"/>
    <w:p w14:paraId="699A661A">
      <w:pPr>
        <w:pStyle w:val="2"/>
        <w:numPr>
          <w:ilvl w:val="0"/>
          <w:numId w:val="0"/>
        </w:numPr>
        <w:jc w:val="both"/>
        <w:rPr>
          <w:rFonts w:hint="eastAsia" w:ascii="宋体" w:hAnsi="Times New Roman" w:eastAsia="宋体" w:cs="Times New Roman"/>
          <w:b/>
          <w:bCs/>
          <w:color w:val="auto"/>
          <w:kern w:val="44"/>
          <w:sz w:val="32"/>
          <w:szCs w:val="32"/>
          <w:lang w:val="en-US" w:eastAsia="zh-CN" w:bidi="ar-SA"/>
        </w:rPr>
      </w:pPr>
    </w:p>
    <w:p w14:paraId="58C33B06">
      <w:pPr>
        <w:rPr>
          <w:rFonts w:hint="eastAsia" w:ascii="宋体" w:hAnsi="Times New Roman" w:eastAsia="宋体" w:cs="Times New Roman"/>
          <w:b/>
          <w:bCs/>
          <w:color w:val="auto"/>
          <w:kern w:val="44"/>
          <w:sz w:val="32"/>
          <w:szCs w:val="32"/>
          <w:lang w:val="en-US" w:eastAsia="zh-CN" w:bidi="ar-SA"/>
        </w:rPr>
      </w:pPr>
    </w:p>
    <w:p w14:paraId="7B687FDD">
      <w:pPr>
        <w:rPr>
          <w:rFonts w:hint="eastAsia"/>
          <w:lang w:val="en-US" w:eastAsia="zh-CN"/>
        </w:rPr>
      </w:pPr>
    </w:p>
    <w:p w14:paraId="52A64F0E">
      <w:pPr>
        <w:pStyle w:val="2"/>
        <w:numPr>
          <w:ilvl w:val="0"/>
          <w:numId w:val="0"/>
        </w:numPr>
        <w:jc w:val="center"/>
        <w:rPr>
          <w:color w:val="auto"/>
          <w:szCs w:val="32"/>
          <w:highlight w:val="none"/>
        </w:rPr>
      </w:pPr>
      <w:bookmarkStart w:id="45" w:name="_Toc18468"/>
      <w:bookmarkStart w:id="46" w:name="_Toc30894"/>
      <w:r>
        <w:rPr>
          <w:rFonts w:hint="eastAsia" w:ascii="宋体" w:hAnsi="Times New Roman" w:eastAsia="宋体" w:cs="Times New Roman"/>
          <w:b/>
          <w:bCs/>
          <w:color w:val="auto"/>
          <w:kern w:val="44"/>
          <w:sz w:val="32"/>
          <w:szCs w:val="32"/>
          <w:lang w:val="en-US" w:eastAsia="zh-CN" w:bidi="ar-SA"/>
        </w:rPr>
        <w:t>第</w:t>
      </w:r>
      <w:r>
        <w:rPr>
          <w:rFonts w:hint="eastAsia" w:cs="Times New Roman"/>
          <w:b/>
          <w:bCs/>
          <w:color w:val="auto"/>
          <w:kern w:val="44"/>
          <w:sz w:val="32"/>
          <w:szCs w:val="32"/>
          <w:lang w:val="en-US" w:eastAsia="zh-CN" w:bidi="ar-SA"/>
        </w:rPr>
        <w:t>四</w:t>
      </w:r>
      <w:r>
        <w:rPr>
          <w:rFonts w:hint="eastAsia" w:ascii="宋体" w:hAnsi="Times New Roman" w:eastAsia="宋体" w:cs="Times New Roman"/>
          <w:b/>
          <w:bCs/>
          <w:color w:val="auto"/>
          <w:kern w:val="44"/>
          <w:sz w:val="32"/>
          <w:szCs w:val="32"/>
          <w:lang w:val="en-US" w:eastAsia="zh-CN" w:bidi="ar-SA"/>
        </w:rPr>
        <w:t xml:space="preserve">章 </w:t>
      </w:r>
      <w:r>
        <w:rPr>
          <w:rFonts w:hint="eastAsia"/>
          <w:color w:val="auto"/>
          <w:szCs w:val="32"/>
          <w:highlight w:val="none"/>
        </w:rPr>
        <w:t>报价须知</w:t>
      </w:r>
      <w:bookmarkEnd w:id="45"/>
      <w:bookmarkEnd w:id="46"/>
    </w:p>
    <w:p w14:paraId="567A3EFD">
      <w:pPr>
        <w:spacing w:line="360" w:lineRule="auto"/>
        <w:rPr>
          <w:rFonts w:hAnsi="宋体"/>
          <w:b/>
          <w:bCs/>
          <w:color w:val="auto"/>
          <w:highlight w:val="none"/>
        </w:rPr>
      </w:pPr>
      <w:r>
        <w:rPr>
          <w:rFonts w:hint="eastAsia" w:hAnsi="宋体"/>
          <w:b/>
          <w:bCs/>
          <w:color w:val="auto"/>
          <w:highlight w:val="none"/>
        </w:rPr>
        <w:t>一、项目费用说明</w:t>
      </w:r>
    </w:p>
    <w:p w14:paraId="35A3DE12">
      <w:pPr>
        <w:spacing w:line="360" w:lineRule="auto"/>
        <w:ind w:firstLine="424" w:firstLineChars="177"/>
        <w:rPr>
          <w:rFonts w:hAnsi="宋体"/>
          <w:color w:val="auto"/>
          <w:highlight w:val="none"/>
        </w:rPr>
      </w:pPr>
      <w:r>
        <w:rPr>
          <w:rFonts w:hint="eastAsia" w:hAnsi="宋体"/>
          <w:color w:val="auto"/>
          <w:highlight w:val="none"/>
        </w:rPr>
        <w:t>报价人应按询价文件要求及企业的自身情况进行报价。所报的价格包含完成询价文件规定的工作所需的全部费用</w:t>
      </w:r>
      <w:r>
        <w:rPr>
          <w:rFonts w:hint="eastAsia" w:hAnsi="宋体"/>
        </w:rPr>
        <w:t>（除了报价人销项税额）</w:t>
      </w:r>
      <w:r>
        <w:rPr>
          <w:rFonts w:hint="eastAsia" w:hAnsi="宋体"/>
          <w:color w:val="auto"/>
          <w:highlight w:val="none"/>
        </w:rPr>
        <w:t>，并承担所有相应项目风险。</w:t>
      </w:r>
    </w:p>
    <w:p w14:paraId="3B8289E9">
      <w:pPr>
        <w:spacing w:line="360" w:lineRule="auto"/>
        <w:rPr>
          <w:rFonts w:hAnsi="宋体"/>
          <w:b/>
          <w:bCs/>
          <w:color w:val="auto"/>
          <w:highlight w:val="none"/>
        </w:rPr>
      </w:pPr>
    </w:p>
    <w:p w14:paraId="5E6F07A1">
      <w:pPr>
        <w:spacing w:line="360" w:lineRule="auto"/>
        <w:rPr>
          <w:rFonts w:hAnsi="宋体"/>
          <w:b/>
          <w:bCs/>
          <w:color w:val="auto"/>
          <w:highlight w:val="none"/>
        </w:rPr>
      </w:pPr>
      <w:r>
        <w:rPr>
          <w:rFonts w:hint="eastAsia" w:hAnsi="宋体"/>
          <w:b/>
          <w:bCs/>
          <w:color w:val="auto"/>
          <w:highlight w:val="none"/>
        </w:rPr>
        <w:t>二、报价文件的组成</w:t>
      </w:r>
    </w:p>
    <w:p w14:paraId="41138BD1">
      <w:pPr>
        <w:spacing w:line="360" w:lineRule="auto"/>
        <w:ind w:firstLine="426" w:firstLineChars="177"/>
        <w:rPr>
          <w:rFonts w:hint="eastAsia" w:hAnsi="宋体"/>
          <w:b/>
          <w:bCs/>
          <w:color w:val="auto"/>
          <w:highlight w:val="none"/>
        </w:rPr>
      </w:pPr>
      <w:r>
        <w:rPr>
          <w:rFonts w:hint="eastAsia" w:hAnsi="宋体"/>
          <w:b/>
          <w:bCs/>
          <w:color w:val="auto"/>
          <w:highlight w:val="none"/>
        </w:rPr>
        <w:t>1.报价表；</w:t>
      </w:r>
    </w:p>
    <w:p w14:paraId="41C070CB">
      <w:pPr>
        <w:pStyle w:val="5"/>
        <w:ind w:firstLine="426" w:firstLineChars="177"/>
        <w:rPr>
          <w:rFonts w:hAnsi="宋体"/>
          <w:b/>
          <w:bCs/>
          <w:color w:val="auto"/>
          <w:highlight w:val="none"/>
        </w:rPr>
      </w:pPr>
      <w:r>
        <w:rPr>
          <w:rFonts w:hint="eastAsia" w:hAnsi="宋体"/>
          <w:b/>
          <w:bCs/>
          <w:color w:val="auto"/>
          <w:highlight w:val="none"/>
          <w:lang w:val="en-US" w:eastAsia="zh-CN"/>
        </w:rPr>
        <w:t>2.</w:t>
      </w:r>
      <w:r>
        <w:rPr>
          <w:rFonts w:hint="eastAsia" w:hAnsi="宋体"/>
          <w:b/>
          <w:bCs/>
          <w:color w:val="auto"/>
          <w:highlight w:val="none"/>
        </w:rPr>
        <w:t>报价承诺书；</w:t>
      </w:r>
    </w:p>
    <w:p w14:paraId="30DA5219">
      <w:pPr>
        <w:spacing w:line="360" w:lineRule="auto"/>
        <w:ind w:firstLine="426" w:firstLineChars="177"/>
        <w:rPr>
          <w:rFonts w:hint="eastAsia" w:hAnsi="宋体" w:eastAsia="宋体"/>
          <w:b/>
          <w:bCs/>
          <w:color w:val="auto"/>
          <w:highlight w:val="none"/>
          <w:lang w:eastAsia="zh-CN"/>
        </w:rPr>
      </w:pPr>
      <w:r>
        <w:rPr>
          <w:rFonts w:hint="eastAsia" w:hAnsi="宋体"/>
          <w:b/>
          <w:bCs/>
          <w:color w:val="auto"/>
          <w:highlight w:val="none"/>
          <w:lang w:val="en-US" w:eastAsia="zh-CN"/>
        </w:rPr>
        <w:t>3</w:t>
      </w:r>
      <w:r>
        <w:rPr>
          <w:rFonts w:hint="eastAsia" w:hAnsi="宋体"/>
          <w:b/>
          <w:bCs/>
          <w:color w:val="auto"/>
          <w:highlight w:val="none"/>
        </w:rPr>
        <w:t>.</w:t>
      </w:r>
      <w:r>
        <w:rPr>
          <w:rFonts w:hint="default" w:hAnsi="宋体"/>
          <w:b/>
          <w:bCs/>
          <w:color w:val="auto"/>
          <w:highlight w:val="none"/>
        </w:rPr>
        <w:t>用户需求偏离表</w:t>
      </w:r>
      <w:r>
        <w:rPr>
          <w:rFonts w:hint="eastAsia" w:hAnsi="宋体"/>
          <w:b/>
          <w:bCs/>
          <w:color w:val="auto"/>
          <w:highlight w:val="none"/>
          <w:lang w:eastAsia="zh-CN"/>
        </w:rPr>
        <w:t>；</w:t>
      </w:r>
    </w:p>
    <w:p w14:paraId="63D01916">
      <w:pPr>
        <w:pStyle w:val="5"/>
        <w:rPr>
          <w:rFonts w:hint="eastAsia" w:hAnsi="宋体" w:eastAsia="宋体"/>
          <w:b/>
          <w:bCs/>
          <w:color w:val="auto"/>
          <w:highlight w:val="none"/>
          <w:lang w:eastAsia="zh-CN"/>
        </w:rPr>
      </w:pPr>
      <w:r>
        <w:rPr>
          <w:rFonts w:hint="eastAsia" w:hAnsi="宋体"/>
          <w:b/>
          <w:bCs/>
          <w:color w:val="auto"/>
          <w:highlight w:val="none"/>
          <w:lang w:val="en-US" w:eastAsia="zh-CN"/>
        </w:rPr>
        <w:t>4</w:t>
      </w:r>
      <w:r>
        <w:rPr>
          <w:rFonts w:hint="default" w:hAnsi="宋体"/>
          <w:b/>
          <w:bCs/>
          <w:color w:val="auto"/>
          <w:highlight w:val="none"/>
        </w:rPr>
        <w:t>.合同条款偏离表</w:t>
      </w:r>
      <w:r>
        <w:rPr>
          <w:rFonts w:hint="eastAsia" w:hAnsi="宋体"/>
          <w:b/>
          <w:bCs/>
          <w:color w:val="auto"/>
          <w:highlight w:val="none"/>
          <w:lang w:eastAsia="zh-CN"/>
        </w:rPr>
        <w:t>；</w:t>
      </w:r>
    </w:p>
    <w:p w14:paraId="2D038CCE">
      <w:pPr>
        <w:pStyle w:val="5"/>
        <w:rPr>
          <w:rFonts w:hint="eastAsia" w:hAnsi="宋体"/>
          <w:b/>
          <w:bCs/>
          <w:color w:val="auto"/>
          <w:highlight w:val="none"/>
          <w:lang w:val="en-US" w:eastAsia="zh-CN"/>
        </w:rPr>
      </w:pPr>
      <w:r>
        <w:rPr>
          <w:rFonts w:hint="eastAsia" w:hAnsi="宋体"/>
          <w:b/>
          <w:bCs/>
          <w:color w:val="auto"/>
          <w:highlight w:val="none"/>
          <w:lang w:val="en-US" w:eastAsia="zh-CN"/>
        </w:rPr>
        <w:t>5.营业执照复印件；</w:t>
      </w:r>
    </w:p>
    <w:p w14:paraId="6E04B282">
      <w:pPr>
        <w:pStyle w:val="5"/>
        <w:rPr>
          <w:rFonts w:hint="eastAsia" w:hAnsi="宋体"/>
          <w:b/>
          <w:bCs/>
          <w:color w:val="auto"/>
          <w:highlight w:val="none"/>
          <w:lang w:val="en-US" w:eastAsia="zh-CN"/>
        </w:rPr>
      </w:pPr>
      <w:r>
        <w:rPr>
          <w:rFonts w:hint="eastAsia" w:hAnsi="宋体"/>
          <w:b/>
          <w:bCs/>
          <w:color w:val="auto"/>
          <w:highlight w:val="none"/>
          <w:lang w:val="en-US" w:eastAsia="zh-CN"/>
        </w:rPr>
        <w:t>6.报价人应具有工程勘察综合甲级资质和相关轨道交通工程安全评估经验，且还应至少满足以下条件之一：</w:t>
      </w:r>
    </w:p>
    <w:p w14:paraId="2E0BC8A4">
      <w:pPr>
        <w:pStyle w:val="5"/>
        <w:rPr>
          <w:rFonts w:hint="eastAsia" w:hAnsi="宋体"/>
          <w:b/>
          <w:bCs/>
          <w:color w:val="auto"/>
          <w:highlight w:val="none"/>
          <w:lang w:val="en-US" w:eastAsia="zh-CN"/>
        </w:rPr>
      </w:pPr>
      <w:r>
        <w:rPr>
          <w:rFonts w:hint="eastAsia" w:hAnsi="宋体"/>
          <w:b/>
          <w:bCs/>
          <w:color w:val="auto"/>
          <w:highlight w:val="none"/>
          <w:lang w:val="en-US" w:eastAsia="zh-CN"/>
        </w:rPr>
        <w:t>（1）具有国家发改委颁发的工程咨询（铁路、城市轨道交通专业）甲级资信证书。</w:t>
      </w:r>
    </w:p>
    <w:p w14:paraId="76BCCFD5">
      <w:pPr>
        <w:pStyle w:val="5"/>
        <w:rPr>
          <w:rFonts w:hint="eastAsia" w:hAnsi="宋体"/>
          <w:b/>
          <w:bCs/>
          <w:color w:val="auto"/>
          <w:highlight w:val="none"/>
          <w:lang w:val="en-US" w:eastAsia="zh-CN"/>
        </w:rPr>
      </w:pPr>
      <w:r>
        <w:rPr>
          <w:rFonts w:hint="eastAsia" w:hAnsi="宋体"/>
          <w:b/>
          <w:bCs/>
          <w:color w:val="auto"/>
          <w:highlight w:val="none"/>
          <w:lang w:val="en-US" w:eastAsia="zh-CN"/>
        </w:rPr>
        <w:t>（2）具有工程设计综合甲级资质。</w:t>
      </w:r>
    </w:p>
    <w:p w14:paraId="56E3F5C1">
      <w:pPr>
        <w:pStyle w:val="5"/>
        <w:rPr>
          <w:rFonts w:hint="eastAsia" w:hAnsi="宋体"/>
          <w:b/>
          <w:bCs/>
          <w:color w:val="auto"/>
          <w:highlight w:val="none"/>
          <w:lang w:val="en-US" w:eastAsia="zh-CN"/>
        </w:rPr>
      </w:pPr>
      <w:r>
        <w:rPr>
          <w:rFonts w:hint="eastAsia" w:hAnsi="宋体"/>
          <w:b/>
          <w:bCs/>
          <w:color w:val="auto"/>
          <w:highlight w:val="none"/>
          <w:lang w:val="en-US" w:eastAsia="zh-CN"/>
        </w:rPr>
        <w:t>（3）具有工程设计市政行业轨道交通工程专业甲级资质。</w:t>
      </w:r>
    </w:p>
    <w:p w14:paraId="0D948842">
      <w:pPr>
        <w:pStyle w:val="5"/>
        <w:rPr>
          <w:rFonts w:hint="eastAsia" w:hAnsi="宋体"/>
          <w:b/>
          <w:bCs/>
          <w:color w:val="auto"/>
          <w:highlight w:val="none"/>
          <w:lang w:val="en-US" w:eastAsia="zh-CN"/>
        </w:rPr>
      </w:pPr>
      <w:r>
        <w:rPr>
          <w:rFonts w:hint="eastAsia" w:hAnsi="宋体"/>
          <w:b/>
          <w:bCs/>
          <w:color w:val="auto"/>
          <w:highlight w:val="none"/>
          <w:lang w:val="en-US" w:eastAsia="zh-CN"/>
        </w:rPr>
        <w:t>7</w:t>
      </w:r>
      <w:r>
        <w:rPr>
          <w:rFonts w:hint="default" w:hAnsi="宋体"/>
          <w:b/>
          <w:bCs/>
          <w:color w:val="auto"/>
          <w:highlight w:val="none"/>
        </w:rPr>
        <w:t>.报价人2021年1月1日以来具有一项东莞地铁安全评估业绩（合同签订日期为2021年1月1日或以后）</w:t>
      </w:r>
      <w:r>
        <w:rPr>
          <w:rFonts w:hint="eastAsia" w:hAnsi="宋体"/>
          <w:b/>
          <w:bCs/>
          <w:color w:val="auto"/>
          <w:highlight w:val="none"/>
          <w:lang w:val="en-US" w:eastAsia="zh-CN"/>
        </w:rPr>
        <w:t>；</w:t>
      </w:r>
    </w:p>
    <w:p w14:paraId="7AA21850">
      <w:pPr>
        <w:pStyle w:val="5"/>
        <w:rPr>
          <w:rFonts w:hint="default" w:hAnsi="宋体"/>
          <w:b/>
          <w:bCs/>
          <w:color w:val="auto"/>
          <w:highlight w:val="none"/>
          <w:lang w:val="en-US" w:eastAsia="zh-CN"/>
        </w:rPr>
      </w:pPr>
      <w:r>
        <w:rPr>
          <w:rFonts w:hint="eastAsia" w:hAnsi="宋体"/>
          <w:b/>
          <w:bCs/>
          <w:color w:val="auto"/>
          <w:highlight w:val="none"/>
          <w:lang w:val="en-US" w:eastAsia="zh-CN"/>
        </w:rPr>
        <w:t>8</w:t>
      </w:r>
      <w:r>
        <w:rPr>
          <w:rFonts w:hint="default" w:hAnsi="宋体"/>
          <w:b/>
          <w:bCs/>
          <w:color w:val="auto"/>
          <w:highlight w:val="none"/>
          <w:lang w:val="en-US" w:eastAsia="zh-CN"/>
        </w:rPr>
        <w:t>.报价人认为有必要提供的资料（不作强制要求）。</w:t>
      </w:r>
    </w:p>
    <w:p w14:paraId="32CB440B">
      <w:pPr>
        <w:spacing w:line="360" w:lineRule="auto"/>
        <w:rPr>
          <w:rFonts w:hAnsi="宋体"/>
          <w:b/>
          <w:bCs/>
          <w:color w:val="auto"/>
          <w:highlight w:val="none"/>
        </w:rPr>
      </w:pPr>
    </w:p>
    <w:p w14:paraId="53474C30">
      <w:pPr>
        <w:spacing w:line="360" w:lineRule="auto"/>
        <w:rPr>
          <w:rFonts w:hAnsi="宋体"/>
          <w:b/>
          <w:bCs/>
          <w:color w:val="auto"/>
          <w:highlight w:val="none"/>
        </w:rPr>
      </w:pPr>
      <w:r>
        <w:rPr>
          <w:rFonts w:hint="eastAsia" w:hAnsi="宋体"/>
          <w:b/>
          <w:bCs/>
          <w:color w:val="auto"/>
          <w:highlight w:val="none"/>
        </w:rPr>
        <w:t>三、报价文件的封装和递交</w:t>
      </w:r>
    </w:p>
    <w:p w14:paraId="02CCCFF6">
      <w:pPr>
        <w:spacing w:line="360" w:lineRule="auto"/>
        <w:ind w:firstLine="426" w:firstLineChars="177"/>
        <w:rPr>
          <w:rFonts w:hAnsi="宋体"/>
          <w:b/>
          <w:bCs/>
          <w:color w:val="auto"/>
          <w:highlight w:val="none"/>
        </w:rPr>
      </w:pPr>
      <w:r>
        <w:rPr>
          <w:rFonts w:hint="eastAsia" w:hAnsi="宋体"/>
          <w:b/>
          <w:bCs/>
          <w:color w:val="auto"/>
          <w:highlight w:val="none"/>
        </w:rPr>
        <w:t>1</w:t>
      </w:r>
      <w:r>
        <w:rPr>
          <w:rFonts w:hAnsi="宋体"/>
          <w:b/>
          <w:bCs/>
          <w:color w:val="auto"/>
          <w:highlight w:val="none"/>
        </w:rPr>
        <w:t>.</w:t>
      </w:r>
      <w:r>
        <w:rPr>
          <w:rFonts w:hint="eastAsia" w:hAnsi="宋体"/>
          <w:b/>
          <w:bCs/>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407011AE">
      <w:pPr>
        <w:spacing w:line="360" w:lineRule="auto"/>
        <w:ind w:firstLine="426" w:firstLineChars="177"/>
        <w:rPr>
          <w:rFonts w:hAnsi="宋体" w:cs="宋体"/>
        </w:rPr>
      </w:pPr>
      <w:r>
        <w:rPr>
          <w:rFonts w:hint="eastAsia" w:hAnsi="宋体"/>
          <w:b/>
          <w:bCs/>
          <w:color w:val="auto"/>
          <w:highlight w:val="none"/>
        </w:rPr>
        <w:t>2</w:t>
      </w:r>
      <w:r>
        <w:rPr>
          <w:rFonts w:hAnsi="宋体"/>
          <w:b/>
          <w:bCs/>
          <w:color w:val="auto"/>
          <w:highlight w:val="none"/>
        </w:rPr>
        <w:t>.</w:t>
      </w:r>
      <w:r>
        <w:rPr>
          <w:rFonts w:hint="eastAsia" w:hAnsi="宋体" w:cs="宋体"/>
          <w:b/>
          <w:bCs/>
        </w:rPr>
        <w:t>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6A6251DB">
      <w:pPr>
        <w:spacing w:line="360" w:lineRule="auto"/>
        <w:ind w:firstLine="426" w:firstLineChars="177"/>
        <w:rPr>
          <w:rFonts w:hAnsi="宋体"/>
          <w:b/>
          <w:bCs/>
          <w:color w:val="auto"/>
          <w:highlight w:val="none"/>
        </w:rPr>
      </w:pPr>
      <w:r>
        <w:rPr>
          <w:rFonts w:hint="eastAsia" w:hAnsi="宋体"/>
          <w:b/>
          <w:bCs/>
        </w:rPr>
        <w:t>3</w:t>
      </w:r>
      <w:r>
        <w:rPr>
          <w:rFonts w:hAnsi="宋体"/>
          <w:b/>
          <w:bCs/>
        </w:rPr>
        <w:t>.</w:t>
      </w:r>
      <w:r>
        <w:rPr>
          <w:rFonts w:hint="eastAsia" w:hAnsi="宋体"/>
          <w:b/>
          <w:bCs/>
          <w:color w:val="auto"/>
          <w:highlight w:val="none"/>
        </w:rPr>
        <w:t>密封好的报价文件，</w:t>
      </w:r>
      <w:r>
        <w:rPr>
          <w:rFonts w:hAnsi="宋体"/>
          <w:b/>
          <w:bCs/>
          <w:color w:val="auto"/>
          <w:highlight w:val="none"/>
        </w:rPr>
        <w:t>应于</w:t>
      </w:r>
      <w:r>
        <w:rPr>
          <w:rFonts w:hint="eastAsia" w:hAnsi="宋体"/>
          <w:b/>
          <w:bCs/>
          <w:color w:val="auto"/>
          <w:highlight w:val="none"/>
        </w:rPr>
        <w:t>询价邀请函</w:t>
      </w:r>
      <w:r>
        <w:rPr>
          <w:rFonts w:hAnsi="宋体"/>
          <w:b/>
          <w:bCs/>
          <w:color w:val="auto"/>
          <w:highlight w:val="none"/>
        </w:rPr>
        <w:t>中规定的截止</w:t>
      </w:r>
      <w:r>
        <w:rPr>
          <w:rFonts w:hint="eastAsia" w:hAnsi="宋体"/>
          <w:b/>
          <w:bCs/>
          <w:color w:val="auto"/>
          <w:highlight w:val="none"/>
        </w:rPr>
        <w:t>时间</w:t>
      </w:r>
      <w:r>
        <w:rPr>
          <w:rFonts w:hAnsi="宋体"/>
          <w:b/>
          <w:bCs/>
          <w:color w:val="auto"/>
          <w:highlight w:val="none"/>
        </w:rPr>
        <w:t>前递交到</w:t>
      </w:r>
      <w:r>
        <w:rPr>
          <w:rFonts w:hint="eastAsia" w:hAnsi="宋体"/>
          <w:b/>
          <w:bCs/>
          <w:color w:val="auto"/>
          <w:highlight w:val="none"/>
        </w:rPr>
        <w:t>采购人指定的递交地点</w:t>
      </w:r>
      <w:r>
        <w:rPr>
          <w:rFonts w:hint="eastAsia" w:hAnsi="宋体" w:cs="宋体"/>
          <w:b/>
          <w:bCs/>
        </w:rPr>
        <w:t>，否则视为放弃参与本项目</w:t>
      </w:r>
      <w:r>
        <w:rPr>
          <w:rFonts w:hint="eastAsia" w:hAnsi="宋体"/>
          <w:b/>
          <w:bCs/>
          <w:color w:val="auto"/>
          <w:highlight w:val="none"/>
        </w:rPr>
        <w:t>。</w:t>
      </w:r>
    </w:p>
    <w:p w14:paraId="5C035977">
      <w:pPr>
        <w:rPr>
          <w:rFonts w:hint="eastAsia" w:hAnsi="宋体"/>
          <w:b/>
          <w:bCs/>
          <w:color w:val="auto"/>
          <w:highlight w:val="none"/>
        </w:rPr>
      </w:pPr>
    </w:p>
    <w:p w14:paraId="0D85A4DE">
      <w:pPr>
        <w:rPr>
          <w:rFonts w:hint="eastAsia" w:hAnsi="宋体"/>
          <w:b/>
          <w:bCs/>
          <w:color w:val="auto"/>
          <w:highlight w:val="none"/>
        </w:rPr>
      </w:pPr>
    </w:p>
    <w:p w14:paraId="66B38BCD">
      <w:pPr>
        <w:spacing w:line="360" w:lineRule="auto"/>
        <w:rPr>
          <w:rFonts w:hAnsi="宋体" w:cs="宋体"/>
          <w:b/>
          <w:bCs/>
        </w:rPr>
      </w:pPr>
      <w:r>
        <w:rPr>
          <w:rFonts w:hint="eastAsia" w:hAnsi="宋体" w:cs="宋体"/>
          <w:b/>
          <w:bCs/>
        </w:rPr>
        <w:t>四、报价有效性说明</w:t>
      </w:r>
    </w:p>
    <w:p w14:paraId="13DC4518">
      <w:pPr>
        <w:spacing w:line="360" w:lineRule="auto"/>
        <w:ind w:firstLine="482" w:firstLineChars="200"/>
        <w:rPr>
          <w:rFonts w:hint="eastAsia" w:hAnsi="宋体" w:eastAsia="宋体" w:cs="宋体"/>
          <w:b/>
          <w:bCs/>
          <w:lang w:eastAsia="zh-CN"/>
        </w:rPr>
      </w:pPr>
      <w:r>
        <w:rPr>
          <w:rFonts w:hint="eastAsia" w:hAnsi="宋体" w:cs="宋体"/>
          <w:b/>
          <w:bCs/>
        </w:rPr>
        <w:t>1.</w:t>
      </w:r>
      <w:r>
        <w:rPr>
          <w:rFonts w:hint="eastAsia" w:hAnsi="宋体" w:cs="宋体"/>
          <w:b/>
          <w:bCs/>
          <w:lang w:val="en-US" w:eastAsia="zh-CN"/>
        </w:rPr>
        <w:t>不含税报价不得高于本项目不含税总采购限价</w:t>
      </w:r>
      <w:r>
        <w:rPr>
          <w:rFonts w:hint="eastAsia" w:hAnsi="宋体" w:cs="宋体"/>
          <w:b/>
          <w:bCs/>
        </w:rPr>
        <w:t>，否则将视为无效报价</w:t>
      </w:r>
      <w:r>
        <w:rPr>
          <w:rFonts w:hint="eastAsia" w:hAnsi="宋体" w:cs="宋体"/>
          <w:b/>
          <w:bCs/>
          <w:lang w:eastAsia="zh-CN"/>
        </w:rPr>
        <w:t>；</w:t>
      </w:r>
    </w:p>
    <w:p w14:paraId="0888281D">
      <w:pPr>
        <w:spacing w:line="360" w:lineRule="auto"/>
        <w:ind w:firstLine="482" w:firstLineChars="200"/>
        <w:rPr>
          <w:rFonts w:hint="eastAsia" w:hAnsi="宋体" w:cs="宋体"/>
          <w:b/>
          <w:bCs/>
        </w:rPr>
      </w:pPr>
      <w:r>
        <w:rPr>
          <w:rFonts w:hint="eastAsia" w:hAnsi="宋体" w:cs="宋体"/>
          <w:b/>
          <w:bCs/>
        </w:rPr>
        <w:t>2.对用户需求书、合同条款响应有负偏离的，按无效响应处理；</w:t>
      </w:r>
    </w:p>
    <w:p w14:paraId="1A7952DF">
      <w:pPr>
        <w:spacing w:line="360" w:lineRule="auto"/>
        <w:ind w:firstLine="482" w:firstLineChars="200"/>
        <w:rPr>
          <w:rFonts w:hAnsi="宋体" w:cs="宋体"/>
          <w:b/>
          <w:bCs/>
        </w:rPr>
      </w:pPr>
      <w:r>
        <w:rPr>
          <w:rFonts w:hint="eastAsia" w:hAnsi="宋体" w:cs="宋体"/>
          <w:b/>
          <w:bCs/>
          <w:lang w:val="en-US" w:eastAsia="zh-CN"/>
        </w:rPr>
        <w:t>3</w:t>
      </w:r>
      <w:r>
        <w:rPr>
          <w:rFonts w:hint="eastAsia" w:hAnsi="宋体" w:cs="宋体"/>
          <w:b/>
          <w:bCs/>
        </w:rPr>
        <w:t>.报价人未按报价文件格式提供相应材料的，按无效报价处理；</w:t>
      </w:r>
    </w:p>
    <w:p w14:paraId="3F790E6C">
      <w:pPr>
        <w:spacing w:line="360" w:lineRule="auto"/>
        <w:ind w:firstLine="482" w:firstLineChars="200"/>
        <w:rPr>
          <w:rFonts w:hAnsi="宋体" w:cs="宋体"/>
          <w:b/>
          <w:bCs/>
        </w:rPr>
      </w:pPr>
      <w:r>
        <w:rPr>
          <w:rFonts w:hint="eastAsia" w:hAnsi="宋体" w:cs="宋体"/>
          <w:b/>
          <w:bCs/>
          <w:lang w:val="en-US" w:eastAsia="zh-CN"/>
        </w:rPr>
        <w:t>4</w:t>
      </w:r>
      <w:r>
        <w:rPr>
          <w:rFonts w:hint="eastAsia" w:hAnsi="宋体"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03452CE0">
      <w:pPr>
        <w:rPr>
          <w:rFonts w:hAnsi="宋体"/>
          <w:b/>
          <w:bCs/>
          <w:color w:val="auto"/>
          <w:highlight w:val="none"/>
        </w:rPr>
      </w:pPr>
      <w:r>
        <w:rPr>
          <w:rFonts w:hint="eastAsia" w:hAnsi="宋体"/>
          <w:b/>
          <w:bCs/>
          <w:color w:val="auto"/>
          <w:highlight w:val="none"/>
        </w:rPr>
        <w:br w:type="page"/>
      </w:r>
    </w:p>
    <w:p w14:paraId="687847DA">
      <w:pPr>
        <w:pStyle w:val="2"/>
        <w:numPr>
          <w:ilvl w:val="0"/>
          <w:numId w:val="0"/>
        </w:numPr>
        <w:jc w:val="center"/>
        <w:rPr>
          <w:color w:val="auto"/>
          <w:highlight w:val="none"/>
          <w:lang w:val="zh-CN"/>
        </w:rPr>
      </w:pPr>
      <w:bookmarkStart w:id="47" w:name="_Toc2619"/>
      <w:bookmarkStart w:id="48" w:name="_Toc25161"/>
      <w:r>
        <w:rPr>
          <w:rFonts w:hint="eastAsia" w:ascii="宋体" w:hAnsi="Times New Roman" w:eastAsia="宋体" w:cs="Times New Roman"/>
          <w:b/>
          <w:bCs/>
          <w:color w:val="auto"/>
          <w:kern w:val="44"/>
          <w:sz w:val="32"/>
          <w:szCs w:val="44"/>
          <w:lang w:val="zh-CN" w:eastAsia="zh-CN" w:bidi="ar-SA"/>
        </w:rPr>
        <w:t>第</w:t>
      </w:r>
      <w:r>
        <w:rPr>
          <w:rFonts w:hint="eastAsia" w:cs="Times New Roman"/>
          <w:b/>
          <w:bCs/>
          <w:color w:val="auto"/>
          <w:kern w:val="44"/>
          <w:sz w:val="32"/>
          <w:szCs w:val="44"/>
          <w:lang w:val="en-US" w:eastAsia="zh-CN" w:bidi="ar-SA"/>
        </w:rPr>
        <w:t>五</w:t>
      </w:r>
      <w:r>
        <w:rPr>
          <w:rFonts w:hint="eastAsia" w:ascii="宋体" w:hAnsi="Times New Roman" w:eastAsia="宋体" w:cs="Times New Roman"/>
          <w:b/>
          <w:bCs/>
          <w:color w:val="auto"/>
          <w:kern w:val="44"/>
          <w:sz w:val="32"/>
          <w:szCs w:val="44"/>
          <w:lang w:val="zh-CN" w:eastAsia="zh-CN" w:bidi="ar-SA"/>
        </w:rPr>
        <w:t xml:space="preserve">章 </w:t>
      </w:r>
      <w:r>
        <w:rPr>
          <w:rFonts w:hint="eastAsia"/>
          <w:color w:val="auto"/>
          <w:szCs w:val="32"/>
          <w:highlight w:val="none"/>
        </w:rPr>
        <w:t>报价文件（格式）</w:t>
      </w:r>
      <w:bookmarkEnd w:id="47"/>
      <w:bookmarkEnd w:id="48"/>
    </w:p>
    <w:bookmarkEnd w:id="29"/>
    <w:bookmarkEnd w:id="30"/>
    <w:bookmarkEnd w:id="31"/>
    <w:bookmarkEnd w:id="32"/>
    <w:bookmarkEnd w:id="33"/>
    <w:p w14:paraId="1D82D551">
      <w:pP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2E1D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14:paraId="7FB42CC5">
            <w:pPr>
              <w:pStyle w:val="11"/>
              <w:spacing w:line="360" w:lineRule="auto"/>
              <w:jc w:val="center"/>
              <w:rPr>
                <w:rFonts w:ascii="Times New Roman" w:hAnsi="Times New Roman"/>
                <w:color w:val="auto"/>
                <w:sz w:val="24"/>
                <w:szCs w:val="28"/>
                <w:highlight w:val="none"/>
              </w:rPr>
            </w:pPr>
            <w:bookmarkStart w:id="49" w:name="_Hlk33287059"/>
            <w:r>
              <w:rPr>
                <w:rFonts w:ascii="Times New Roman" w:hAnsi="Times New Roman"/>
                <w:color w:val="auto"/>
                <w:sz w:val="24"/>
                <w:szCs w:val="28"/>
                <w:highlight w:val="none"/>
              </w:rPr>
              <w:t>项目名称</w:t>
            </w:r>
          </w:p>
        </w:tc>
        <w:tc>
          <w:tcPr>
            <w:tcW w:w="6804" w:type="dxa"/>
            <w:shd w:val="clear" w:color="auto" w:fill="auto"/>
            <w:vAlign w:val="center"/>
          </w:tcPr>
          <w:p w14:paraId="04601C7D">
            <w:pPr>
              <w:pStyle w:val="11"/>
              <w:spacing w:line="360" w:lineRule="auto"/>
              <w:jc w:val="center"/>
              <w:rPr>
                <w:rFonts w:hint="eastAsia" w:ascii="Times New Roman" w:hAnsi="Times New Roman" w:eastAsia="宋体"/>
                <w:color w:val="auto"/>
                <w:sz w:val="24"/>
                <w:szCs w:val="28"/>
                <w:highlight w:val="none"/>
                <w:lang w:eastAsia="zh-CN"/>
              </w:rPr>
            </w:pPr>
            <w:r>
              <w:rPr>
                <w:rFonts w:hint="eastAsia" w:ascii="Times New Roman" w:hAnsi="Times New Roman"/>
                <w:color w:val="auto"/>
                <w:sz w:val="24"/>
                <w:szCs w:val="28"/>
                <w:highlight w:val="none"/>
              </w:rPr>
              <w:t>滨海湾新区苗涌东侧规划次干路配套给水工程（含交椅湾板块连通管工程）涉地铁2号线安全评估报告编制</w:t>
            </w:r>
          </w:p>
        </w:tc>
      </w:tr>
      <w:bookmarkEnd w:id="49"/>
      <w:tr w14:paraId="1016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127" w:type="dxa"/>
            <w:shd w:val="clear" w:color="auto" w:fill="auto"/>
            <w:vAlign w:val="center"/>
          </w:tcPr>
          <w:p w14:paraId="14C0B027">
            <w:pPr>
              <w:pStyle w:val="11"/>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14:paraId="5C76DF78">
            <w:pPr>
              <w:pStyle w:val="11"/>
              <w:spacing w:line="360" w:lineRule="auto"/>
              <w:jc w:val="center"/>
              <w:rPr>
                <w:rFonts w:hint="default" w:ascii="Times New Roman" w:hAnsi="Times New Roman" w:eastAsia="宋体"/>
                <w:color w:val="auto"/>
                <w:sz w:val="24"/>
                <w:szCs w:val="28"/>
                <w:highlight w:val="none"/>
                <w:lang w:val="en-US" w:eastAsia="zh-CN"/>
              </w:rPr>
            </w:pPr>
            <w:r>
              <w:rPr>
                <w:rFonts w:ascii="Times New Roman" w:hAnsi="Times New Roman"/>
                <w:color w:val="000000"/>
                <w:sz w:val="24"/>
                <w:szCs w:val="28"/>
              </w:rPr>
              <w:t>（单位：元）</w:t>
            </w:r>
          </w:p>
        </w:tc>
        <w:tc>
          <w:tcPr>
            <w:tcW w:w="6804" w:type="dxa"/>
            <w:shd w:val="clear" w:color="auto" w:fill="auto"/>
            <w:vAlign w:val="center"/>
          </w:tcPr>
          <w:p w14:paraId="2A20830F">
            <w:pPr>
              <w:pStyle w:val="11"/>
              <w:spacing w:line="360" w:lineRule="auto"/>
              <w:ind w:firstLine="720" w:firstLineChars="300"/>
              <w:rPr>
                <w:rFonts w:hint="default" w:ascii="Times New Roman" w:hAnsi="Times New Roman" w:eastAsia="宋体"/>
                <w:color w:val="auto"/>
                <w:sz w:val="24"/>
                <w:szCs w:val="28"/>
                <w:highlight w:val="none"/>
                <w:u w:val="single"/>
                <w:lang w:val="en-US" w:eastAsia="zh-CN"/>
              </w:rPr>
            </w:pPr>
            <w:r>
              <w:rPr>
                <w:rFonts w:hint="eastAsia" w:ascii="Times New Roman" w:hAnsi="Times New Roman"/>
                <w:color w:val="auto"/>
                <w:sz w:val="24"/>
                <w:szCs w:val="28"/>
                <w:highlight w:val="none"/>
                <w:lang w:val="en-US" w:eastAsia="zh-CN"/>
              </w:rPr>
              <w:t xml:space="preserve">    </w:t>
            </w:r>
            <w:r>
              <w:rPr>
                <w:rFonts w:hint="default" w:ascii="Times New Roman" w:hAnsi="Times New Roman"/>
                <w:color w:val="000000"/>
                <w:sz w:val="24"/>
                <w:szCs w:val="28"/>
                <w:highlight w:val="none"/>
              </w:rPr>
              <w:t>人民币</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小写</w:t>
            </w:r>
            <w:r>
              <w:rPr>
                <w:rFonts w:hint="eastAsia" w:ascii="Times New Roman" w:hAnsi="Times New Roman"/>
                <w:color w:val="000000"/>
                <w:sz w:val="24"/>
                <w:szCs w:val="28"/>
                <w:highlight w:val="none"/>
                <w:lang w:eastAsia="zh-CN"/>
              </w:rPr>
              <w:t>）</w:t>
            </w:r>
            <w:r>
              <w:rPr>
                <w:rFonts w:hint="default" w:ascii="Times New Roman" w:hAnsi="Times New Roman"/>
                <w:color w:val="000000"/>
                <w:sz w:val="24"/>
                <w:szCs w:val="28"/>
                <w:highlight w:val="none"/>
              </w:rPr>
              <w:t>：</w:t>
            </w:r>
            <w:r>
              <w:rPr>
                <w:rFonts w:hint="default" w:ascii="Times New Roman" w:hAnsi="Times New Roman"/>
                <w:color w:val="000000"/>
                <w:sz w:val="24"/>
                <w:szCs w:val="28"/>
                <w:highlight w:val="none"/>
                <w:u w:val="single"/>
              </w:rPr>
              <w:t xml:space="preserve">                 </w:t>
            </w:r>
          </w:p>
        </w:tc>
      </w:tr>
      <w:tr w14:paraId="6AF5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14:paraId="6CAE9AD9">
            <w:pPr>
              <w:pStyle w:val="11"/>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报价人纳税类型</w:t>
            </w:r>
          </w:p>
        </w:tc>
        <w:tc>
          <w:tcPr>
            <w:tcW w:w="6804" w:type="dxa"/>
            <w:shd w:val="clear" w:color="auto" w:fill="auto"/>
            <w:vAlign w:val="center"/>
          </w:tcPr>
          <w:p w14:paraId="28BF0E5E">
            <w:pPr>
              <w:autoSpaceDE/>
              <w:autoSpaceDN/>
              <w:adjustRightInd/>
              <w:spacing w:line="380" w:lineRule="exact"/>
              <w:ind w:firstLine="2400" w:firstLineChars="1000"/>
              <w:rPr>
                <w:color w:val="auto"/>
                <w:highlight w:val="none"/>
              </w:rPr>
            </w:pPr>
            <w:r>
              <w:rPr>
                <w:rFonts w:hint="eastAsia"/>
                <w:color w:val="auto"/>
                <w:highlight w:val="none"/>
              </w:rPr>
              <w:sym w:font="Wingdings 2" w:char="00A3"/>
            </w:r>
            <w:r>
              <w:rPr>
                <w:rFonts w:hint="eastAsia"/>
                <w:color w:val="auto"/>
                <w:highlight w:val="none"/>
              </w:rPr>
              <w:t>一般纳税人</w:t>
            </w:r>
          </w:p>
          <w:p w14:paraId="61686A6A">
            <w:pPr>
              <w:pStyle w:val="8"/>
              <w:ind w:firstLine="2400" w:firstLineChars="1000"/>
              <w:jc w:val="left"/>
              <w:rPr>
                <w:rFonts w:ascii="Times New Roman"/>
                <w:color w:val="auto"/>
                <w:sz w:val="24"/>
                <w:szCs w:val="28"/>
                <w:highlight w:val="none"/>
              </w:rPr>
            </w:pPr>
            <w:r>
              <w:rPr>
                <w:rFonts w:hint="eastAsia"/>
                <w:b w:val="0"/>
                <w:bCs w:val="0"/>
                <w:color w:val="auto"/>
                <w:sz w:val="24"/>
                <w:szCs w:val="24"/>
                <w:highlight w:val="none"/>
                <w:lang w:val="en-US"/>
              </w:rPr>
              <w:sym w:font="Wingdings 2" w:char="00A3"/>
            </w:r>
            <w:r>
              <w:rPr>
                <w:rFonts w:hint="eastAsia"/>
                <w:b w:val="0"/>
                <w:bCs w:val="0"/>
                <w:color w:val="auto"/>
                <w:sz w:val="24"/>
                <w:szCs w:val="24"/>
                <w:highlight w:val="none"/>
                <w:lang w:val="en-US"/>
              </w:rPr>
              <w:t>小规模纳税人</w:t>
            </w:r>
          </w:p>
        </w:tc>
      </w:tr>
      <w:tr w14:paraId="5006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27" w:type="dxa"/>
            <w:shd w:val="clear" w:color="auto" w:fill="auto"/>
            <w:vAlign w:val="center"/>
          </w:tcPr>
          <w:p w14:paraId="4BABFAE5">
            <w:pPr>
              <w:pStyle w:val="11"/>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增值税</w:t>
            </w:r>
            <w:r>
              <w:rPr>
                <w:rFonts w:hint="eastAsia" w:ascii="Times New Roman" w:hAnsi="Times New Roman"/>
                <w:color w:val="auto"/>
                <w:sz w:val="24"/>
                <w:szCs w:val="28"/>
                <w:highlight w:val="none"/>
                <w:lang w:val="en-US" w:eastAsia="zh-CN"/>
              </w:rPr>
              <w:t>普通</w:t>
            </w:r>
            <w:r>
              <w:rPr>
                <w:rFonts w:hint="eastAsia" w:ascii="Times New Roman" w:hAnsi="Times New Roman"/>
                <w:color w:val="auto"/>
                <w:sz w:val="24"/>
                <w:szCs w:val="28"/>
                <w:highlight w:val="none"/>
              </w:rPr>
              <w:t>发票税率</w:t>
            </w:r>
          </w:p>
        </w:tc>
        <w:tc>
          <w:tcPr>
            <w:tcW w:w="6804" w:type="dxa"/>
            <w:shd w:val="clear" w:color="auto" w:fill="auto"/>
            <w:vAlign w:val="center"/>
          </w:tcPr>
          <w:p w14:paraId="381BFB38">
            <w:pPr>
              <w:pStyle w:val="11"/>
              <w:spacing w:line="360" w:lineRule="auto"/>
              <w:ind w:firstLine="2160" w:firstLineChars="900"/>
              <w:rPr>
                <w:rFonts w:ascii="Times New Roman" w:hAnsi="Times New Roman"/>
                <w:color w:val="auto"/>
                <w:sz w:val="24"/>
                <w:szCs w:val="28"/>
                <w:highlight w:val="none"/>
              </w:rPr>
            </w:pPr>
            <w:r>
              <w:rPr>
                <w:rFonts w:hint="eastAsia" w:ascii="Times New Roman" w:hAnsi="Times New Roman"/>
                <w:color w:val="auto"/>
                <w:sz w:val="24"/>
                <w:szCs w:val="28"/>
                <w:highlight w:val="none"/>
                <w:u w:val="single"/>
              </w:rPr>
              <w:t xml:space="preserve">    </w:t>
            </w:r>
            <w:r>
              <w:rPr>
                <w:rFonts w:hint="eastAsia" w:ascii="Times New Roman" w:hAnsi="Times New Roman"/>
                <w:color w:val="auto"/>
                <w:sz w:val="24"/>
                <w:szCs w:val="28"/>
                <w:highlight w:val="none"/>
              </w:rPr>
              <w:t>%</w:t>
            </w:r>
          </w:p>
        </w:tc>
      </w:tr>
      <w:tr w14:paraId="378A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27" w:type="dxa"/>
            <w:shd w:val="clear" w:color="auto" w:fill="auto"/>
            <w:vAlign w:val="center"/>
          </w:tcPr>
          <w:p w14:paraId="6B57D6FB">
            <w:pPr>
              <w:pStyle w:val="11"/>
              <w:spacing w:line="360" w:lineRule="auto"/>
              <w:jc w:val="center"/>
              <w:rPr>
                <w:rFonts w:ascii="Times New Roman" w:hAnsi="Times New Roman"/>
                <w:color w:val="auto"/>
                <w:sz w:val="24"/>
                <w:szCs w:val="28"/>
                <w:highlight w:val="none"/>
                <w:u w:val="single"/>
              </w:rPr>
            </w:pPr>
            <w:r>
              <w:rPr>
                <w:rFonts w:ascii="Times New Roman" w:hAnsi="Times New Roman"/>
                <w:color w:val="auto"/>
                <w:sz w:val="24"/>
                <w:szCs w:val="28"/>
                <w:highlight w:val="none"/>
              </w:rPr>
              <w:t>完成时间</w:t>
            </w:r>
          </w:p>
        </w:tc>
        <w:tc>
          <w:tcPr>
            <w:tcW w:w="6804" w:type="dxa"/>
            <w:shd w:val="clear" w:color="auto" w:fill="auto"/>
            <w:vAlign w:val="center"/>
          </w:tcPr>
          <w:p w14:paraId="59D2BFF2">
            <w:pPr>
              <w:autoSpaceDE/>
              <w:autoSpaceDN/>
              <w:adjustRightInd/>
              <w:spacing w:line="380" w:lineRule="exact"/>
              <w:jc w:val="center"/>
              <w:rPr>
                <w:rFonts w:ascii="Times New Roman"/>
                <w:bCs/>
                <w:color w:val="auto"/>
                <w:highlight w:val="none"/>
              </w:rPr>
            </w:pPr>
            <w:r>
              <w:rPr>
                <w:rFonts w:hint="eastAsia" w:ascii="Times New Roman"/>
                <w:color w:val="auto"/>
                <w:highlight w:val="none"/>
              </w:rPr>
              <w:t>见</w:t>
            </w:r>
            <w:r>
              <w:rPr>
                <w:rFonts w:ascii="Times New Roman"/>
                <w:color w:val="auto"/>
                <w:highlight w:val="none"/>
              </w:rPr>
              <w:t>用户需求书。</w:t>
            </w:r>
          </w:p>
        </w:tc>
      </w:tr>
      <w:tr w14:paraId="3175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14:paraId="1CCBCC57">
            <w:pPr>
              <w:pStyle w:val="11"/>
              <w:spacing w:line="360" w:lineRule="auto"/>
              <w:jc w:val="center"/>
              <w:rPr>
                <w:rFonts w:ascii="Times New Roman" w:hAnsi="Times New Roman"/>
                <w:color w:val="auto"/>
                <w:sz w:val="24"/>
                <w:szCs w:val="28"/>
                <w:highlight w:val="none"/>
              </w:rPr>
            </w:pPr>
            <w:r>
              <w:rPr>
                <w:rFonts w:ascii="Times New Roman" w:hAnsi="Times New Roman"/>
                <w:color w:val="auto"/>
                <w:sz w:val="24"/>
                <w:szCs w:val="28"/>
                <w:highlight w:val="none"/>
              </w:rPr>
              <w:t>备注</w:t>
            </w:r>
          </w:p>
        </w:tc>
        <w:tc>
          <w:tcPr>
            <w:tcW w:w="6804" w:type="dxa"/>
            <w:shd w:val="clear" w:color="auto" w:fill="auto"/>
            <w:vAlign w:val="center"/>
          </w:tcPr>
          <w:p w14:paraId="4AEA240A">
            <w:pPr>
              <w:numPr>
                <w:ilvl w:val="0"/>
                <w:numId w:val="0"/>
              </w:numPr>
              <w:autoSpaceDE/>
              <w:autoSpaceDN/>
              <w:adjustRightInd/>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本次报价为</w:t>
            </w:r>
            <w:r>
              <w:rPr>
                <w:rFonts w:hint="eastAsia" w:ascii="宋体" w:hAnsi="宋体" w:eastAsia="宋体" w:cs="宋体"/>
                <w:color w:val="auto"/>
                <w:sz w:val="24"/>
                <w:szCs w:val="24"/>
                <w:highlight w:val="none"/>
                <w:lang w:val="en-US" w:eastAsia="zh-CN"/>
              </w:rPr>
              <w:t>不含销项税额，</w:t>
            </w:r>
            <w:r>
              <w:rPr>
                <w:rFonts w:hint="eastAsia" w:ascii="宋体" w:hAnsi="宋体" w:eastAsia="宋体" w:cs="宋体"/>
                <w:color w:val="auto"/>
                <w:sz w:val="24"/>
                <w:szCs w:val="24"/>
                <w:highlight w:val="none"/>
              </w:rPr>
              <w:t>包含报价人销项税额以外的税费及完成本项目所需的全部费用。</w:t>
            </w:r>
          </w:p>
          <w:p w14:paraId="46AFF68C">
            <w:pPr>
              <w:numPr>
                <w:ilvl w:val="-1"/>
                <w:numId w:val="0"/>
              </w:numPr>
              <w:autoSpaceDE/>
              <w:autoSpaceDN/>
              <w:adjustRightInd/>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2.不含税报价不得高于本项目不含税总采购限价332,169.81元，否则视为无效报价。</w:t>
            </w:r>
          </w:p>
          <w:p w14:paraId="204D9E98">
            <w:pPr>
              <w:numPr>
                <w:ilvl w:val="-1"/>
                <w:numId w:val="0"/>
              </w:numPr>
              <w:autoSpaceDE/>
              <w:autoSpaceDN/>
              <w:adjustRightInd/>
              <w:spacing w:line="440" w:lineRule="exact"/>
              <w:jc w:val="both"/>
              <w:rPr>
                <w:rFonts w:ascii="Times New Roman"/>
                <w:color w:val="auto"/>
                <w:sz w:val="22"/>
                <w:szCs w:val="22"/>
                <w:highlight w:val="none"/>
              </w:rPr>
            </w:pPr>
            <w:r>
              <w:rPr>
                <w:rFonts w:hint="eastAsia" w:ascii="宋体" w:hAnsi="宋体" w:eastAsia="宋体" w:cs="宋体"/>
                <w:color w:val="auto"/>
                <w:sz w:val="24"/>
                <w:szCs w:val="24"/>
                <w:highlight w:val="none"/>
              </w:rPr>
              <w:t>3.本报价表不允许调整，擅自修改，将视为无效报价。</w:t>
            </w:r>
          </w:p>
        </w:tc>
      </w:tr>
    </w:tbl>
    <w:p w14:paraId="3F7F73C9">
      <w:pPr>
        <w:pStyle w:val="11"/>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联系人：                          联系电话：</w:t>
      </w:r>
    </w:p>
    <w:p w14:paraId="626A4700">
      <w:pPr>
        <w:pStyle w:val="11"/>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联系地址：</w:t>
      </w:r>
    </w:p>
    <w:p w14:paraId="5A585BB8">
      <w:pPr>
        <w:wordWrap w:val="0"/>
        <w:spacing w:line="360" w:lineRule="auto"/>
        <w:jc w:val="right"/>
        <w:rPr>
          <w:rFonts w:ascii="Times New Roman"/>
          <w:color w:val="auto"/>
          <w:kern w:val="2"/>
          <w:szCs w:val="28"/>
          <w:highlight w:val="none"/>
        </w:rPr>
      </w:pPr>
    </w:p>
    <w:p w14:paraId="3B02D68A">
      <w:pPr>
        <w:wordWrap w:val="0"/>
        <w:spacing w:line="240" w:lineRule="auto"/>
        <w:jc w:val="center"/>
        <w:rPr>
          <w:rFonts w:ascii="Times New Roman"/>
          <w:color w:val="auto"/>
          <w:kern w:val="2"/>
          <w:szCs w:val="28"/>
          <w:highlight w:val="none"/>
        </w:rPr>
      </w:pPr>
      <w:r>
        <w:rPr>
          <w:rFonts w:hint="eastAsia" w:ascii="Times New Roman"/>
          <w:color w:val="auto"/>
          <w:kern w:val="2"/>
          <w:szCs w:val="28"/>
          <w:highlight w:val="none"/>
        </w:rPr>
        <w:t xml:space="preserve">    报价人：（加盖报价人公章）</w:t>
      </w:r>
    </w:p>
    <w:p w14:paraId="7C631360">
      <w:pPr>
        <w:wordWrap w:val="0"/>
        <w:spacing w:line="240" w:lineRule="auto"/>
        <w:jc w:val="right"/>
        <w:rPr>
          <w:rFonts w:ascii="Times New Roman"/>
          <w:color w:val="auto"/>
          <w:kern w:val="2"/>
          <w:szCs w:val="28"/>
          <w:highlight w:val="none"/>
        </w:rPr>
      </w:pPr>
      <w:r>
        <w:rPr>
          <w:rFonts w:hint="eastAsia" w:ascii="Times New Roman"/>
          <w:color w:val="auto"/>
          <w:kern w:val="2"/>
          <w:szCs w:val="28"/>
          <w:highlight w:val="none"/>
        </w:rPr>
        <w:t xml:space="preserve">                         </w:t>
      </w:r>
    </w:p>
    <w:p w14:paraId="6207D985">
      <w:pPr>
        <w:spacing w:line="240" w:lineRule="auto"/>
        <w:ind w:firstLine="5040"/>
        <w:jc w:val="both"/>
        <w:rPr>
          <w:rFonts w:ascii="Times New Roman"/>
          <w:color w:val="auto"/>
          <w:kern w:val="2"/>
          <w:szCs w:val="28"/>
          <w:highlight w:val="none"/>
        </w:rPr>
      </w:pPr>
    </w:p>
    <w:p w14:paraId="717544A3">
      <w:pPr>
        <w:jc w:val="center"/>
        <w:rPr>
          <w:rFonts w:ascii="Times New Roman"/>
          <w:color w:val="auto"/>
          <w:kern w:val="2"/>
          <w:szCs w:val="28"/>
          <w:highlight w:val="none"/>
          <w:lang w:val="zh-CN"/>
        </w:rPr>
      </w:pPr>
      <w:r>
        <w:rPr>
          <w:rFonts w:ascii="Times New Roman"/>
          <w:color w:val="auto"/>
          <w:kern w:val="2"/>
          <w:szCs w:val="28"/>
          <w:highlight w:val="none"/>
          <w:lang w:val="zh-CN"/>
        </w:rPr>
        <w:t xml:space="preserve">                             日期：   年    月   日  </w:t>
      </w:r>
    </w:p>
    <w:p w14:paraId="54AC1874">
      <w:pPr>
        <w:numPr>
          <w:ilvl w:val="-1"/>
          <w:numId w:val="0"/>
        </w:numPr>
        <w:ind w:firstLine="0" w:firstLineChars="0"/>
        <w:rPr>
          <w:rFonts w:hint="eastAsia" w:ascii="宋体" w:hAnsi="宋体" w:eastAsia="宋体" w:cs="宋体"/>
          <w:color w:val="auto"/>
          <w:kern w:val="2"/>
          <w:sz w:val="24"/>
          <w:szCs w:val="24"/>
          <w:highlight w:val="none"/>
          <w:lang w:val="zh-CN"/>
        </w:rPr>
      </w:pPr>
      <w:r>
        <w:rPr>
          <w:rFonts w:ascii="Times New Roman"/>
          <w:color w:val="auto"/>
          <w:kern w:val="2"/>
          <w:szCs w:val="28"/>
          <w:highlight w:val="none"/>
          <w:lang w:val="zh-CN"/>
        </w:rPr>
        <w:br w:type="page"/>
      </w:r>
      <w:bookmarkStart w:id="50" w:name="_Toc4278"/>
      <w:bookmarkStart w:id="51" w:name="_Toc30195"/>
      <w:bookmarkStart w:id="52" w:name="_Toc10747"/>
      <w:bookmarkStart w:id="53" w:name="_Toc29000"/>
      <w:bookmarkStart w:id="54" w:name="_Toc27491776"/>
      <w:bookmarkStart w:id="55" w:name="_Toc27494730"/>
      <w:bookmarkStart w:id="56" w:name="_Toc44929217"/>
    </w:p>
    <w:p w14:paraId="06AC2363">
      <w:pPr>
        <w:pStyle w:val="2"/>
        <w:numPr>
          <w:ilvl w:val="0"/>
          <w:numId w:val="0"/>
        </w:numPr>
        <w:ind w:left="0"/>
        <w:jc w:val="left"/>
        <w:rPr>
          <w:rFonts w:hint="eastAsia"/>
          <w:color w:val="auto"/>
          <w:sz w:val="28"/>
          <w:szCs w:val="28"/>
        </w:rPr>
      </w:pPr>
      <w:bookmarkStart w:id="57" w:name="_Toc1052"/>
      <w:bookmarkStart w:id="58" w:name="_Toc76"/>
      <w:r>
        <w:rPr>
          <w:rFonts w:hint="eastAsia"/>
          <w:color w:val="auto"/>
          <w:sz w:val="28"/>
          <w:szCs w:val="28"/>
          <w:lang w:val="en-US" w:eastAsia="zh-CN"/>
        </w:rPr>
        <w:t>2.</w:t>
      </w:r>
      <w:r>
        <w:rPr>
          <w:rFonts w:hint="eastAsia"/>
          <w:color w:val="auto"/>
          <w:sz w:val="28"/>
          <w:szCs w:val="28"/>
        </w:rPr>
        <w:t>报价承诺书</w:t>
      </w:r>
      <w:bookmarkEnd w:id="50"/>
      <w:bookmarkEnd w:id="51"/>
      <w:bookmarkEnd w:id="52"/>
      <w:bookmarkEnd w:id="53"/>
      <w:bookmarkEnd w:id="57"/>
      <w:bookmarkEnd w:id="58"/>
    </w:p>
    <w:p w14:paraId="28EE0786">
      <w:pPr>
        <w:spacing w:line="360" w:lineRule="auto"/>
        <w:jc w:val="both"/>
        <w:rPr>
          <w:rFonts w:hint="eastAsia" w:hAnsi="宋体" w:eastAsia="宋体" w:cs="宋体"/>
          <w:color w:val="auto"/>
          <w:kern w:val="2"/>
          <w:sz w:val="21"/>
          <w:szCs w:val="21"/>
          <w:highlight w:val="none"/>
          <w:lang w:eastAsia="zh-CN"/>
        </w:rPr>
      </w:pPr>
      <w:r>
        <w:rPr>
          <w:rFonts w:hint="eastAsia"/>
          <w:color w:val="auto"/>
          <w:szCs w:val="32"/>
          <w:highlight w:val="none"/>
        </w:rPr>
        <w:t xml:space="preserve"> </w:t>
      </w:r>
      <w:r>
        <w:rPr>
          <w:rFonts w:hint="eastAsia" w:hAnsi="宋体" w:cs="宋体"/>
          <w:color w:val="auto"/>
          <w:kern w:val="2"/>
          <w:sz w:val="21"/>
          <w:szCs w:val="21"/>
          <w:highlight w:val="none"/>
          <w:lang w:val="zh-CN"/>
        </w:rPr>
        <w:t>致：</w:t>
      </w:r>
      <w:r>
        <w:rPr>
          <w:rFonts w:hint="eastAsia" w:hAnsi="宋体" w:cs="宋体"/>
          <w:color w:val="auto"/>
          <w:sz w:val="21"/>
          <w:szCs w:val="32"/>
          <w:highlight w:val="none"/>
          <w:lang w:eastAsia="zh-CN"/>
        </w:rPr>
        <w:t>东莞市水务环境投资控股集团建设管理有限公司</w:t>
      </w:r>
    </w:p>
    <w:p w14:paraId="7A24A085">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我公司已收到滨海湾新区苗涌东侧规划次干路配套给水工程（含交椅湾板块连通管工程）涉地铁2号线安全评估报告编制(采购编号：2025-CG-033)询价文件</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并</w:t>
      </w:r>
      <w:r>
        <w:rPr>
          <w:rFonts w:hint="eastAsia" w:hAnsi="宋体" w:cs="宋体"/>
          <w:color w:val="auto"/>
          <w:kern w:val="2"/>
          <w:sz w:val="21"/>
          <w:szCs w:val="21"/>
          <w:highlight w:val="none"/>
          <w:lang w:val="zh-CN"/>
        </w:rPr>
        <w:t>完全</w:t>
      </w:r>
      <w:r>
        <w:rPr>
          <w:rFonts w:hint="eastAsia" w:hAnsi="宋体" w:cs="宋体"/>
          <w:color w:val="auto"/>
          <w:kern w:val="2"/>
          <w:sz w:val="21"/>
          <w:szCs w:val="21"/>
          <w:highlight w:val="none"/>
        </w:rPr>
        <w:t>清楚了解询价</w:t>
      </w:r>
      <w:r>
        <w:rPr>
          <w:rFonts w:hint="eastAsia" w:hAnsi="宋体" w:cs="宋体"/>
          <w:color w:val="auto"/>
          <w:kern w:val="2"/>
          <w:sz w:val="21"/>
          <w:szCs w:val="21"/>
          <w:highlight w:val="none"/>
          <w:lang w:val="zh-CN"/>
        </w:rPr>
        <w:t>文件的所有条款要求，</w:t>
      </w:r>
      <w:r>
        <w:rPr>
          <w:rFonts w:hint="eastAsia" w:hAnsi="宋体" w:cs="宋体"/>
          <w:color w:val="auto"/>
          <w:kern w:val="2"/>
          <w:sz w:val="21"/>
          <w:szCs w:val="21"/>
          <w:highlight w:val="none"/>
        </w:rPr>
        <w:t>现</w:t>
      </w:r>
      <w:r>
        <w:rPr>
          <w:rFonts w:hint="eastAsia" w:hAnsi="宋体" w:cs="宋体"/>
          <w:color w:val="auto"/>
          <w:kern w:val="2"/>
          <w:sz w:val="21"/>
          <w:szCs w:val="21"/>
          <w:highlight w:val="none"/>
          <w:lang w:val="zh-CN"/>
        </w:rPr>
        <w:t>重申如下：</w:t>
      </w:r>
    </w:p>
    <w:p w14:paraId="5EBAA531">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如我公司存在</w:t>
      </w:r>
      <w:r>
        <w:rPr>
          <w:rFonts w:hint="eastAsia" w:hAnsi="宋体" w:cs="宋体"/>
          <w:color w:val="auto"/>
          <w:kern w:val="2"/>
          <w:sz w:val="21"/>
          <w:szCs w:val="21"/>
          <w:highlight w:val="none"/>
        </w:rPr>
        <w:t>成交后放弃</w:t>
      </w:r>
      <w:r>
        <w:rPr>
          <w:rFonts w:hint="eastAsia" w:hAnsi="宋体" w:cs="宋体"/>
          <w:color w:val="auto"/>
          <w:kern w:val="2"/>
          <w:sz w:val="21"/>
          <w:szCs w:val="21"/>
          <w:highlight w:val="none"/>
          <w:lang w:val="zh-CN"/>
        </w:rPr>
        <w:t>或提供虚假证明文件、虚假</w:t>
      </w:r>
      <w:r>
        <w:rPr>
          <w:rFonts w:hint="eastAsia" w:hAnsi="宋体" w:cs="宋体"/>
          <w:color w:val="auto"/>
          <w:kern w:val="2"/>
          <w:sz w:val="21"/>
          <w:szCs w:val="21"/>
          <w:highlight w:val="none"/>
        </w:rPr>
        <w:t>报价</w:t>
      </w:r>
      <w:r>
        <w:rPr>
          <w:rFonts w:hint="eastAsia" w:hAnsi="宋体" w:cs="宋体"/>
          <w:color w:val="auto"/>
          <w:kern w:val="2"/>
          <w:sz w:val="21"/>
          <w:szCs w:val="21"/>
          <w:highlight w:val="none"/>
          <w:lang w:val="zh-CN"/>
        </w:rPr>
        <w:t>文件或存在</w:t>
      </w:r>
      <w:r>
        <w:rPr>
          <w:rFonts w:hint="eastAsia" w:hAnsi="宋体" w:cs="宋体"/>
          <w:color w:val="auto"/>
          <w:kern w:val="2"/>
          <w:sz w:val="21"/>
          <w:szCs w:val="21"/>
          <w:highlight w:val="none"/>
        </w:rPr>
        <w:t>实际服务质量低于</w:t>
      </w:r>
      <w:r>
        <w:rPr>
          <w:rFonts w:hint="eastAsia" w:hAnsi="宋体" w:cs="宋体"/>
          <w:color w:val="auto"/>
          <w:kern w:val="2"/>
          <w:sz w:val="21"/>
          <w:szCs w:val="21"/>
          <w:highlight w:val="none"/>
          <w:lang w:val="en-US" w:eastAsia="zh-CN"/>
        </w:rPr>
        <w:t>询价文件要求或</w:t>
      </w:r>
      <w:r>
        <w:rPr>
          <w:rFonts w:hint="eastAsia" w:hAnsi="宋体" w:cs="宋体"/>
          <w:color w:val="auto"/>
          <w:kern w:val="2"/>
          <w:sz w:val="21"/>
          <w:szCs w:val="21"/>
          <w:highlight w:val="none"/>
        </w:rPr>
        <w:t>报价文件承诺的标准</w:t>
      </w:r>
      <w:r>
        <w:rPr>
          <w:rFonts w:hint="eastAsia" w:hAnsi="宋体" w:cs="宋体"/>
          <w:color w:val="auto"/>
          <w:kern w:val="2"/>
          <w:sz w:val="21"/>
          <w:szCs w:val="21"/>
          <w:highlight w:val="none"/>
          <w:lang w:val="zh-CN"/>
        </w:rPr>
        <w:t>等</w:t>
      </w:r>
      <w:r>
        <w:rPr>
          <w:rFonts w:hint="eastAsia" w:hAnsi="宋体" w:cs="宋体"/>
          <w:color w:val="auto"/>
          <w:kern w:val="2"/>
          <w:sz w:val="21"/>
          <w:szCs w:val="21"/>
          <w:highlight w:val="none"/>
        </w:rPr>
        <w:t>情况的</w:t>
      </w:r>
      <w:r>
        <w:rPr>
          <w:rFonts w:hint="eastAsia" w:hAnsi="宋体" w:cs="宋体"/>
          <w:color w:val="auto"/>
          <w:kern w:val="2"/>
          <w:sz w:val="21"/>
          <w:szCs w:val="21"/>
          <w:highlight w:val="none"/>
          <w:lang w:val="zh-CN"/>
        </w:rPr>
        <w:t>，我公司将同意并接受贵公司</w:t>
      </w:r>
      <w:r>
        <w:rPr>
          <w:rFonts w:hint="eastAsia" w:hAnsi="宋体" w:cs="宋体"/>
          <w:color w:val="auto"/>
          <w:kern w:val="2"/>
          <w:sz w:val="21"/>
          <w:szCs w:val="21"/>
          <w:highlight w:val="none"/>
        </w:rPr>
        <w:t>按照</w:t>
      </w:r>
      <w:r>
        <w:rPr>
          <w:rFonts w:hint="eastAsia" w:hAnsi="宋体" w:cs="宋体"/>
          <w:color w:val="auto"/>
          <w:kern w:val="2"/>
          <w:sz w:val="21"/>
          <w:szCs w:val="21"/>
          <w:highlight w:val="none"/>
          <w:lang w:val="en-US" w:eastAsia="zh-CN"/>
        </w:rPr>
        <w:t>询价</w:t>
      </w:r>
      <w:r>
        <w:rPr>
          <w:rFonts w:hint="eastAsia" w:hAnsi="宋体" w:cs="宋体"/>
          <w:color w:val="auto"/>
          <w:kern w:val="2"/>
          <w:sz w:val="21"/>
          <w:szCs w:val="21"/>
          <w:highlight w:val="none"/>
        </w:rPr>
        <w:t>文件追究责任，并</w:t>
      </w:r>
      <w:r>
        <w:rPr>
          <w:rFonts w:hint="eastAsia" w:hAnsi="宋体" w:cs="宋体"/>
          <w:color w:val="auto"/>
          <w:kern w:val="2"/>
          <w:sz w:val="21"/>
          <w:szCs w:val="21"/>
          <w:highlight w:val="none"/>
          <w:lang w:val="zh-CN"/>
        </w:rPr>
        <w:t>采取包括但不限于以下措施：</w:t>
      </w:r>
    </w:p>
    <w:p w14:paraId="12C64604">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1、将我公司列入东莞市水务环境投资控股集团有限公司</w:t>
      </w:r>
      <w:r>
        <w:rPr>
          <w:rFonts w:hint="eastAsia" w:ascii="Times New Roman" w:cs="宋体"/>
          <w:color w:val="auto"/>
          <w:kern w:val="2"/>
          <w:sz w:val="21"/>
          <w:szCs w:val="21"/>
          <w:highlight w:val="none"/>
          <w:lang w:val="zh-CN"/>
        </w:rPr>
        <w:t>（</w:t>
      </w:r>
      <w:r>
        <w:rPr>
          <w:rFonts w:hint="eastAsia" w:ascii="Times New Roman" w:cs="宋体"/>
          <w:color w:val="auto"/>
          <w:kern w:val="2"/>
          <w:sz w:val="21"/>
          <w:szCs w:val="21"/>
          <w:highlight w:val="none"/>
        </w:rPr>
        <w:t>含其全资子公司、控股公司、由其管理的参股公司</w:t>
      </w:r>
      <w:r>
        <w:rPr>
          <w:rFonts w:hint="eastAsia" w:ascii="Times New Roman" w:cs="宋体"/>
          <w:color w:val="auto"/>
          <w:kern w:val="2"/>
          <w:sz w:val="21"/>
          <w:szCs w:val="21"/>
          <w:highlight w:val="none"/>
          <w:lang w:val="zh-CN"/>
        </w:rPr>
        <w:t>）</w:t>
      </w:r>
      <w:r>
        <w:rPr>
          <w:rFonts w:hint="eastAsia" w:hAnsi="宋体" w:cs="宋体"/>
          <w:color w:val="auto"/>
          <w:kern w:val="2"/>
          <w:sz w:val="21"/>
          <w:szCs w:val="21"/>
          <w:highlight w:val="none"/>
          <w:lang w:val="zh-CN"/>
        </w:rPr>
        <w:t>“黑名单”，在东莞市水务环境投资控股集团有限公司官网、东莞阳光网、东莞日报等媒体公开我公司失信行为，并在贵公司以后的采购项目评标时充分考虑我公司的不良行为和履约问题；</w:t>
      </w:r>
    </w:p>
    <w:p w14:paraId="1C3ADD87">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2、上报东莞市市场监督管理局、</w:t>
      </w:r>
      <w:r>
        <w:rPr>
          <w:rFonts w:hint="eastAsia" w:hAnsi="宋体" w:cs="宋体"/>
          <w:color w:val="auto"/>
          <w:kern w:val="2"/>
          <w:sz w:val="21"/>
          <w:szCs w:val="21"/>
          <w:highlight w:val="none"/>
        </w:rPr>
        <w:t>东莞市水务局、东莞市住房和城乡建设局</w:t>
      </w:r>
      <w:r>
        <w:rPr>
          <w:rFonts w:hint="eastAsia" w:hAnsi="宋体" w:cs="宋体"/>
          <w:color w:val="auto"/>
          <w:kern w:val="2"/>
          <w:sz w:val="21"/>
          <w:szCs w:val="21"/>
          <w:highlight w:val="none"/>
          <w:lang w:val="zh-CN"/>
        </w:rPr>
        <w:t>等部门列入重点监管名单，在东莞市以后的招标采购项目评标时会充分考虑我公司的不良行为和履约问题，甚至取消我公司参加东莞市公开招标采购项目的投标及竞价资格；</w:t>
      </w:r>
    </w:p>
    <w:p w14:paraId="5A6EE91B">
      <w:pPr>
        <w:spacing w:line="360" w:lineRule="auto"/>
        <w:ind w:firstLine="420"/>
        <w:jc w:val="both"/>
        <w:rPr>
          <w:rFonts w:hAnsi="宋体" w:cs="宋体"/>
          <w:color w:val="auto"/>
          <w:kern w:val="2"/>
          <w:sz w:val="21"/>
          <w:szCs w:val="21"/>
          <w:highlight w:val="none"/>
        </w:rPr>
      </w:pPr>
      <w:r>
        <w:rPr>
          <w:rFonts w:hint="eastAsia" w:hAnsi="宋体" w:cs="宋体"/>
          <w:color w:val="auto"/>
          <w:kern w:val="2"/>
          <w:sz w:val="21"/>
          <w:szCs w:val="21"/>
          <w:highlight w:val="none"/>
          <w:lang w:val="zh-CN"/>
        </w:rPr>
        <w:t>3、向广东省住建厅、省国资委、中国消费者协会进行通报和投诉等。我公司将按相关规定接受处理，由此产生的不良影响与经济损失均由我公司自行承担，与贵公司无关。</w:t>
      </w:r>
    </w:p>
    <w:p w14:paraId="3B16B38D">
      <w:pPr>
        <w:spacing w:line="360" w:lineRule="auto"/>
        <w:rPr>
          <w:rFonts w:hAnsi="宋体" w:cs="宋体"/>
          <w:color w:val="auto"/>
          <w:highlight w:val="none"/>
        </w:rPr>
      </w:pPr>
    </w:p>
    <w:p w14:paraId="3AF3244E">
      <w:pPr>
        <w:spacing w:line="360" w:lineRule="auto"/>
        <w:ind w:firstLine="5040"/>
        <w:jc w:val="both"/>
        <w:rPr>
          <w:rFonts w:hAnsi="宋体" w:cs="宋体"/>
          <w:color w:val="auto"/>
          <w:kern w:val="2"/>
          <w:sz w:val="21"/>
          <w:highlight w:val="none"/>
        </w:rPr>
      </w:pPr>
      <w:r>
        <w:rPr>
          <w:rFonts w:hint="eastAsia" w:hAnsi="宋体" w:cs="宋体"/>
          <w:color w:val="auto"/>
          <w:kern w:val="2"/>
          <w:sz w:val="21"/>
          <w:highlight w:val="none"/>
          <w:lang w:val="zh-CN"/>
        </w:rPr>
        <w:t>报价人：（加盖报价人公章）</w:t>
      </w:r>
    </w:p>
    <w:p w14:paraId="7225A627">
      <w:pPr>
        <w:spacing w:line="360" w:lineRule="auto"/>
        <w:ind w:firstLine="5040"/>
        <w:jc w:val="both"/>
        <w:rPr>
          <w:rFonts w:hAnsi="宋体" w:cs="宋体"/>
          <w:color w:val="auto"/>
          <w:kern w:val="2"/>
          <w:highlight w:val="none"/>
          <w:lang w:val="zh-CN"/>
        </w:rPr>
      </w:pPr>
      <w:r>
        <w:rPr>
          <w:rFonts w:hint="eastAsia" w:hAnsi="宋体" w:cs="宋体"/>
          <w:color w:val="auto"/>
          <w:kern w:val="2"/>
          <w:sz w:val="21"/>
          <w:highlight w:val="none"/>
          <w:lang w:val="zh-CN"/>
        </w:rPr>
        <w:t>日期：   年   月   日</w:t>
      </w:r>
    </w:p>
    <w:p w14:paraId="011317CC">
      <w:pPr>
        <w:rPr>
          <w:rFonts w:hint="eastAsia" w:ascii="宋体" w:hAnsi="Times New Roman" w:eastAsia="宋体" w:cs="Times New Roman"/>
          <w:sz w:val="24"/>
          <w:szCs w:val="24"/>
          <w:lang w:val="en-US" w:eastAsia="zh-CN" w:bidi="ar-SA"/>
        </w:rPr>
      </w:pPr>
      <w:r>
        <w:rPr>
          <w:rFonts w:hint="eastAsia"/>
          <w:color w:val="auto"/>
          <w:szCs w:val="32"/>
          <w:highlight w:val="none"/>
        </w:rPr>
        <w:br w:type="page"/>
      </w:r>
    </w:p>
    <w:bookmarkEnd w:id="54"/>
    <w:bookmarkEnd w:id="55"/>
    <w:bookmarkEnd w:id="56"/>
    <w:p w14:paraId="5FE53F30">
      <w:pPr>
        <w:numPr>
          <w:ilvl w:val="255"/>
          <w:numId w:val="0"/>
        </w:numPr>
        <w:spacing w:line="360" w:lineRule="auto"/>
        <w:jc w:val="both"/>
        <w:rPr>
          <w:rFonts w:hint="eastAsia" w:hAnsi="Times New Roman" w:cs="Times New Roman"/>
          <w:b/>
          <w:bCs/>
          <w:color w:val="auto"/>
          <w:kern w:val="44"/>
          <w:sz w:val="28"/>
          <w:szCs w:val="28"/>
        </w:rPr>
      </w:pPr>
      <w:bookmarkStart w:id="59" w:name="_Toc9866"/>
      <w:bookmarkStart w:id="60" w:name="_Toc26164"/>
      <w:bookmarkStart w:id="61" w:name="_Toc8399"/>
      <w:r>
        <w:rPr>
          <w:rFonts w:hint="eastAsia" w:cs="Times New Roman"/>
          <w:b/>
          <w:bCs/>
          <w:color w:val="auto"/>
          <w:kern w:val="44"/>
          <w:sz w:val="28"/>
          <w:szCs w:val="28"/>
          <w:lang w:val="en-US" w:eastAsia="zh-CN"/>
        </w:rPr>
        <w:t>3</w:t>
      </w:r>
      <w:r>
        <w:rPr>
          <w:rFonts w:hint="eastAsia" w:hAnsi="Times New Roman" w:cs="Times New Roman"/>
          <w:b/>
          <w:bCs/>
          <w:color w:val="auto"/>
          <w:kern w:val="44"/>
          <w:sz w:val="28"/>
          <w:szCs w:val="28"/>
        </w:rPr>
        <w:t>.用户需求偏离表</w:t>
      </w:r>
    </w:p>
    <w:p w14:paraId="250FEF90">
      <w:pPr>
        <w:spacing w:line="360" w:lineRule="auto"/>
        <w:jc w:val="center"/>
        <w:rPr>
          <w:rFonts w:hAnsi="宋体" w:cs="宋体"/>
          <w:b/>
          <w:sz w:val="28"/>
          <w:szCs w:val="28"/>
        </w:rPr>
      </w:pPr>
      <w:bookmarkStart w:id="62" w:name="_Hlk26973180"/>
      <w:r>
        <w:rPr>
          <w:rFonts w:hint="eastAsia" w:hAnsi="宋体" w:cs="宋体"/>
          <w:b/>
          <w:sz w:val="28"/>
          <w:szCs w:val="28"/>
          <w:lang w:val="zh-CN"/>
        </w:rPr>
        <w:t>用户需求偏离表</w:t>
      </w:r>
    </w:p>
    <w:bookmarkEnd w:id="62"/>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5D60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49DAACF4">
            <w:pPr>
              <w:jc w:val="center"/>
              <w:rPr>
                <w:rFonts w:hAnsi="宋体" w:cs="宋体"/>
                <w:b/>
                <w:bCs/>
                <w:szCs w:val="21"/>
              </w:rPr>
            </w:pPr>
            <w:r>
              <w:rPr>
                <w:rFonts w:hint="eastAsia" w:hAnsi="宋体" w:cs="宋体"/>
                <w:b/>
                <w:bCs/>
                <w:szCs w:val="21"/>
              </w:rPr>
              <w:t>序号</w:t>
            </w:r>
          </w:p>
        </w:tc>
        <w:tc>
          <w:tcPr>
            <w:tcW w:w="3200" w:type="dxa"/>
            <w:gridSpan w:val="2"/>
            <w:vAlign w:val="center"/>
          </w:tcPr>
          <w:p w14:paraId="4ED41FF4">
            <w:pPr>
              <w:jc w:val="center"/>
              <w:rPr>
                <w:rFonts w:hAnsi="宋体" w:cs="宋体"/>
                <w:b/>
                <w:bCs/>
                <w:szCs w:val="21"/>
              </w:rPr>
            </w:pPr>
            <w:r>
              <w:rPr>
                <w:rFonts w:hint="eastAsia" w:hAnsi="宋体" w:cs="宋体"/>
                <w:b/>
                <w:bCs/>
                <w:szCs w:val="21"/>
              </w:rPr>
              <w:t>需求书要求</w:t>
            </w:r>
          </w:p>
        </w:tc>
        <w:tc>
          <w:tcPr>
            <w:tcW w:w="5180" w:type="dxa"/>
            <w:gridSpan w:val="2"/>
            <w:vAlign w:val="center"/>
          </w:tcPr>
          <w:p w14:paraId="01004DCF">
            <w:pPr>
              <w:jc w:val="center"/>
              <w:rPr>
                <w:rFonts w:hAnsi="宋体" w:cs="宋体"/>
                <w:b/>
                <w:bCs/>
                <w:szCs w:val="21"/>
              </w:rPr>
            </w:pPr>
            <w:r>
              <w:rPr>
                <w:rFonts w:hint="eastAsia" w:hAnsi="宋体" w:cs="宋体"/>
                <w:b/>
                <w:bCs/>
                <w:szCs w:val="21"/>
              </w:rPr>
              <w:t>响应情况</w:t>
            </w:r>
          </w:p>
        </w:tc>
      </w:tr>
      <w:tr w14:paraId="73BA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54E7770A">
            <w:pPr>
              <w:jc w:val="center"/>
              <w:rPr>
                <w:rFonts w:hAnsi="宋体" w:cs="宋体"/>
                <w:b/>
                <w:bCs/>
                <w:szCs w:val="21"/>
              </w:rPr>
            </w:pPr>
          </w:p>
        </w:tc>
        <w:tc>
          <w:tcPr>
            <w:tcW w:w="954" w:type="dxa"/>
            <w:vAlign w:val="center"/>
          </w:tcPr>
          <w:p w14:paraId="7BD92D7C">
            <w:pPr>
              <w:jc w:val="center"/>
              <w:rPr>
                <w:rFonts w:hAnsi="宋体" w:cs="宋体"/>
                <w:b/>
                <w:bCs/>
                <w:szCs w:val="21"/>
              </w:rPr>
            </w:pPr>
            <w:r>
              <w:rPr>
                <w:rFonts w:hint="eastAsia" w:hAnsi="宋体" w:cs="宋体"/>
                <w:b/>
                <w:bCs/>
                <w:szCs w:val="21"/>
              </w:rPr>
              <w:t>条款号</w:t>
            </w:r>
          </w:p>
        </w:tc>
        <w:tc>
          <w:tcPr>
            <w:tcW w:w="2246" w:type="dxa"/>
            <w:vAlign w:val="center"/>
          </w:tcPr>
          <w:p w14:paraId="7D783170">
            <w:pPr>
              <w:jc w:val="center"/>
              <w:rPr>
                <w:rFonts w:hAnsi="宋体" w:cs="宋体"/>
                <w:b/>
                <w:bCs/>
                <w:szCs w:val="21"/>
              </w:rPr>
            </w:pPr>
            <w:r>
              <w:rPr>
                <w:rFonts w:hint="eastAsia" w:hAnsi="宋体" w:cs="宋体"/>
                <w:b/>
                <w:bCs/>
                <w:szCs w:val="21"/>
              </w:rPr>
              <w:t>简要内容</w:t>
            </w:r>
          </w:p>
        </w:tc>
        <w:tc>
          <w:tcPr>
            <w:tcW w:w="2431" w:type="dxa"/>
            <w:vAlign w:val="center"/>
          </w:tcPr>
          <w:p w14:paraId="06FAC6C0">
            <w:pPr>
              <w:jc w:val="center"/>
              <w:rPr>
                <w:rFonts w:hAnsi="宋体" w:cs="宋体"/>
                <w:b/>
                <w:bCs/>
                <w:szCs w:val="21"/>
              </w:rPr>
            </w:pPr>
            <w:r>
              <w:rPr>
                <w:rFonts w:hint="eastAsia" w:hAnsi="宋体" w:cs="宋体"/>
                <w:b/>
                <w:bCs/>
                <w:szCs w:val="21"/>
              </w:rPr>
              <w:t>偏离情况</w:t>
            </w:r>
          </w:p>
        </w:tc>
        <w:tc>
          <w:tcPr>
            <w:tcW w:w="2749" w:type="dxa"/>
            <w:vAlign w:val="center"/>
          </w:tcPr>
          <w:p w14:paraId="0C6B1A03">
            <w:pPr>
              <w:jc w:val="center"/>
              <w:rPr>
                <w:rFonts w:hAnsi="宋体" w:cs="宋体"/>
                <w:b/>
                <w:bCs/>
                <w:szCs w:val="21"/>
              </w:rPr>
            </w:pPr>
            <w:r>
              <w:rPr>
                <w:rFonts w:hint="eastAsia" w:hAnsi="宋体" w:cs="宋体"/>
                <w:b/>
                <w:bCs/>
                <w:szCs w:val="21"/>
              </w:rPr>
              <w:t>具体偏离内容</w:t>
            </w:r>
          </w:p>
        </w:tc>
      </w:tr>
      <w:tr w14:paraId="16A1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ED37B4E">
            <w:pPr>
              <w:jc w:val="center"/>
              <w:rPr>
                <w:rFonts w:hAnsi="宋体" w:cs="宋体"/>
                <w:szCs w:val="21"/>
              </w:rPr>
            </w:pPr>
            <w:r>
              <w:rPr>
                <w:rFonts w:hint="eastAsia" w:hAnsi="宋体" w:cs="宋体"/>
                <w:szCs w:val="21"/>
              </w:rPr>
              <w:t>1</w:t>
            </w:r>
          </w:p>
        </w:tc>
        <w:tc>
          <w:tcPr>
            <w:tcW w:w="954" w:type="dxa"/>
            <w:vAlign w:val="center"/>
          </w:tcPr>
          <w:p w14:paraId="77B7E4B7">
            <w:pPr>
              <w:jc w:val="center"/>
              <w:rPr>
                <w:rFonts w:hAnsi="宋体" w:cs="宋体"/>
                <w:szCs w:val="21"/>
              </w:rPr>
            </w:pPr>
            <w:r>
              <w:rPr>
                <w:rFonts w:hint="eastAsia" w:hAnsi="宋体" w:cs="宋体"/>
                <w:szCs w:val="21"/>
              </w:rPr>
              <w:t>一</w:t>
            </w:r>
          </w:p>
        </w:tc>
        <w:tc>
          <w:tcPr>
            <w:tcW w:w="2246" w:type="dxa"/>
            <w:vAlign w:val="center"/>
          </w:tcPr>
          <w:p w14:paraId="3C469CC8">
            <w:pPr>
              <w:jc w:val="center"/>
              <w:rPr>
                <w:rFonts w:hAnsi="宋体" w:cs="宋体"/>
                <w:szCs w:val="21"/>
              </w:rPr>
            </w:pPr>
          </w:p>
        </w:tc>
        <w:tc>
          <w:tcPr>
            <w:tcW w:w="2431" w:type="dxa"/>
            <w:vAlign w:val="center"/>
          </w:tcPr>
          <w:p w14:paraId="3BB5858E">
            <w:pPr>
              <w:jc w:val="center"/>
              <w:rPr>
                <w:rFonts w:hAnsi="宋体" w:cs="宋体"/>
                <w:szCs w:val="21"/>
              </w:rPr>
            </w:pPr>
          </w:p>
        </w:tc>
        <w:tc>
          <w:tcPr>
            <w:tcW w:w="2749" w:type="dxa"/>
            <w:vAlign w:val="center"/>
          </w:tcPr>
          <w:p w14:paraId="7215D9AA">
            <w:pPr>
              <w:jc w:val="center"/>
              <w:rPr>
                <w:rFonts w:hAnsi="宋体" w:cs="宋体"/>
                <w:szCs w:val="21"/>
              </w:rPr>
            </w:pPr>
          </w:p>
        </w:tc>
      </w:tr>
      <w:tr w14:paraId="504C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5192A79D">
            <w:pPr>
              <w:jc w:val="center"/>
              <w:rPr>
                <w:rFonts w:hAnsi="宋体" w:cs="宋体"/>
                <w:szCs w:val="21"/>
              </w:rPr>
            </w:pPr>
            <w:r>
              <w:rPr>
                <w:rFonts w:hint="eastAsia" w:hAnsi="宋体" w:cs="宋体"/>
                <w:szCs w:val="21"/>
              </w:rPr>
              <w:t>2</w:t>
            </w:r>
          </w:p>
        </w:tc>
        <w:tc>
          <w:tcPr>
            <w:tcW w:w="954" w:type="dxa"/>
            <w:vAlign w:val="center"/>
          </w:tcPr>
          <w:p w14:paraId="2F4AA0C2">
            <w:pPr>
              <w:jc w:val="center"/>
              <w:rPr>
                <w:rFonts w:hAnsi="宋体" w:cs="宋体"/>
                <w:szCs w:val="21"/>
              </w:rPr>
            </w:pPr>
            <w:r>
              <w:rPr>
                <w:rFonts w:hint="eastAsia" w:hAnsi="宋体" w:cs="宋体"/>
                <w:szCs w:val="21"/>
              </w:rPr>
              <w:t>二</w:t>
            </w:r>
          </w:p>
        </w:tc>
        <w:tc>
          <w:tcPr>
            <w:tcW w:w="2246" w:type="dxa"/>
            <w:vAlign w:val="center"/>
          </w:tcPr>
          <w:p w14:paraId="0667FBA9">
            <w:pPr>
              <w:jc w:val="center"/>
              <w:rPr>
                <w:rFonts w:hAnsi="宋体" w:cs="宋体"/>
                <w:szCs w:val="21"/>
              </w:rPr>
            </w:pPr>
          </w:p>
        </w:tc>
        <w:tc>
          <w:tcPr>
            <w:tcW w:w="2431" w:type="dxa"/>
            <w:vAlign w:val="center"/>
          </w:tcPr>
          <w:p w14:paraId="2F05DD84">
            <w:pPr>
              <w:jc w:val="center"/>
              <w:rPr>
                <w:rFonts w:hAnsi="宋体" w:cs="宋体"/>
                <w:szCs w:val="21"/>
              </w:rPr>
            </w:pPr>
          </w:p>
        </w:tc>
        <w:tc>
          <w:tcPr>
            <w:tcW w:w="2749" w:type="dxa"/>
            <w:vAlign w:val="center"/>
          </w:tcPr>
          <w:p w14:paraId="325542CA">
            <w:pPr>
              <w:jc w:val="center"/>
              <w:rPr>
                <w:rFonts w:hAnsi="宋体" w:cs="宋体"/>
                <w:szCs w:val="21"/>
              </w:rPr>
            </w:pPr>
          </w:p>
        </w:tc>
      </w:tr>
      <w:tr w14:paraId="056E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458AD61">
            <w:pPr>
              <w:jc w:val="center"/>
              <w:rPr>
                <w:rFonts w:hAnsi="宋体" w:cs="宋体"/>
                <w:szCs w:val="21"/>
              </w:rPr>
            </w:pPr>
            <w:r>
              <w:rPr>
                <w:rFonts w:hint="eastAsia" w:hAnsi="宋体" w:cs="宋体"/>
                <w:szCs w:val="21"/>
              </w:rPr>
              <w:t>3</w:t>
            </w:r>
          </w:p>
        </w:tc>
        <w:tc>
          <w:tcPr>
            <w:tcW w:w="954" w:type="dxa"/>
            <w:vAlign w:val="center"/>
          </w:tcPr>
          <w:p w14:paraId="1C6904C1">
            <w:pPr>
              <w:jc w:val="center"/>
              <w:rPr>
                <w:rFonts w:hAnsi="宋体" w:cs="宋体"/>
                <w:szCs w:val="21"/>
              </w:rPr>
            </w:pPr>
            <w:r>
              <w:rPr>
                <w:rFonts w:hint="eastAsia" w:hAnsi="宋体" w:cs="宋体"/>
                <w:szCs w:val="21"/>
              </w:rPr>
              <w:t>三</w:t>
            </w:r>
          </w:p>
        </w:tc>
        <w:tc>
          <w:tcPr>
            <w:tcW w:w="2246" w:type="dxa"/>
            <w:vAlign w:val="center"/>
          </w:tcPr>
          <w:p w14:paraId="72BA28D2">
            <w:pPr>
              <w:autoSpaceDE/>
              <w:autoSpaceDN/>
              <w:adjustRightInd/>
              <w:jc w:val="center"/>
              <w:rPr>
                <w:rFonts w:hAnsi="宋体" w:cs="宋体"/>
                <w:szCs w:val="21"/>
              </w:rPr>
            </w:pPr>
          </w:p>
        </w:tc>
        <w:tc>
          <w:tcPr>
            <w:tcW w:w="2431" w:type="dxa"/>
            <w:vAlign w:val="center"/>
          </w:tcPr>
          <w:p w14:paraId="0AA30D56">
            <w:pPr>
              <w:jc w:val="center"/>
              <w:rPr>
                <w:rFonts w:hAnsi="宋体" w:cs="宋体"/>
                <w:szCs w:val="21"/>
              </w:rPr>
            </w:pPr>
          </w:p>
        </w:tc>
        <w:tc>
          <w:tcPr>
            <w:tcW w:w="2749" w:type="dxa"/>
            <w:vAlign w:val="center"/>
          </w:tcPr>
          <w:p w14:paraId="5CD900C0">
            <w:pPr>
              <w:jc w:val="center"/>
              <w:rPr>
                <w:rFonts w:hAnsi="宋体" w:cs="宋体"/>
                <w:szCs w:val="21"/>
              </w:rPr>
            </w:pPr>
          </w:p>
        </w:tc>
      </w:tr>
      <w:tr w14:paraId="7999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3B64D218">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58D14315">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14:paraId="276F65D6">
            <w:pPr>
              <w:jc w:val="center"/>
              <w:rPr>
                <w:rFonts w:hAnsi="宋体" w:cs="宋体"/>
                <w:szCs w:val="21"/>
              </w:rPr>
            </w:pPr>
          </w:p>
        </w:tc>
        <w:tc>
          <w:tcPr>
            <w:tcW w:w="2431" w:type="dxa"/>
            <w:vAlign w:val="center"/>
          </w:tcPr>
          <w:p w14:paraId="5D8E7F82">
            <w:pPr>
              <w:jc w:val="center"/>
              <w:rPr>
                <w:rFonts w:hAnsi="宋体" w:cs="宋体"/>
                <w:szCs w:val="21"/>
              </w:rPr>
            </w:pPr>
          </w:p>
        </w:tc>
        <w:tc>
          <w:tcPr>
            <w:tcW w:w="2749" w:type="dxa"/>
            <w:vAlign w:val="center"/>
          </w:tcPr>
          <w:p w14:paraId="40920255">
            <w:pPr>
              <w:jc w:val="center"/>
              <w:rPr>
                <w:rFonts w:hAnsi="宋体" w:cs="宋体"/>
                <w:szCs w:val="21"/>
              </w:rPr>
            </w:pPr>
          </w:p>
        </w:tc>
      </w:tr>
      <w:tr w14:paraId="5F17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6389CD1">
            <w:pPr>
              <w:jc w:val="center"/>
              <w:rPr>
                <w:rFonts w:hint="default" w:ascii="宋体" w:hAnsi="宋体" w:eastAsia="宋体" w:cs="宋体"/>
                <w:sz w:val="24"/>
                <w:szCs w:val="21"/>
                <w:lang w:val="en-US" w:eastAsia="zh-CN" w:bidi="ar-SA"/>
              </w:rPr>
            </w:pPr>
            <w:r>
              <w:rPr>
                <w:rFonts w:hint="eastAsia" w:hAnsi="宋体" w:cs="宋体"/>
                <w:szCs w:val="21"/>
                <w:lang w:val="en-US" w:eastAsia="zh-CN"/>
              </w:rPr>
              <w:t>5</w:t>
            </w:r>
          </w:p>
        </w:tc>
        <w:tc>
          <w:tcPr>
            <w:tcW w:w="954" w:type="dxa"/>
            <w:vAlign w:val="center"/>
          </w:tcPr>
          <w:p w14:paraId="35924EE4">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五</w:t>
            </w:r>
          </w:p>
        </w:tc>
        <w:tc>
          <w:tcPr>
            <w:tcW w:w="2246" w:type="dxa"/>
            <w:vAlign w:val="center"/>
          </w:tcPr>
          <w:p w14:paraId="2C604D62">
            <w:pPr>
              <w:jc w:val="center"/>
              <w:rPr>
                <w:rFonts w:ascii="宋体" w:hAnsi="宋体" w:eastAsia="宋体" w:cs="宋体"/>
                <w:sz w:val="24"/>
                <w:szCs w:val="21"/>
                <w:lang w:val="en-US" w:eastAsia="zh-CN" w:bidi="ar-SA"/>
              </w:rPr>
            </w:pPr>
          </w:p>
        </w:tc>
        <w:tc>
          <w:tcPr>
            <w:tcW w:w="2431" w:type="dxa"/>
            <w:vAlign w:val="center"/>
          </w:tcPr>
          <w:p w14:paraId="0B3E0E37">
            <w:pPr>
              <w:jc w:val="center"/>
              <w:rPr>
                <w:rFonts w:ascii="宋体" w:hAnsi="宋体" w:eastAsia="宋体" w:cs="宋体"/>
                <w:sz w:val="24"/>
                <w:szCs w:val="21"/>
                <w:lang w:val="en-US" w:eastAsia="zh-CN" w:bidi="ar-SA"/>
              </w:rPr>
            </w:pPr>
          </w:p>
        </w:tc>
        <w:tc>
          <w:tcPr>
            <w:tcW w:w="2749" w:type="dxa"/>
            <w:vAlign w:val="center"/>
          </w:tcPr>
          <w:p w14:paraId="1EC5547C">
            <w:pPr>
              <w:jc w:val="center"/>
              <w:rPr>
                <w:rFonts w:ascii="宋体" w:hAnsi="宋体" w:eastAsia="宋体" w:cs="宋体"/>
                <w:sz w:val="24"/>
                <w:szCs w:val="21"/>
                <w:lang w:val="en-US" w:eastAsia="zh-CN" w:bidi="ar-SA"/>
              </w:rPr>
            </w:pPr>
          </w:p>
        </w:tc>
      </w:tr>
      <w:tr w14:paraId="179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7F1035C4">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14:paraId="2D128206">
            <w:pPr>
              <w:jc w:val="center"/>
              <w:rPr>
                <w:rFonts w:hint="eastAsia" w:ascii="宋体" w:hAnsi="宋体" w:eastAsia="宋体" w:cs="宋体"/>
                <w:sz w:val="24"/>
                <w:szCs w:val="21"/>
                <w:lang w:val="en-US" w:eastAsia="zh-CN" w:bidi="ar-SA"/>
              </w:rPr>
            </w:pPr>
          </w:p>
        </w:tc>
        <w:tc>
          <w:tcPr>
            <w:tcW w:w="2246" w:type="dxa"/>
            <w:vAlign w:val="center"/>
          </w:tcPr>
          <w:p w14:paraId="6AEB405B">
            <w:pPr>
              <w:jc w:val="center"/>
              <w:rPr>
                <w:rFonts w:ascii="宋体" w:hAnsi="宋体" w:eastAsia="宋体" w:cs="宋体"/>
                <w:sz w:val="24"/>
                <w:szCs w:val="21"/>
                <w:lang w:val="en-US" w:eastAsia="zh-CN" w:bidi="ar-SA"/>
              </w:rPr>
            </w:pPr>
          </w:p>
        </w:tc>
        <w:tc>
          <w:tcPr>
            <w:tcW w:w="2431" w:type="dxa"/>
            <w:vAlign w:val="center"/>
          </w:tcPr>
          <w:p w14:paraId="230F92C3">
            <w:pPr>
              <w:jc w:val="center"/>
              <w:rPr>
                <w:rFonts w:ascii="宋体" w:hAnsi="宋体" w:eastAsia="宋体" w:cs="宋体"/>
                <w:sz w:val="24"/>
                <w:szCs w:val="21"/>
                <w:lang w:val="en-US" w:eastAsia="zh-CN" w:bidi="ar-SA"/>
              </w:rPr>
            </w:pPr>
          </w:p>
        </w:tc>
        <w:tc>
          <w:tcPr>
            <w:tcW w:w="2749" w:type="dxa"/>
            <w:vAlign w:val="center"/>
          </w:tcPr>
          <w:p w14:paraId="56259592">
            <w:pPr>
              <w:jc w:val="center"/>
              <w:rPr>
                <w:rFonts w:ascii="宋体" w:hAnsi="宋体" w:eastAsia="宋体" w:cs="宋体"/>
                <w:sz w:val="24"/>
                <w:szCs w:val="21"/>
                <w:lang w:val="en-US" w:eastAsia="zh-CN" w:bidi="ar-SA"/>
              </w:rPr>
            </w:pPr>
          </w:p>
        </w:tc>
      </w:tr>
    </w:tbl>
    <w:p w14:paraId="7002126B">
      <w:pPr>
        <w:spacing w:line="440" w:lineRule="exact"/>
        <w:ind w:firstLine="422" w:firstLineChars="200"/>
        <w:rPr>
          <w:rFonts w:hAnsi="宋体" w:cs="宋体"/>
          <w:b/>
          <w:bCs/>
          <w:sz w:val="21"/>
          <w:szCs w:val="21"/>
        </w:rPr>
      </w:pPr>
      <w:r>
        <w:rPr>
          <w:rFonts w:hint="eastAsia" w:hAnsi="宋体" w:cs="宋体"/>
          <w:b/>
          <w:bCs/>
          <w:sz w:val="21"/>
          <w:szCs w:val="21"/>
        </w:rPr>
        <w:t>备注：</w:t>
      </w:r>
    </w:p>
    <w:p w14:paraId="199F397B">
      <w:pPr>
        <w:numPr>
          <w:ilvl w:val="0"/>
          <w:numId w:val="1"/>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6454E4FE">
      <w:pPr>
        <w:numPr>
          <w:ilvl w:val="0"/>
          <w:numId w:val="1"/>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394D546F">
      <w:pPr>
        <w:numPr>
          <w:ilvl w:val="0"/>
          <w:numId w:val="1"/>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14:paraId="454AEC91">
      <w:pPr>
        <w:numPr>
          <w:ilvl w:val="0"/>
          <w:numId w:val="1"/>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14:paraId="79FF0C58">
      <w:pPr>
        <w:spacing w:line="440" w:lineRule="exact"/>
        <w:rPr>
          <w:rFonts w:hAnsi="宋体" w:cs="宋体"/>
          <w:sz w:val="21"/>
          <w:szCs w:val="21"/>
        </w:rPr>
      </w:pPr>
    </w:p>
    <w:p w14:paraId="77EB27CC">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68FAB543">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14:paraId="49DA4BAC">
      <w:pPr>
        <w:spacing w:line="440" w:lineRule="exact"/>
        <w:ind w:firstLine="420" w:firstLineChars="200"/>
        <w:rPr>
          <w:rFonts w:hAnsi="宋体" w:cs="宋体"/>
          <w:sz w:val="21"/>
          <w:szCs w:val="21"/>
        </w:rPr>
        <w:sectPr>
          <w:headerReference r:id="rId6" w:type="default"/>
          <w:footerReference r:id="rId7" w:type="default"/>
          <w:pgSz w:w="11906" w:h="16838"/>
          <w:pgMar w:top="1440" w:right="1803" w:bottom="1440" w:left="1803" w:header="851" w:footer="992" w:gutter="0"/>
          <w:pgNumType w:fmt="decimal"/>
          <w:cols w:space="0" w:num="1"/>
          <w:docGrid w:type="lines" w:linePitch="332" w:charSpace="0"/>
        </w:sectPr>
      </w:pPr>
    </w:p>
    <w:p w14:paraId="79BB8384">
      <w:pPr>
        <w:numPr>
          <w:ilvl w:val="255"/>
          <w:numId w:val="0"/>
        </w:numPr>
        <w:spacing w:line="360" w:lineRule="auto"/>
        <w:jc w:val="left"/>
        <w:rPr>
          <w:rFonts w:hAnsi="宋体" w:cs="宋体"/>
          <w:b/>
          <w:sz w:val="28"/>
          <w:szCs w:val="28"/>
        </w:rPr>
      </w:pPr>
      <w:r>
        <w:rPr>
          <w:rFonts w:hint="eastAsia" w:hAnsi="宋体" w:cs="宋体"/>
          <w:b/>
          <w:sz w:val="28"/>
          <w:szCs w:val="28"/>
          <w:lang w:val="en-US" w:eastAsia="zh-CN"/>
        </w:rPr>
        <w:t>4</w:t>
      </w:r>
      <w:r>
        <w:rPr>
          <w:rFonts w:hint="eastAsia" w:hAnsi="宋体" w:cs="宋体"/>
          <w:b/>
          <w:sz w:val="28"/>
          <w:szCs w:val="28"/>
        </w:rPr>
        <w:t>.合同条款偏离表</w:t>
      </w:r>
    </w:p>
    <w:p w14:paraId="0693A71F">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6D4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14:paraId="64FF0FBB">
            <w:pPr>
              <w:jc w:val="center"/>
              <w:rPr>
                <w:rFonts w:hAnsi="宋体" w:cs="宋体"/>
                <w:b/>
                <w:szCs w:val="21"/>
              </w:rPr>
            </w:pPr>
            <w:r>
              <w:rPr>
                <w:rFonts w:hint="eastAsia" w:hAnsi="宋体" w:cs="宋体"/>
                <w:b/>
                <w:szCs w:val="21"/>
              </w:rPr>
              <w:t>序号</w:t>
            </w:r>
          </w:p>
        </w:tc>
        <w:tc>
          <w:tcPr>
            <w:tcW w:w="3767" w:type="dxa"/>
            <w:gridSpan w:val="2"/>
            <w:vAlign w:val="center"/>
          </w:tcPr>
          <w:p w14:paraId="2D54F0AE">
            <w:pPr>
              <w:jc w:val="center"/>
              <w:rPr>
                <w:rFonts w:hAnsi="宋体" w:cs="宋体"/>
                <w:b/>
                <w:szCs w:val="21"/>
              </w:rPr>
            </w:pPr>
            <w:r>
              <w:rPr>
                <w:rFonts w:hint="eastAsia" w:hAnsi="宋体" w:cs="宋体"/>
                <w:b/>
                <w:szCs w:val="21"/>
              </w:rPr>
              <w:t>合同要求</w:t>
            </w:r>
          </w:p>
        </w:tc>
        <w:tc>
          <w:tcPr>
            <w:tcW w:w="4933" w:type="dxa"/>
            <w:gridSpan w:val="2"/>
            <w:vAlign w:val="center"/>
          </w:tcPr>
          <w:p w14:paraId="3CCBAB6A">
            <w:pPr>
              <w:jc w:val="center"/>
              <w:rPr>
                <w:rFonts w:hAnsi="宋体" w:cs="宋体"/>
                <w:b/>
                <w:szCs w:val="21"/>
              </w:rPr>
            </w:pPr>
            <w:r>
              <w:rPr>
                <w:rFonts w:hint="eastAsia" w:hAnsi="宋体" w:cs="宋体"/>
                <w:b/>
                <w:szCs w:val="21"/>
              </w:rPr>
              <w:t>响应情况</w:t>
            </w:r>
          </w:p>
        </w:tc>
      </w:tr>
      <w:tr w14:paraId="053E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14:paraId="281BA091">
            <w:pPr>
              <w:jc w:val="center"/>
              <w:rPr>
                <w:rFonts w:hAnsi="宋体" w:cs="宋体"/>
                <w:b/>
                <w:szCs w:val="21"/>
              </w:rPr>
            </w:pPr>
          </w:p>
        </w:tc>
        <w:tc>
          <w:tcPr>
            <w:tcW w:w="954" w:type="dxa"/>
            <w:vAlign w:val="center"/>
          </w:tcPr>
          <w:p w14:paraId="2BAE01FC">
            <w:pPr>
              <w:jc w:val="center"/>
              <w:rPr>
                <w:rFonts w:hAnsi="宋体" w:cs="宋体"/>
                <w:b/>
                <w:szCs w:val="21"/>
              </w:rPr>
            </w:pPr>
            <w:r>
              <w:rPr>
                <w:rFonts w:hint="eastAsia" w:hAnsi="宋体" w:cs="宋体"/>
                <w:b/>
                <w:szCs w:val="21"/>
              </w:rPr>
              <w:t>条款号</w:t>
            </w:r>
          </w:p>
        </w:tc>
        <w:tc>
          <w:tcPr>
            <w:tcW w:w="2813" w:type="dxa"/>
            <w:vAlign w:val="center"/>
          </w:tcPr>
          <w:p w14:paraId="22562F6F">
            <w:pPr>
              <w:jc w:val="center"/>
              <w:rPr>
                <w:rFonts w:hAnsi="宋体" w:cs="宋体"/>
                <w:b/>
                <w:szCs w:val="21"/>
              </w:rPr>
            </w:pPr>
            <w:r>
              <w:rPr>
                <w:rFonts w:hint="eastAsia" w:hAnsi="宋体" w:cs="宋体"/>
                <w:b/>
                <w:szCs w:val="21"/>
              </w:rPr>
              <w:t>简要内容</w:t>
            </w:r>
          </w:p>
        </w:tc>
        <w:tc>
          <w:tcPr>
            <w:tcW w:w="1864" w:type="dxa"/>
            <w:vAlign w:val="center"/>
          </w:tcPr>
          <w:p w14:paraId="698FD28C">
            <w:pPr>
              <w:jc w:val="center"/>
              <w:rPr>
                <w:rFonts w:hAnsi="宋体" w:cs="宋体"/>
                <w:b/>
                <w:szCs w:val="21"/>
              </w:rPr>
            </w:pPr>
            <w:r>
              <w:rPr>
                <w:rFonts w:hint="eastAsia" w:hAnsi="宋体" w:cs="宋体"/>
                <w:b/>
                <w:szCs w:val="21"/>
              </w:rPr>
              <w:t>偏离情况</w:t>
            </w:r>
          </w:p>
        </w:tc>
        <w:tc>
          <w:tcPr>
            <w:tcW w:w="3069" w:type="dxa"/>
            <w:vAlign w:val="center"/>
          </w:tcPr>
          <w:p w14:paraId="691B991B">
            <w:pPr>
              <w:jc w:val="center"/>
              <w:rPr>
                <w:rFonts w:hAnsi="宋体" w:cs="宋体"/>
                <w:b/>
                <w:szCs w:val="21"/>
              </w:rPr>
            </w:pPr>
            <w:r>
              <w:rPr>
                <w:rFonts w:hint="eastAsia" w:hAnsi="宋体" w:cs="宋体"/>
                <w:b/>
                <w:szCs w:val="21"/>
              </w:rPr>
              <w:t>具体偏离内容</w:t>
            </w:r>
          </w:p>
        </w:tc>
      </w:tr>
      <w:tr w14:paraId="12C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6AF36B11">
            <w:pPr>
              <w:jc w:val="center"/>
              <w:rPr>
                <w:rFonts w:hAnsi="宋体" w:cs="宋体"/>
                <w:szCs w:val="21"/>
              </w:rPr>
            </w:pPr>
            <w:r>
              <w:rPr>
                <w:rFonts w:hint="eastAsia" w:hAnsi="宋体" w:cs="宋体"/>
                <w:szCs w:val="21"/>
              </w:rPr>
              <w:t>1</w:t>
            </w:r>
          </w:p>
        </w:tc>
        <w:tc>
          <w:tcPr>
            <w:tcW w:w="954" w:type="dxa"/>
            <w:vAlign w:val="center"/>
          </w:tcPr>
          <w:p w14:paraId="1E277D59">
            <w:pPr>
              <w:jc w:val="center"/>
              <w:rPr>
                <w:rFonts w:hAnsi="宋体" w:cs="宋体"/>
                <w:szCs w:val="21"/>
              </w:rPr>
            </w:pPr>
            <w:r>
              <w:rPr>
                <w:rFonts w:hint="eastAsia" w:hAnsi="宋体" w:cs="宋体"/>
                <w:szCs w:val="21"/>
              </w:rPr>
              <w:t>一</w:t>
            </w:r>
          </w:p>
        </w:tc>
        <w:tc>
          <w:tcPr>
            <w:tcW w:w="2813" w:type="dxa"/>
            <w:vAlign w:val="center"/>
          </w:tcPr>
          <w:p w14:paraId="69825F97">
            <w:pPr>
              <w:jc w:val="center"/>
              <w:rPr>
                <w:rFonts w:hAnsi="宋体" w:cs="宋体"/>
                <w:szCs w:val="21"/>
              </w:rPr>
            </w:pPr>
          </w:p>
        </w:tc>
        <w:tc>
          <w:tcPr>
            <w:tcW w:w="1864" w:type="dxa"/>
            <w:vAlign w:val="center"/>
          </w:tcPr>
          <w:p w14:paraId="515CDE61">
            <w:pPr>
              <w:jc w:val="center"/>
              <w:rPr>
                <w:rFonts w:hAnsi="宋体" w:cs="宋体"/>
                <w:szCs w:val="21"/>
              </w:rPr>
            </w:pPr>
          </w:p>
        </w:tc>
        <w:tc>
          <w:tcPr>
            <w:tcW w:w="3069" w:type="dxa"/>
            <w:vAlign w:val="center"/>
          </w:tcPr>
          <w:p w14:paraId="1BBBE13C">
            <w:pPr>
              <w:jc w:val="center"/>
              <w:rPr>
                <w:rFonts w:hAnsi="宋体" w:cs="宋体"/>
                <w:szCs w:val="21"/>
              </w:rPr>
            </w:pPr>
          </w:p>
        </w:tc>
      </w:tr>
      <w:tr w14:paraId="6E72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6A59D294">
            <w:pPr>
              <w:jc w:val="center"/>
              <w:rPr>
                <w:rFonts w:hAnsi="宋体" w:cs="宋体"/>
                <w:szCs w:val="21"/>
              </w:rPr>
            </w:pPr>
            <w:r>
              <w:rPr>
                <w:rFonts w:hint="eastAsia" w:hAnsi="宋体" w:cs="宋体"/>
                <w:szCs w:val="21"/>
              </w:rPr>
              <w:t>2</w:t>
            </w:r>
          </w:p>
        </w:tc>
        <w:tc>
          <w:tcPr>
            <w:tcW w:w="954" w:type="dxa"/>
            <w:vAlign w:val="center"/>
          </w:tcPr>
          <w:p w14:paraId="24D4185B">
            <w:pPr>
              <w:jc w:val="center"/>
              <w:rPr>
                <w:rFonts w:hAnsi="宋体" w:cs="宋体"/>
                <w:szCs w:val="21"/>
              </w:rPr>
            </w:pPr>
            <w:r>
              <w:rPr>
                <w:rFonts w:hint="eastAsia" w:hAnsi="宋体" w:cs="宋体"/>
                <w:szCs w:val="21"/>
              </w:rPr>
              <w:t>二</w:t>
            </w:r>
          </w:p>
        </w:tc>
        <w:tc>
          <w:tcPr>
            <w:tcW w:w="2813" w:type="dxa"/>
            <w:vAlign w:val="center"/>
          </w:tcPr>
          <w:p w14:paraId="73F34D4A">
            <w:pPr>
              <w:jc w:val="center"/>
              <w:rPr>
                <w:rFonts w:hAnsi="宋体" w:cs="宋体"/>
                <w:szCs w:val="21"/>
              </w:rPr>
            </w:pPr>
          </w:p>
        </w:tc>
        <w:tc>
          <w:tcPr>
            <w:tcW w:w="1864" w:type="dxa"/>
            <w:vAlign w:val="center"/>
          </w:tcPr>
          <w:p w14:paraId="5BC22E08">
            <w:pPr>
              <w:jc w:val="center"/>
              <w:rPr>
                <w:rFonts w:hAnsi="宋体" w:cs="宋体"/>
                <w:szCs w:val="21"/>
              </w:rPr>
            </w:pPr>
          </w:p>
        </w:tc>
        <w:tc>
          <w:tcPr>
            <w:tcW w:w="3069" w:type="dxa"/>
            <w:vAlign w:val="center"/>
          </w:tcPr>
          <w:p w14:paraId="623DD27E">
            <w:pPr>
              <w:jc w:val="center"/>
              <w:rPr>
                <w:rFonts w:hAnsi="宋体" w:cs="宋体"/>
                <w:szCs w:val="21"/>
              </w:rPr>
            </w:pPr>
          </w:p>
        </w:tc>
      </w:tr>
      <w:tr w14:paraId="38C0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3CA416C6">
            <w:pPr>
              <w:jc w:val="center"/>
              <w:rPr>
                <w:rFonts w:hAnsi="宋体" w:cs="宋体"/>
                <w:szCs w:val="21"/>
              </w:rPr>
            </w:pPr>
            <w:r>
              <w:rPr>
                <w:rFonts w:hint="eastAsia" w:hAnsi="宋体" w:cs="宋体"/>
                <w:szCs w:val="21"/>
              </w:rPr>
              <w:t>3</w:t>
            </w:r>
          </w:p>
        </w:tc>
        <w:tc>
          <w:tcPr>
            <w:tcW w:w="954" w:type="dxa"/>
            <w:vAlign w:val="center"/>
          </w:tcPr>
          <w:p w14:paraId="1EEE428C">
            <w:pPr>
              <w:jc w:val="center"/>
              <w:rPr>
                <w:rFonts w:hAnsi="宋体" w:cs="宋体"/>
                <w:szCs w:val="21"/>
              </w:rPr>
            </w:pPr>
            <w:r>
              <w:rPr>
                <w:rFonts w:hint="eastAsia" w:hAnsi="宋体" w:cs="宋体"/>
                <w:szCs w:val="21"/>
              </w:rPr>
              <w:t>三</w:t>
            </w:r>
          </w:p>
        </w:tc>
        <w:tc>
          <w:tcPr>
            <w:tcW w:w="2813" w:type="dxa"/>
            <w:vAlign w:val="center"/>
          </w:tcPr>
          <w:p w14:paraId="2953EB59">
            <w:pPr>
              <w:jc w:val="center"/>
              <w:rPr>
                <w:rFonts w:hAnsi="宋体" w:cs="宋体"/>
                <w:szCs w:val="21"/>
              </w:rPr>
            </w:pPr>
          </w:p>
        </w:tc>
        <w:tc>
          <w:tcPr>
            <w:tcW w:w="1864" w:type="dxa"/>
            <w:vAlign w:val="center"/>
          </w:tcPr>
          <w:p w14:paraId="29B6B282">
            <w:pPr>
              <w:jc w:val="center"/>
              <w:rPr>
                <w:rFonts w:hAnsi="宋体" w:cs="宋体"/>
                <w:szCs w:val="21"/>
              </w:rPr>
            </w:pPr>
          </w:p>
        </w:tc>
        <w:tc>
          <w:tcPr>
            <w:tcW w:w="3069" w:type="dxa"/>
            <w:vAlign w:val="center"/>
          </w:tcPr>
          <w:p w14:paraId="2A860D87">
            <w:pPr>
              <w:jc w:val="center"/>
              <w:rPr>
                <w:rFonts w:hAnsi="宋体" w:cs="宋体"/>
                <w:szCs w:val="21"/>
              </w:rPr>
            </w:pPr>
          </w:p>
        </w:tc>
      </w:tr>
      <w:tr w14:paraId="25D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4EDBD38F">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14:paraId="0A45C32C">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14:paraId="1ECAD4D4">
            <w:pPr>
              <w:jc w:val="center"/>
              <w:rPr>
                <w:rFonts w:hAnsi="宋体" w:cs="宋体"/>
                <w:szCs w:val="21"/>
              </w:rPr>
            </w:pPr>
          </w:p>
        </w:tc>
        <w:tc>
          <w:tcPr>
            <w:tcW w:w="1864" w:type="dxa"/>
            <w:vAlign w:val="center"/>
          </w:tcPr>
          <w:p w14:paraId="55923E11">
            <w:pPr>
              <w:jc w:val="center"/>
              <w:rPr>
                <w:rFonts w:hAnsi="宋体" w:cs="宋体"/>
                <w:szCs w:val="21"/>
              </w:rPr>
            </w:pPr>
          </w:p>
        </w:tc>
        <w:tc>
          <w:tcPr>
            <w:tcW w:w="3069" w:type="dxa"/>
            <w:vAlign w:val="center"/>
          </w:tcPr>
          <w:p w14:paraId="3FE32F3D">
            <w:pPr>
              <w:jc w:val="center"/>
              <w:rPr>
                <w:rFonts w:hAnsi="宋体" w:cs="宋体"/>
                <w:szCs w:val="21"/>
              </w:rPr>
            </w:pPr>
          </w:p>
        </w:tc>
      </w:tr>
      <w:tr w14:paraId="0FC9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0BE3CC50">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14:paraId="2DC87CDA">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14:paraId="017700B0">
            <w:pPr>
              <w:jc w:val="center"/>
              <w:rPr>
                <w:rFonts w:hAnsi="宋体" w:cs="宋体"/>
                <w:szCs w:val="21"/>
              </w:rPr>
            </w:pPr>
          </w:p>
        </w:tc>
        <w:tc>
          <w:tcPr>
            <w:tcW w:w="1864" w:type="dxa"/>
            <w:vAlign w:val="center"/>
          </w:tcPr>
          <w:p w14:paraId="1BE0EA6A">
            <w:pPr>
              <w:jc w:val="center"/>
              <w:rPr>
                <w:rFonts w:hAnsi="宋体" w:cs="宋体"/>
                <w:szCs w:val="21"/>
              </w:rPr>
            </w:pPr>
          </w:p>
        </w:tc>
        <w:tc>
          <w:tcPr>
            <w:tcW w:w="3069" w:type="dxa"/>
            <w:vAlign w:val="center"/>
          </w:tcPr>
          <w:p w14:paraId="77CFCC04">
            <w:pPr>
              <w:jc w:val="center"/>
              <w:rPr>
                <w:rFonts w:hAnsi="宋体" w:cs="宋体"/>
                <w:szCs w:val="21"/>
              </w:rPr>
            </w:pPr>
          </w:p>
        </w:tc>
      </w:tr>
      <w:tr w14:paraId="2CF9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73E43377">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14:paraId="5517C981">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14:paraId="7A8372B5">
            <w:pPr>
              <w:jc w:val="center"/>
              <w:rPr>
                <w:rFonts w:hAnsi="宋体" w:cs="宋体"/>
                <w:szCs w:val="21"/>
              </w:rPr>
            </w:pPr>
          </w:p>
        </w:tc>
        <w:tc>
          <w:tcPr>
            <w:tcW w:w="1864" w:type="dxa"/>
            <w:vAlign w:val="center"/>
          </w:tcPr>
          <w:p w14:paraId="00EB831A">
            <w:pPr>
              <w:jc w:val="center"/>
              <w:rPr>
                <w:rFonts w:hAnsi="宋体" w:cs="宋体"/>
                <w:szCs w:val="21"/>
              </w:rPr>
            </w:pPr>
          </w:p>
        </w:tc>
        <w:tc>
          <w:tcPr>
            <w:tcW w:w="3069" w:type="dxa"/>
            <w:vAlign w:val="center"/>
          </w:tcPr>
          <w:p w14:paraId="4EF2355D">
            <w:pPr>
              <w:jc w:val="center"/>
              <w:rPr>
                <w:rFonts w:hAnsi="宋体" w:cs="宋体"/>
                <w:szCs w:val="21"/>
              </w:rPr>
            </w:pPr>
          </w:p>
        </w:tc>
      </w:tr>
      <w:tr w14:paraId="76F3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1C874E64">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14:paraId="6DF2C204">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14:paraId="3CC300AF">
            <w:pPr>
              <w:jc w:val="center"/>
              <w:rPr>
                <w:rFonts w:hAnsi="宋体" w:cs="宋体"/>
                <w:szCs w:val="21"/>
              </w:rPr>
            </w:pPr>
          </w:p>
        </w:tc>
        <w:tc>
          <w:tcPr>
            <w:tcW w:w="1864" w:type="dxa"/>
            <w:vAlign w:val="center"/>
          </w:tcPr>
          <w:p w14:paraId="1672D0A8">
            <w:pPr>
              <w:jc w:val="center"/>
              <w:rPr>
                <w:rFonts w:hAnsi="宋体" w:cs="宋体"/>
                <w:szCs w:val="21"/>
              </w:rPr>
            </w:pPr>
          </w:p>
        </w:tc>
        <w:tc>
          <w:tcPr>
            <w:tcW w:w="3069" w:type="dxa"/>
            <w:vAlign w:val="center"/>
          </w:tcPr>
          <w:p w14:paraId="3122D35F">
            <w:pPr>
              <w:jc w:val="center"/>
              <w:rPr>
                <w:rFonts w:hAnsi="宋体" w:cs="宋体"/>
                <w:szCs w:val="21"/>
              </w:rPr>
            </w:pPr>
          </w:p>
        </w:tc>
      </w:tr>
      <w:tr w14:paraId="5BE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56471B8">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14:paraId="44B0025F">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14:paraId="69A9BFDB">
            <w:pPr>
              <w:jc w:val="center"/>
              <w:rPr>
                <w:rFonts w:hAnsi="宋体" w:cs="宋体"/>
                <w:szCs w:val="21"/>
              </w:rPr>
            </w:pPr>
          </w:p>
        </w:tc>
        <w:tc>
          <w:tcPr>
            <w:tcW w:w="1864" w:type="dxa"/>
            <w:vAlign w:val="center"/>
          </w:tcPr>
          <w:p w14:paraId="5120E4E3">
            <w:pPr>
              <w:jc w:val="center"/>
              <w:rPr>
                <w:rFonts w:hAnsi="宋体" w:cs="宋体"/>
                <w:szCs w:val="21"/>
              </w:rPr>
            </w:pPr>
          </w:p>
        </w:tc>
        <w:tc>
          <w:tcPr>
            <w:tcW w:w="3069" w:type="dxa"/>
            <w:vAlign w:val="center"/>
          </w:tcPr>
          <w:p w14:paraId="072134D2">
            <w:pPr>
              <w:jc w:val="center"/>
              <w:rPr>
                <w:rFonts w:hAnsi="宋体" w:cs="宋体"/>
                <w:szCs w:val="21"/>
              </w:rPr>
            </w:pPr>
          </w:p>
        </w:tc>
      </w:tr>
      <w:tr w14:paraId="617A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154EF199">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14:paraId="13839ADD">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14:paraId="267F6844">
            <w:pPr>
              <w:jc w:val="center"/>
              <w:rPr>
                <w:rFonts w:hAnsi="宋体" w:cs="宋体"/>
                <w:szCs w:val="21"/>
              </w:rPr>
            </w:pPr>
          </w:p>
        </w:tc>
        <w:tc>
          <w:tcPr>
            <w:tcW w:w="1864" w:type="dxa"/>
            <w:vAlign w:val="center"/>
          </w:tcPr>
          <w:p w14:paraId="0F069E6D">
            <w:pPr>
              <w:jc w:val="center"/>
              <w:rPr>
                <w:rFonts w:hAnsi="宋体" w:cs="宋体"/>
                <w:szCs w:val="21"/>
              </w:rPr>
            </w:pPr>
          </w:p>
        </w:tc>
        <w:tc>
          <w:tcPr>
            <w:tcW w:w="3069" w:type="dxa"/>
            <w:vAlign w:val="center"/>
          </w:tcPr>
          <w:p w14:paraId="14923CEA">
            <w:pPr>
              <w:jc w:val="center"/>
              <w:rPr>
                <w:rFonts w:hAnsi="宋体" w:cs="宋体"/>
                <w:szCs w:val="21"/>
              </w:rPr>
            </w:pPr>
          </w:p>
        </w:tc>
      </w:tr>
      <w:tr w14:paraId="79A7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3E86EB5F">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14:paraId="02A2A0A8">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14:paraId="3D69EBF6">
            <w:pPr>
              <w:jc w:val="center"/>
              <w:rPr>
                <w:rFonts w:hAnsi="宋体" w:cs="宋体"/>
                <w:szCs w:val="21"/>
              </w:rPr>
            </w:pPr>
          </w:p>
        </w:tc>
        <w:tc>
          <w:tcPr>
            <w:tcW w:w="1864" w:type="dxa"/>
            <w:vAlign w:val="center"/>
          </w:tcPr>
          <w:p w14:paraId="74F84128">
            <w:pPr>
              <w:jc w:val="center"/>
              <w:rPr>
                <w:rFonts w:hAnsi="宋体" w:cs="宋体"/>
                <w:szCs w:val="21"/>
              </w:rPr>
            </w:pPr>
          </w:p>
        </w:tc>
        <w:tc>
          <w:tcPr>
            <w:tcW w:w="3069" w:type="dxa"/>
            <w:vAlign w:val="center"/>
          </w:tcPr>
          <w:p w14:paraId="433D1AAC">
            <w:pPr>
              <w:jc w:val="center"/>
              <w:rPr>
                <w:rFonts w:hAnsi="宋体" w:cs="宋体"/>
                <w:szCs w:val="21"/>
              </w:rPr>
            </w:pPr>
          </w:p>
        </w:tc>
      </w:tr>
      <w:tr w14:paraId="559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531C24F5">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14:paraId="1048BFDF">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14:paraId="659AD322">
            <w:pPr>
              <w:jc w:val="center"/>
              <w:rPr>
                <w:rFonts w:hAnsi="宋体" w:cs="宋体"/>
                <w:szCs w:val="21"/>
              </w:rPr>
            </w:pPr>
          </w:p>
        </w:tc>
        <w:tc>
          <w:tcPr>
            <w:tcW w:w="1864" w:type="dxa"/>
            <w:vAlign w:val="center"/>
          </w:tcPr>
          <w:p w14:paraId="032E3C4B">
            <w:pPr>
              <w:jc w:val="center"/>
              <w:rPr>
                <w:rFonts w:hAnsi="宋体" w:cs="宋体"/>
                <w:szCs w:val="21"/>
              </w:rPr>
            </w:pPr>
          </w:p>
        </w:tc>
        <w:tc>
          <w:tcPr>
            <w:tcW w:w="3069" w:type="dxa"/>
            <w:vAlign w:val="center"/>
          </w:tcPr>
          <w:p w14:paraId="6EBCD56A">
            <w:pPr>
              <w:jc w:val="center"/>
              <w:rPr>
                <w:rFonts w:hAnsi="宋体" w:cs="宋体"/>
                <w:szCs w:val="21"/>
              </w:rPr>
            </w:pPr>
          </w:p>
        </w:tc>
      </w:tr>
      <w:tr w14:paraId="54EB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4EFE8F31">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14:paraId="4EE48F11">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14:paraId="26253CDA">
            <w:pPr>
              <w:jc w:val="center"/>
              <w:rPr>
                <w:rFonts w:hAnsi="宋体" w:cs="宋体"/>
                <w:szCs w:val="21"/>
              </w:rPr>
            </w:pPr>
          </w:p>
        </w:tc>
        <w:tc>
          <w:tcPr>
            <w:tcW w:w="1864" w:type="dxa"/>
            <w:vAlign w:val="center"/>
          </w:tcPr>
          <w:p w14:paraId="0962484A">
            <w:pPr>
              <w:jc w:val="center"/>
              <w:rPr>
                <w:rFonts w:hAnsi="宋体" w:cs="宋体"/>
                <w:szCs w:val="21"/>
              </w:rPr>
            </w:pPr>
          </w:p>
        </w:tc>
        <w:tc>
          <w:tcPr>
            <w:tcW w:w="3069" w:type="dxa"/>
            <w:vAlign w:val="center"/>
          </w:tcPr>
          <w:p w14:paraId="68FDF78B">
            <w:pPr>
              <w:jc w:val="center"/>
              <w:rPr>
                <w:rFonts w:hAnsi="宋体" w:cs="宋体"/>
                <w:szCs w:val="21"/>
              </w:rPr>
            </w:pPr>
          </w:p>
        </w:tc>
      </w:tr>
      <w:tr w14:paraId="001C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11DAFA9A">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14:paraId="06424F02">
            <w:pPr>
              <w:jc w:val="center"/>
              <w:rPr>
                <w:rFonts w:hint="default" w:hAnsi="宋体" w:cs="宋体"/>
                <w:szCs w:val="21"/>
                <w:lang w:val="en-US" w:eastAsia="zh-CN"/>
              </w:rPr>
            </w:pPr>
            <w:r>
              <w:rPr>
                <w:rFonts w:hint="eastAsia" w:hAnsi="宋体" w:cs="宋体"/>
                <w:szCs w:val="21"/>
                <w:lang w:val="en-US" w:eastAsia="zh-CN"/>
              </w:rPr>
              <w:t>十三</w:t>
            </w:r>
          </w:p>
        </w:tc>
        <w:tc>
          <w:tcPr>
            <w:tcW w:w="2813" w:type="dxa"/>
            <w:vAlign w:val="center"/>
          </w:tcPr>
          <w:p w14:paraId="726865FA">
            <w:pPr>
              <w:jc w:val="center"/>
              <w:rPr>
                <w:rFonts w:hAnsi="宋体" w:cs="宋体"/>
                <w:szCs w:val="21"/>
              </w:rPr>
            </w:pPr>
          </w:p>
        </w:tc>
        <w:tc>
          <w:tcPr>
            <w:tcW w:w="1864" w:type="dxa"/>
            <w:vAlign w:val="center"/>
          </w:tcPr>
          <w:p w14:paraId="57995C1E">
            <w:pPr>
              <w:jc w:val="center"/>
              <w:rPr>
                <w:rFonts w:hAnsi="宋体" w:cs="宋体"/>
                <w:szCs w:val="21"/>
              </w:rPr>
            </w:pPr>
          </w:p>
        </w:tc>
        <w:tc>
          <w:tcPr>
            <w:tcW w:w="3069" w:type="dxa"/>
            <w:vAlign w:val="center"/>
          </w:tcPr>
          <w:p w14:paraId="74649416">
            <w:pPr>
              <w:jc w:val="center"/>
              <w:rPr>
                <w:rFonts w:hAnsi="宋体" w:cs="宋体"/>
                <w:szCs w:val="21"/>
              </w:rPr>
            </w:pPr>
          </w:p>
        </w:tc>
      </w:tr>
      <w:tr w14:paraId="346A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51274E7C">
            <w:pPr>
              <w:jc w:val="center"/>
              <w:rPr>
                <w:rFonts w:hint="default" w:hAnsi="宋体" w:cs="宋体"/>
                <w:szCs w:val="21"/>
                <w:lang w:val="en-US" w:eastAsia="zh-CN"/>
              </w:rPr>
            </w:pPr>
            <w:r>
              <w:rPr>
                <w:rFonts w:hint="eastAsia" w:hAnsi="宋体" w:cs="宋体"/>
                <w:szCs w:val="21"/>
                <w:lang w:val="en-US" w:eastAsia="zh-CN"/>
              </w:rPr>
              <w:t>14</w:t>
            </w:r>
          </w:p>
        </w:tc>
        <w:tc>
          <w:tcPr>
            <w:tcW w:w="954" w:type="dxa"/>
            <w:vAlign w:val="center"/>
          </w:tcPr>
          <w:p w14:paraId="17A9A0E4">
            <w:pPr>
              <w:jc w:val="center"/>
              <w:rPr>
                <w:rFonts w:hint="default" w:hAnsi="宋体" w:cs="宋体"/>
                <w:szCs w:val="21"/>
                <w:lang w:val="en-US" w:eastAsia="zh-CN"/>
              </w:rPr>
            </w:pPr>
            <w:r>
              <w:rPr>
                <w:rFonts w:hint="eastAsia" w:hAnsi="宋体" w:cs="宋体"/>
                <w:szCs w:val="21"/>
                <w:lang w:val="en-US" w:eastAsia="zh-CN"/>
              </w:rPr>
              <w:t>十四</w:t>
            </w:r>
          </w:p>
        </w:tc>
        <w:tc>
          <w:tcPr>
            <w:tcW w:w="2813" w:type="dxa"/>
            <w:vAlign w:val="center"/>
          </w:tcPr>
          <w:p w14:paraId="6968DABE">
            <w:pPr>
              <w:jc w:val="center"/>
              <w:rPr>
                <w:rFonts w:hAnsi="宋体" w:cs="宋体"/>
                <w:szCs w:val="21"/>
              </w:rPr>
            </w:pPr>
          </w:p>
        </w:tc>
        <w:tc>
          <w:tcPr>
            <w:tcW w:w="1864" w:type="dxa"/>
            <w:vAlign w:val="center"/>
          </w:tcPr>
          <w:p w14:paraId="7C291863">
            <w:pPr>
              <w:jc w:val="center"/>
              <w:rPr>
                <w:rFonts w:hAnsi="宋体" w:cs="宋体"/>
                <w:szCs w:val="21"/>
              </w:rPr>
            </w:pPr>
          </w:p>
        </w:tc>
        <w:tc>
          <w:tcPr>
            <w:tcW w:w="3069" w:type="dxa"/>
            <w:vAlign w:val="center"/>
          </w:tcPr>
          <w:p w14:paraId="38CC05A2">
            <w:pPr>
              <w:jc w:val="center"/>
              <w:rPr>
                <w:rFonts w:hAnsi="宋体" w:cs="宋体"/>
                <w:szCs w:val="21"/>
              </w:rPr>
            </w:pPr>
          </w:p>
        </w:tc>
      </w:tr>
      <w:tr w14:paraId="69ED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0C52E24E">
            <w:pPr>
              <w:jc w:val="center"/>
              <w:rPr>
                <w:rFonts w:hint="default" w:hAnsi="宋体" w:cs="宋体"/>
                <w:szCs w:val="21"/>
                <w:lang w:val="en-US" w:eastAsia="zh-CN"/>
              </w:rPr>
            </w:pPr>
            <w:r>
              <w:rPr>
                <w:rFonts w:hint="eastAsia" w:hAnsi="宋体" w:cs="宋体"/>
                <w:szCs w:val="21"/>
                <w:lang w:val="en-US" w:eastAsia="zh-CN"/>
              </w:rPr>
              <w:t>15</w:t>
            </w:r>
          </w:p>
        </w:tc>
        <w:tc>
          <w:tcPr>
            <w:tcW w:w="954" w:type="dxa"/>
            <w:vAlign w:val="center"/>
          </w:tcPr>
          <w:p w14:paraId="34850817">
            <w:pPr>
              <w:jc w:val="center"/>
              <w:rPr>
                <w:rFonts w:hint="default" w:hAnsi="宋体" w:cs="宋体"/>
                <w:szCs w:val="21"/>
                <w:lang w:val="en-US" w:eastAsia="zh-CN"/>
              </w:rPr>
            </w:pPr>
            <w:r>
              <w:rPr>
                <w:rFonts w:hint="eastAsia" w:hAnsi="宋体" w:cs="宋体"/>
                <w:szCs w:val="21"/>
                <w:lang w:val="en-US" w:eastAsia="zh-CN"/>
              </w:rPr>
              <w:t>十五</w:t>
            </w:r>
          </w:p>
        </w:tc>
        <w:tc>
          <w:tcPr>
            <w:tcW w:w="2813" w:type="dxa"/>
            <w:vAlign w:val="center"/>
          </w:tcPr>
          <w:p w14:paraId="21F638E2">
            <w:pPr>
              <w:jc w:val="center"/>
              <w:rPr>
                <w:rFonts w:hAnsi="宋体" w:cs="宋体"/>
                <w:szCs w:val="21"/>
              </w:rPr>
            </w:pPr>
          </w:p>
        </w:tc>
        <w:tc>
          <w:tcPr>
            <w:tcW w:w="1864" w:type="dxa"/>
            <w:vAlign w:val="center"/>
          </w:tcPr>
          <w:p w14:paraId="1D0A2308">
            <w:pPr>
              <w:jc w:val="center"/>
              <w:rPr>
                <w:rFonts w:hAnsi="宋体" w:cs="宋体"/>
                <w:szCs w:val="21"/>
              </w:rPr>
            </w:pPr>
          </w:p>
        </w:tc>
        <w:tc>
          <w:tcPr>
            <w:tcW w:w="3069" w:type="dxa"/>
            <w:vAlign w:val="center"/>
          </w:tcPr>
          <w:p w14:paraId="2F4215CE">
            <w:pPr>
              <w:jc w:val="center"/>
              <w:rPr>
                <w:rFonts w:hAnsi="宋体" w:cs="宋体"/>
                <w:szCs w:val="21"/>
              </w:rPr>
            </w:pPr>
          </w:p>
        </w:tc>
      </w:tr>
      <w:tr w14:paraId="3CC9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BD3F145">
            <w:pPr>
              <w:jc w:val="center"/>
              <w:rPr>
                <w:rFonts w:hint="default" w:hAnsi="宋体" w:cs="宋体"/>
                <w:szCs w:val="21"/>
                <w:lang w:val="en-US" w:eastAsia="zh-CN"/>
              </w:rPr>
            </w:pPr>
            <w:r>
              <w:rPr>
                <w:rFonts w:hint="eastAsia" w:hAnsi="宋体" w:cs="宋体"/>
                <w:szCs w:val="21"/>
                <w:lang w:val="en-US" w:eastAsia="zh-CN"/>
              </w:rPr>
              <w:t>16</w:t>
            </w:r>
          </w:p>
        </w:tc>
        <w:tc>
          <w:tcPr>
            <w:tcW w:w="954" w:type="dxa"/>
            <w:vAlign w:val="center"/>
          </w:tcPr>
          <w:p w14:paraId="7C806947">
            <w:pPr>
              <w:jc w:val="center"/>
              <w:rPr>
                <w:rFonts w:hint="eastAsia" w:hAnsi="宋体" w:cs="宋体"/>
                <w:szCs w:val="21"/>
                <w:lang w:val="en-US" w:eastAsia="zh-CN"/>
              </w:rPr>
            </w:pPr>
            <w:r>
              <w:rPr>
                <w:rFonts w:hint="eastAsia" w:hAnsi="宋体" w:cs="宋体"/>
                <w:szCs w:val="21"/>
                <w:lang w:val="en-US" w:eastAsia="zh-CN"/>
              </w:rPr>
              <w:t>附件</w:t>
            </w:r>
          </w:p>
        </w:tc>
        <w:tc>
          <w:tcPr>
            <w:tcW w:w="2813" w:type="dxa"/>
            <w:vAlign w:val="center"/>
          </w:tcPr>
          <w:p w14:paraId="1042536E">
            <w:pPr>
              <w:jc w:val="center"/>
              <w:rPr>
                <w:rFonts w:hAnsi="宋体" w:cs="宋体"/>
                <w:szCs w:val="21"/>
              </w:rPr>
            </w:pPr>
          </w:p>
        </w:tc>
        <w:tc>
          <w:tcPr>
            <w:tcW w:w="1864" w:type="dxa"/>
            <w:vAlign w:val="center"/>
          </w:tcPr>
          <w:p w14:paraId="6F5AD4E4">
            <w:pPr>
              <w:jc w:val="center"/>
              <w:rPr>
                <w:rFonts w:hAnsi="宋体" w:cs="宋体"/>
                <w:szCs w:val="21"/>
              </w:rPr>
            </w:pPr>
          </w:p>
        </w:tc>
        <w:tc>
          <w:tcPr>
            <w:tcW w:w="3069" w:type="dxa"/>
            <w:vAlign w:val="center"/>
          </w:tcPr>
          <w:p w14:paraId="7C89A7D1">
            <w:pPr>
              <w:jc w:val="center"/>
              <w:rPr>
                <w:rFonts w:hAnsi="宋体" w:cs="宋体"/>
                <w:szCs w:val="21"/>
              </w:rPr>
            </w:pPr>
          </w:p>
        </w:tc>
      </w:tr>
      <w:tr w14:paraId="1E5F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14:paraId="2880CA96">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14:paraId="3B15EFBC">
            <w:pPr>
              <w:jc w:val="center"/>
              <w:rPr>
                <w:rFonts w:hint="eastAsia" w:hAnsi="宋体" w:cs="宋体"/>
                <w:szCs w:val="21"/>
                <w:lang w:val="en-US" w:eastAsia="zh-CN"/>
              </w:rPr>
            </w:pPr>
          </w:p>
        </w:tc>
        <w:tc>
          <w:tcPr>
            <w:tcW w:w="2813" w:type="dxa"/>
            <w:vAlign w:val="center"/>
          </w:tcPr>
          <w:p w14:paraId="1E64F055">
            <w:pPr>
              <w:jc w:val="center"/>
              <w:rPr>
                <w:rFonts w:hAnsi="宋体" w:cs="宋体"/>
                <w:szCs w:val="21"/>
              </w:rPr>
            </w:pPr>
          </w:p>
        </w:tc>
        <w:tc>
          <w:tcPr>
            <w:tcW w:w="1864" w:type="dxa"/>
            <w:vAlign w:val="center"/>
          </w:tcPr>
          <w:p w14:paraId="18851E8D">
            <w:pPr>
              <w:jc w:val="center"/>
              <w:rPr>
                <w:rFonts w:hAnsi="宋体" w:cs="宋体"/>
                <w:szCs w:val="21"/>
              </w:rPr>
            </w:pPr>
          </w:p>
        </w:tc>
        <w:tc>
          <w:tcPr>
            <w:tcW w:w="3069" w:type="dxa"/>
            <w:vAlign w:val="center"/>
          </w:tcPr>
          <w:p w14:paraId="7E46A1DA">
            <w:pPr>
              <w:jc w:val="center"/>
              <w:rPr>
                <w:rFonts w:hAnsi="宋体" w:cs="宋体"/>
                <w:szCs w:val="21"/>
              </w:rPr>
            </w:pPr>
          </w:p>
        </w:tc>
      </w:tr>
    </w:tbl>
    <w:p w14:paraId="2A04FCC8">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14:paraId="1FE84FBA">
      <w:pPr>
        <w:numPr>
          <w:ilvl w:val="0"/>
          <w:numId w:val="2"/>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14:paraId="280E6489">
      <w:pPr>
        <w:numPr>
          <w:ilvl w:val="0"/>
          <w:numId w:val="2"/>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2C8FDEBE">
      <w:pPr>
        <w:numPr>
          <w:ilvl w:val="0"/>
          <w:numId w:val="2"/>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14:paraId="4FFA4D1C">
      <w:pPr>
        <w:numPr>
          <w:ilvl w:val="0"/>
          <w:numId w:val="2"/>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14:paraId="46F2F964">
      <w:pPr>
        <w:spacing w:line="380" w:lineRule="exact"/>
        <w:ind w:firstLine="420" w:firstLineChars="200"/>
        <w:rPr>
          <w:rFonts w:hAnsi="宋体" w:cs="宋体"/>
          <w:sz w:val="21"/>
          <w:szCs w:val="21"/>
        </w:rPr>
      </w:pPr>
    </w:p>
    <w:p w14:paraId="6D49F0B2">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14:paraId="52C3D11C">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bookmarkEnd w:id="59"/>
    <w:bookmarkEnd w:id="60"/>
    <w:bookmarkEnd w:id="61"/>
    <w:p w14:paraId="742E4BA9">
      <w:pPr>
        <w:jc w:val="left"/>
        <w:rPr>
          <w:rFonts w:hAnsi="宋体"/>
          <w:szCs w:val="21"/>
          <w:lang w:val="zh-CN"/>
        </w:rPr>
      </w:pPr>
    </w:p>
    <w:p w14:paraId="10AA362B">
      <w:pPr>
        <w:pStyle w:val="28"/>
        <w:rPr>
          <w:rFonts w:hAnsi="宋体"/>
          <w:szCs w:val="21"/>
          <w:lang w:val="zh-CN"/>
        </w:rPr>
      </w:pPr>
    </w:p>
    <w:p w14:paraId="6201D7C5">
      <w:pPr>
        <w:pStyle w:val="28"/>
        <w:rPr>
          <w:rFonts w:hAnsi="宋体"/>
          <w:szCs w:val="21"/>
          <w:lang w:val="zh-CN"/>
        </w:rPr>
      </w:pPr>
    </w:p>
    <w:p w14:paraId="6804F974">
      <w:pPr>
        <w:pStyle w:val="2"/>
        <w:jc w:val="left"/>
        <w:rPr>
          <w:rFonts w:hint="eastAsia"/>
          <w:color w:val="auto"/>
          <w:szCs w:val="32"/>
          <w:highlight w:val="none"/>
          <w:lang w:val="en-US" w:eastAsia="zh-CN"/>
        </w:rPr>
      </w:pPr>
    </w:p>
    <w:p w14:paraId="45D7E4A6">
      <w:pPr>
        <w:rPr>
          <w:rFonts w:hint="eastAsia"/>
          <w:color w:val="auto"/>
          <w:szCs w:val="32"/>
          <w:highlight w:val="none"/>
          <w:lang w:val="en-US" w:eastAsia="zh-CN"/>
        </w:rPr>
      </w:pPr>
    </w:p>
    <w:p w14:paraId="642FF93F">
      <w:pPr>
        <w:rPr>
          <w:rFonts w:hint="eastAsia"/>
          <w:color w:val="auto"/>
          <w:szCs w:val="32"/>
          <w:highlight w:val="none"/>
          <w:lang w:val="en-US" w:eastAsia="zh-CN"/>
        </w:rPr>
      </w:pPr>
    </w:p>
    <w:p w14:paraId="1486196C">
      <w:pPr>
        <w:rPr>
          <w:rFonts w:hint="eastAsia"/>
          <w:color w:val="auto"/>
          <w:szCs w:val="32"/>
          <w:highlight w:val="none"/>
          <w:lang w:val="en-US" w:eastAsia="zh-CN"/>
        </w:rPr>
      </w:pPr>
    </w:p>
    <w:p w14:paraId="169C930E">
      <w:pPr>
        <w:rPr>
          <w:rFonts w:hint="eastAsia"/>
          <w:color w:val="auto"/>
          <w:szCs w:val="32"/>
          <w:highlight w:val="none"/>
          <w:lang w:val="en-US" w:eastAsia="zh-CN"/>
        </w:rPr>
      </w:pPr>
    </w:p>
    <w:p w14:paraId="6729F051">
      <w:pPr>
        <w:rPr>
          <w:rFonts w:hint="eastAsia"/>
          <w:color w:val="auto"/>
          <w:szCs w:val="32"/>
          <w:highlight w:val="none"/>
          <w:lang w:val="en-US" w:eastAsia="zh-CN"/>
        </w:rPr>
      </w:pPr>
    </w:p>
    <w:p w14:paraId="238F3600">
      <w:pPr>
        <w:rPr>
          <w:rFonts w:hint="eastAsia"/>
          <w:color w:val="auto"/>
          <w:szCs w:val="32"/>
          <w:highlight w:val="none"/>
          <w:lang w:val="en-US" w:eastAsia="zh-CN"/>
        </w:rPr>
      </w:pPr>
    </w:p>
    <w:p w14:paraId="0CB7E48A">
      <w:pPr>
        <w:rPr>
          <w:rFonts w:hint="eastAsia"/>
          <w:color w:val="auto"/>
          <w:szCs w:val="32"/>
          <w:highlight w:val="none"/>
          <w:lang w:val="en-US" w:eastAsia="zh-CN"/>
        </w:rPr>
      </w:pPr>
    </w:p>
    <w:p w14:paraId="1CD823C6">
      <w:pPr>
        <w:rPr>
          <w:rFonts w:hint="eastAsia"/>
          <w:color w:val="auto"/>
          <w:szCs w:val="32"/>
          <w:highlight w:val="none"/>
          <w:lang w:val="en-US" w:eastAsia="zh-CN"/>
        </w:rPr>
      </w:pPr>
    </w:p>
    <w:p w14:paraId="7237D4EF">
      <w:pPr>
        <w:rPr>
          <w:rFonts w:hint="eastAsia"/>
          <w:color w:val="auto"/>
          <w:szCs w:val="32"/>
          <w:highlight w:val="none"/>
          <w:lang w:val="en-US" w:eastAsia="zh-CN"/>
        </w:rPr>
      </w:pPr>
    </w:p>
    <w:p w14:paraId="2706C1E9">
      <w:pPr>
        <w:rPr>
          <w:rFonts w:hint="eastAsia"/>
          <w:color w:val="auto"/>
          <w:szCs w:val="32"/>
          <w:highlight w:val="none"/>
          <w:lang w:val="en-US" w:eastAsia="zh-CN"/>
        </w:rPr>
      </w:pPr>
    </w:p>
    <w:p w14:paraId="450541C1">
      <w:pPr>
        <w:rPr>
          <w:rFonts w:hint="eastAsia"/>
          <w:color w:val="auto"/>
          <w:szCs w:val="32"/>
          <w:highlight w:val="none"/>
          <w:lang w:val="en-US" w:eastAsia="zh-CN"/>
        </w:rPr>
      </w:pPr>
    </w:p>
    <w:p w14:paraId="3355BC7B">
      <w:pPr>
        <w:numPr>
          <w:ilvl w:val="255"/>
          <w:numId w:val="0"/>
        </w:numPr>
        <w:spacing w:line="360" w:lineRule="auto"/>
        <w:ind w:firstLine="0" w:firstLineChars="0"/>
        <w:rPr>
          <w:rFonts w:hint="eastAsia" w:hAnsi="宋体" w:cs="宋体"/>
          <w:b/>
          <w:sz w:val="28"/>
          <w:szCs w:val="28"/>
          <w:lang w:val="en-US" w:eastAsia="zh-CN"/>
        </w:rPr>
      </w:pPr>
    </w:p>
    <w:p w14:paraId="66EFAE17">
      <w:pPr>
        <w:numPr>
          <w:ilvl w:val="255"/>
          <w:numId w:val="0"/>
        </w:numPr>
        <w:spacing w:line="360" w:lineRule="auto"/>
        <w:ind w:firstLine="0" w:firstLineChars="0"/>
        <w:rPr>
          <w:rFonts w:hint="eastAsia" w:hAnsi="宋体" w:cs="宋体"/>
          <w:b/>
          <w:sz w:val="28"/>
          <w:szCs w:val="28"/>
          <w:lang w:val="en-US" w:eastAsia="zh-CN"/>
        </w:rPr>
      </w:pPr>
    </w:p>
    <w:p w14:paraId="75DA4410">
      <w:pPr>
        <w:numPr>
          <w:ilvl w:val="255"/>
          <w:numId w:val="0"/>
        </w:numPr>
        <w:spacing w:line="360" w:lineRule="auto"/>
        <w:ind w:firstLine="0" w:firstLineChars="0"/>
        <w:rPr>
          <w:rFonts w:hint="eastAsia" w:hAnsi="宋体" w:cs="宋体"/>
          <w:b/>
          <w:sz w:val="28"/>
          <w:szCs w:val="28"/>
          <w:lang w:val="en-US" w:eastAsia="zh-CN"/>
        </w:rPr>
      </w:pPr>
    </w:p>
    <w:p w14:paraId="612FB63A">
      <w:pPr>
        <w:numPr>
          <w:ilvl w:val="255"/>
          <w:numId w:val="0"/>
        </w:numPr>
        <w:spacing w:line="360" w:lineRule="auto"/>
        <w:ind w:firstLine="0" w:firstLineChars="0"/>
        <w:rPr>
          <w:rFonts w:hint="eastAsia" w:hAnsi="宋体" w:cs="宋体"/>
          <w:b/>
          <w:sz w:val="28"/>
          <w:szCs w:val="28"/>
          <w:lang w:val="en-US" w:eastAsia="zh-CN"/>
        </w:rPr>
      </w:pPr>
    </w:p>
    <w:p w14:paraId="53AAE22F">
      <w:pPr>
        <w:numPr>
          <w:ilvl w:val="255"/>
          <w:numId w:val="0"/>
        </w:numPr>
        <w:spacing w:line="360" w:lineRule="auto"/>
        <w:ind w:firstLine="0" w:firstLineChars="0"/>
        <w:rPr>
          <w:rFonts w:hint="eastAsia" w:hAnsi="宋体" w:cs="宋体"/>
          <w:b/>
          <w:sz w:val="28"/>
          <w:szCs w:val="28"/>
          <w:lang w:val="en-US" w:eastAsia="zh-CN"/>
        </w:rPr>
      </w:pPr>
    </w:p>
    <w:p w14:paraId="2068A725">
      <w:pPr>
        <w:numPr>
          <w:ilvl w:val="255"/>
          <w:numId w:val="0"/>
        </w:numPr>
        <w:spacing w:line="360" w:lineRule="auto"/>
        <w:ind w:firstLine="0" w:firstLineChars="0"/>
        <w:rPr>
          <w:rFonts w:hint="eastAsia" w:hAnsi="宋体" w:cs="宋体"/>
          <w:b/>
          <w:sz w:val="28"/>
          <w:szCs w:val="28"/>
          <w:lang w:val="en-US" w:eastAsia="zh-CN"/>
        </w:rPr>
      </w:pPr>
      <w:r>
        <w:rPr>
          <w:rFonts w:hint="eastAsia" w:hAnsi="宋体" w:cs="宋体"/>
          <w:b/>
          <w:sz w:val="28"/>
          <w:szCs w:val="28"/>
          <w:lang w:val="en-US" w:eastAsia="zh-CN"/>
        </w:rPr>
        <w:t>5.营业执照复印件</w:t>
      </w:r>
    </w:p>
    <w:p w14:paraId="08105814">
      <w:pPr>
        <w:rPr>
          <w:rFonts w:hint="default"/>
          <w:lang w:val="en-US" w:eastAsia="zh-CN"/>
        </w:rPr>
      </w:pPr>
    </w:p>
    <w:p w14:paraId="7BB6B47B">
      <w:pPr>
        <w:pStyle w:val="5"/>
        <w:rPr>
          <w:rFonts w:hint="default"/>
          <w:lang w:val="en-US" w:eastAsia="zh-CN"/>
        </w:rPr>
      </w:pPr>
    </w:p>
    <w:p w14:paraId="497C231A">
      <w:pPr>
        <w:pStyle w:val="5"/>
        <w:rPr>
          <w:rFonts w:hint="default"/>
          <w:lang w:val="en-US" w:eastAsia="zh-CN"/>
        </w:rPr>
      </w:pPr>
    </w:p>
    <w:p w14:paraId="5071FE4E">
      <w:pPr>
        <w:pStyle w:val="5"/>
        <w:tabs>
          <w:tab w:val="left" w:pos="230"/>
        </w:tabs>
        <w:ind w:firstLine="0"/>
        <w:rPr>
          <w:rFonts w:hint="default"/>
          <w:lang w:val="en-US" w:eastAsia="zh-CN"/>
        </w:rPr>
      </w:pPr>
    </w:p>
    <w:p w14:paraId="5C803984">
      <w:pPr>
        <w:pStyle w:val="5"/>
        <w:rPr>
          <w:rFonts w:hint="default"/>
          <w:lang w:val="en-US" w:eastAsia="zh-CN"/>
        </w:rPr>
      </w:pPr>
    </w:p>
    <w:p w14:paraId="0EB83EE1">
      <w:pPr>
        <w:pStyle w:val="5"/>
        <w:rPr>
          <w:rFonts w:hint="default"/>
          <w:lang w:val="en-US" w:eastAsia="zh-CN"/>
        </w:rPr>
      </w:pPr>
    </w:p>
    <w:p w14:paraId="02AD9754">
      <w:pPr>
        <w:pStyle w:val="5"/>
        <w:rPr>
          <w:rFonts w:hint="default"/>
          <w:lang w:val="en-US" w:eastAsia="zh-CN"/>
        </w:rPr>
      </w:pPr>
    </w:p>
    <w:p w14:paraId="2EE3BB3C">
      <w:pPr>
        <w:pStyle w:val="5"/>
        <w:rPr>
          <w:rFonts w:hint="default"/>
          <w:lang w:val="en-US" w:eastAsia="zh-CN"/>
        </w:rPr>
      </w:pPr>
    </w:p>
    <w:p w14:paraId="67E7FD78">
      <w:pPr>
        <w:pStyle w:val="5"/>
        <w:rPr>
          <w:rFonts w:hint="default"/>
          <w:lang w:val="en-US" w:eastAsia="zh-CN"/>
        </w:rPr>
      </w:pPr>
    </w:p>
    <w:p w14:paraId="41B8AB2F">
      <w:pPr>
        <w:pStyle w:val="5"/>
        <w:rPr>
          <w:rFonts w:hint="default"/>
          <w:lang w:val="en-US" w:eastAsia="zh-CN"/>
        </w:rPr>
      </w:pPr>
    </w:p>
    <w:p w14:paraId="7C643B7A">
      <w:pPr>
        <w:pStyle w:val="5"/>
        <w:rPr>
          <w:rFonts w:hint="default"/>
          <w:lang w:val="en-US" w:eastAsia="zh-CN"/>
        </w:rPr>
      </w:pPr>
    </w:p>
    <w:p w14:paraId="44AB06D6">
      <w:pPr>
        <w:pStyle w:val="5"/>
        <w:rPr>
          <w:rFonts w:hint="default"/>
          <w:lang w:val="en-US" w:eastAsia="zh-CN"/>
        </w:rPr>
      </w:pPr>
    </w:p>
    <w:p w14:paraId="4F958C4F">
      <w:pPr>
        <w:pStyle w:val="5"/>
        <w:rPr>
          <w:rFonts w:hint="default"/>
          <w:lang w:val="en-US" w:eastAsia="zh-CN"/>
        </w:rPr>
      </w:pPr>
    </w:p>
    <w:p w14:paraId="52765310">
      <w:pPr>
        <w:pStyle w:val="5"/>
        <w:rPr>
          <w:rFonts w:hint="default"/>
          <w:lang w:val="en-US" w:eastAsia="zh-CN"/>
        </w:rPr>
      </w:pPr>
    </w:p>
    <w:p w14:paraId="55249888">
      <w:pPr>
        <w:pStyle w:val="5"/>
        <w:rPr>
          <w:rFonts w:hint="default"/>
          <w:lang w:val="en-US" w:eastAsia="zh-CN"/>
        </w:rPr>
      </w:pPr>
    </w:p>
    <w:p w14:paraId="39567F32">
      <w:pPr>
        <w:pStyle w:val="5"/>
        <w:rPr>
          <w:rFonts w:hint="default"/>
          <w:lang w:val="en-US" w:eastAsia="zh-CN"/>
        </w:rPr>
      </w:pPr>
    </w:p>
    <w:p w14:paraId="5003A500">
      <w:pPr>
        <w:pStyle w:val="5"/>
        <w:rPr>
          <w:rFonts w:hint="default"/>
          <w:lang w:val="en-US" w:eastAsia="zh-CN"/>
        </w:rPr>
      </w:pPr>
    </w:p>
    <w:p w14:paraId="35EE3820">
      <w:pPr>
        <w:pStyle w:val="5"/>
        <w:rPr>
          <w:rFonts w:hint="default"/>
          <w:lang w:val="en-US" w:eastAsia="zh-CN"/>
        </w:rPr>
      </w:pPr>
    </w:p>
    <w:p w14:paraId="4D14907D">
      <w:pPr>
        <w:pStyle w:val="5"/>
        <w:rPr>
          <w:rFonts w:hint="default"/>
          <w:lang w:val="en-US" w:eastAsia="zh-CN"/>
        </w:rPr>
      </w:pPr>
    </w:p>
    <w:p w14:paraId="57E42E54">
      <w:pPr>
        <w:pStyle w:val="5"/>
        <w:rPr>
          <w:rFonts w:hint="default"/>
          <w:lang w:val="en-US" w:eastAsia="zh-CN"/>
        </w:rPr>
      </w:pPr>
    </w:p>
    <w:p w14:paraId="76FD68FA">
      <w:pPr>
        <w:pStyle w:val="5"/>
        <w:rPr>
          <w:rFonts w:hint="default"/>
          <w:lang w:val="en-US" w:eastAsia="zh-CN"/>
        </w:rPr>
      </w:pPr>
    </w:p>
    <w:p w14:paraId="10466A43">
      <w:pPr>
        <w:pStyle w:val="5"/>
        <w:rPr>
          <w:rFonts w:hint="default"/>
          <w:lang w:val="en-US" w:eastAsia="zh-CN"/>
        </w:rPr>
      </w:pPr>
    </w:p>
    <w:p w14:paraId="1AB64A44">
      <w:pPr>
        <w:pStyle w:val="5"/>
        <w:rPr>
          <w:rFonts w:hint="default"/>
          <w:lang w:val="en-US" w:eastAsia="zh-CN"/>
        </w:rPr>
      </w:pPr>
    </w:p>
    <w:p w14:paraId="254BEFD1">
      <w:pPr>
        <w:pStyle w:val="5"/>
        <w:rPr>
          <w:rFonts w:hint="default"/>
          <w:lang w:val="en-US" w:eastAsia="zh-CN"/>
        </w:rPr>
      </w:pPr>
    </w:p>
    <w:p w14:paraId="5D9E83D2">
      <w:pPr>
        <w:pStyle w:val="5"/>
        <w:rPr>
          <w:rFonts w:hint="default"/>
          <w:lang w:val="en-US" w:eastAsia="zh-CN"/>
        </w:rPr>
      </w:pPr>
    </w:p>
    <w:p w14:paraId="68385EF8">
      <w:pPr>
        <w:pStyle w:val="5"/>
        <w:rPr>
          <w:rFonts w:hint="default"/>
          <w:lang w:val="en-US" w:eastAsia="zh-CN"/>
        </w:rPr>
      </w:pPr>
    </w:p>
    <w:p w14:paraId="056F5089">
      <w:pPr>
        <w:keepNext w:val="0"/>
        <w:keepLines w:val="0"/>
        <w:widowControl/>
        <w:suppressLineNumbers w:val="0"/>
        <w:autoSpaceDE/>
        <w:autoSpaceDN/>
        <w:spacing w:line="560" w:lineRule="exact"/>
        <w:ind w:firstLine="562" w:firstLineChars="200"/>
        <w:jc w:val="left"/>
        <w:rPr>
          <w:rFonts w:hint="default" w:ascii="宋体" w:hAnsi="宋体" w:eastAsia="宋体" w:cs="宋体"/>
          <w:b/>
          <w:bCs/>
          <w:color w:val="auto"/>
          <w:kern w:val="44"/>
          <w:sz w:val="28"/>
          <w:szCs w:val="28"/>
          <w:lang w:val="en-US" w:eastAsia="zh-CN" w:bidi="ar-SA"/>
        </w:rPr>
      </w:pPr>
    </w:p>
    <w:p w14:paraId="6ED8382A">
      <w:pPr>
        <w:keepNext w:val="0"/>
        <w:keepLines w:val="0"/>
        <w:widowControl/>
        <w:numPr>
          <w:ilvl w:val="255"/>
          <w:numId w:val="0"/>
        </w:numPr>
        <w:suppressLineNumbers w:val="0"/>
        <w:autoSpaceDE/>
        <w:autoSpaceDN/>
        <w:spacing w:line="360" w:lineRule="auto"/>
        <w:ind w:firstLine="0" w:firstLineChars="0"/>
        <w:jc w:val="left"/>
        <w:rPr>
          <w:rFonts w:hint="eastAsia" w:hAnsi="宋体" w:cs="宋体"/>
          <w:b/>
          <w:bCs w:val="0"/>
          <w:kern w:val="0"/>
          <w:sz w:val="28"/>
          <w:szCs w:val="28"/>
          <w:lang w:val="en-US" w:eastAsia="zh-CN" w:bidi="ar-SA"/>
        </w:rPr>
      </w:pPr>
      <w:r>
        <w:rPr>
          <w:rFonts w:hint="eastAsia" w:hAnsi="宋体" w:cs="宋体"/>
          <w:b/>
          <w:bCs w:val="0"/>
          <w:kern w:val="0"/>
          <w:sz w:val="28"/>
          <w:szCs w:val="28"/>
          <w:lang w:val="en-US" w:eastAsia="zh-CN" w:bidi="ar-SA"/>
        </w:rPr>
        <w:t>6.报价人应具有工程勘察综合甲级资质和相关轨道交通工程安全评估经验，且还应至少满足以下条件之一：</w:t>
      </w:r>
    </w:p>
    <w:p w14:paraId="72F1FEE5">
      <w:pPr>
        <w:keepNext w:val="0"/>
        <w:keepLines w:val="0"/>
        <w:widowControl/>
        <w:numPr>
          <w:ilvl w:val="255"/>
          <w:numId w:val="0"/>
        </w:numPr>
        <w:suppressLineNumbers w:val="0"/>
        <w:autoSpaceDE/>
        <w:autoSpaceDN/>
        <w:spacing w:line="360" w:lineRule="auto"/>
        <w:ind w:firstLine="0" w:firstLineChars="0"/>
        <w:jc w:val="left"/>
        <w:rPr>
          <w:rFonts w:hint="eastAsia" w:hAnsi="宋体" w:cs="宋体"/>
          <w:b/>
          <w:bCs w:val="0"/>
          <w:kern w:val="0"/>
          <w:sz w:val="28"/>
          <w:szCs w:val="28"/>
          <w:lang w:val="en-US" w:eastAsia="zh-CN" w:bidi="ar-SA"/>
        </w:rPr>
      </w:pPr>
      <w:r>
        <w:rPr>
          <w:rFonts w:hint="eastAsia" w:hAnsi="宋体" w:cs="宋体"/>
          <w:b/>
          <w:bCs w:val="0"/>
          <w:kern w:val="0"/>
          <w:sz w:val="28"/>
          <w:szCs w:val="28"/>
          <w:lang w:val="en-US" w:eastAsia="zh-CN" w:bidi="ar-SA"/>
        </w:rPr>
        <w:t>（1）具有国家发改委颁发的工程咨询（铁路、城市轨道交通专业）甲级资信证书。</w:t>
      </w:r>
    </w:p>
    <w:p w14:paraId="68DF7F73">
      <w:pPr>
        <w:keepNext w:val="0"/>
        <w:keepLines w:val="0"/>
        <w:widowControl/>
        <w:numPr>
          <w:ilvl w:val="255"/>
          <w:numId w:val="0"/>
        </w:numPr>
        <w:suppressLineNumbers w:val="0"/>
        <w:autoSpaceDE/>
        <w:autoSpaceDN/>
        <w:spacing w:line="360" w:lineRule="auto"/>
        <w:ind w:firstLine="0" w:firstLineChars="0"/>
        <w:jc w:val="left"/>
        <w:rPr>
          <w:rFonts w:hint="eastAsia" w:hAnsi="宋体" w:cs="宋体"/>
          <w:b/>
          <w:bCs w:val="0"/>
          <w:kern w:val="0"/>
          <w:sz w:val="28"/>
          <w:szCs w:val="28"/>
          <w:lang w:val="en-US" w:eastAsia="zh-CN" w:bidi="ar-SA"/>
        </w:rPr>
      </w:pPr>
      <w:r>
        <w:rPr>
          <w:rFonts w:hint="eastAsia" w:hAnsi="宋体" w:cs="宋体"/>
          <w:b/>
          <w:bCs w:val="0"/>
          <w:kern w:val="0"/>
          <w:sz w:val="28"/>
          <w:szCs w:val="28"/>
          <w:lang w:val="en-US" w:eastAsia="zh-CN" w:bidi="ar-SA"/>
        </w:rPr>
        <w:t>（2）具有工程设计综合甲级资质。</w:t>
      </w:r>
    </w:p>
    <w:p w14:paraId="6401E79A">
      <w:pPr>
        <w:keepNext w:val="0"/>
        <w:keepLines w:val="0"/>
        <w:widowControl/>
        <w:numPr>
          <w:ilvl w:val="255"/>
          <w:numId w:val="0"/>
        </w:numPr>
        <w:suppressLineNumbers w:val="0"/>
        <w:autoSpaceDE/>
        <w:autoSpaceDN/>
        <w:spacing w:line="360" w:lineRule="auto"/>
        <w:ind w:firstLine="0" w:firstLineChars="0"/>
        <w:jc w:val="left"/>
        <w:rPr>
          <w:rFonts w:hint="eastAsia" w:hAnsi="宋体" w:cs="宋体"/>
          <w:b/>
          <w:bCs w:val="0"/>
          <w:kern w:val="0"/>
          <w:sz w:val="28"/>
          <w:szCs w:val="28"/>
          <w:lang w:val="en-US" w:eastAsia="zh-CN" w:bidi="ar-SA"/>
        </w:rPr>
      </w:pPr>
      <w:r>
        <w:rPr>
          <w:rFonts w:hint="eastAsia" w:hAnsi="宋体" w:cs="宋体"/>
          <w:b/>
          <w:bCs w:val="0"/>
          <w:kern w:val="0"/>
          <w:sz w:val="28"/>
          <w:szCs w:val="28"/>
          <w:lang w:val="en-US" w:eastAsia="zh-CN" w:bidi="ar-SA"/>
        </w:rPr>
        <w:t>（3）具有工程设计市政行业轨道交通工程专业甲级资质。</w:t>
      </w:r>
    </w:p>
    <w:p w14:paraId="3FD7C956">
      <w:pPr>
        <w:keepNext w:val="0"/>
        <w:keepLines w:val="0"/>
        <w:widowControl/>
        <w:numPr>
          <w:ilvl w:val="255"/>
          <w:numId w:val="0"/>
        </w:numPr>
        <w:suppressLineNumbers w:val="0"/>
        <w:autoSpaceDE/>
        <w:autoSpaceDN/>
        <w:spacing w:line="360" w:lineRule="auto"/>
        <w:ind w:firstLine="0" w:firstLineChars="0"/>
        <w:jc w:val="left"/>
        <w:rPr>
          <w:rFonts w:hint="eastAsia" w:ascii="宋体" w:hAnsi="宋体" w:eastAsia="宋体" w:cs="宋体"/>
          <w:b/>
          <w:sz w:val="28"/>
          <w:szCs w:val="28"/>
          <w:lang w:eastAsia="zh-CN"/>
        </w:rPr>
      </w:pPr>
      <w:r>
        <w:rPr>
          <w:rFonts w:hint="eastAsia" w:hAnsi="宋体" w:cs="宋体"/>
          <w:b/>
          <w:sz w:val="28"/>
          <w:szCs w:val="28"/>
        </w:rPr>
        <w:t>（须提供资质证书复印件）</w:t>
      </w:r>
    </w:p>
    <w:p w14:paraId="7B32A55D">
      <w:pPr>
        <w:pStyle w:val="2"/>
        <w:numPr>
          <w:ilvl w:val="0"/>
          <w:numId w:val="0"/>
        </w:numPr>
        <w:rPr>
          <w:rFonts w:hint="eastAsia" w:ascii="宋体" w:hAnsi="宋体" w:eastAsia="宋体" w:cs="宋体"/>
          <w:color w:val="auto"/>
          <w:sz w:val="28"/>
          <w:szCs w:val="28"/>
          <w:highlight w:val="none"/>
        </w:rPr>
      </w:pPr>
    </w:p>
    <w:p w14:paraId="67BF70D7">
      <w:pPr>
        <w:numPr>
          <w:ilvl w:val="0"/>
          <w:numId w:val="0"/>
        </w:numPr>
        <w:rPr>
          <w:rFonts w:hint="eastAsia"/>
          <w:lang w:val="en-US" w:eastAsia="zh-CN"/>
        </w:rPr>
      </w:pPr>
    </w:p>
    <w:p w14:paraId="79A24AD9">
      <w:pPr>
        <w:pStyle w:val="5"/>
        <w:rPr>
          <w:rFonts w:hint="eastAsia"/>
          <w:lang w:val="en-US" w:eastAsia="zh-CN"/>
        </w:rPr>
      </w:pPr>
    </w:p>
    <w:p w14:paraId="2FA2912E">
      <w:pPr>
        <w:pStyle w:val="5"/>
        <w:rPr>
          <w:rFonts w:hint="eastAsia"/>
          <w:lang w:val="en-US" w:eastAsia="zh-CN"/>
        </w:rPr>
      </w:pPr>
    </w:p>
    <w:p w14:paraId="59196429">
      <w:pPr>
        <w:pStyle w:val="5"/>
        <w:rPr>
          <w:rFonts w:hint="eastAsia"/>
          <w:lang w:val="en-US" w:eastAsia="zh-CN"/>
        </w:rPr>
      </w:pPr>
    </w:p>
    <w:p w14:paraId="5ED5AE35">
      <w:pPr>
        <w:pStyle w:val="5"/>
        <w:rPr>
          <w:rFonts w:hint="eastAsia"/>
          <w:lang w:val="en-US" w:eastAsia="zh-CN"/>
        </w:rPr>
      </w:pPr>
    </w:p>
    <w:p w14:paraId="05D15ED4">
      <w:pPr>
        <w:pStyle w:val="5"/>
        <w:rPr>
          <w:rFonts w:hint="eastAsia"/>
          <w:lang w:val="en-US" w:eastAsia="zh-CN"/>
        </w:rPr>
      </w:pPr>
    </w:p>
    <w:p w14:paraId="79BC8E8A">
      <w:pPr>
        <w:pStyle w:val="5"/>
        <w:rPr>
          <w:rFonts w:hint="eastAsia"/>
          <w:lang w:val="en-US" w:eastAsia="zh-CN"/>
        </w:rPr>
      </w:pPr>
    </w:p>
    <w:p w14:paraId="3618FECB">
      <w:pPr>
        <w:pStyle w:val="5"/>
        <w:rPr>
          <w:rFonts w:hint="eastAsia"/>
          <w:lang w:val="en-US" w:eastAsia="zh-CN"/>
        </w:rPr>
      </w:pPr>
    </w:p>
    <w:p w14:paraId="59780A4B">
      <w:pPr>
        <w:pStyle w:val="5"/>
        <w:rPr>
          <w:rFonts w:hint="eastAsia"/>
          <w:lang w:val="en-US" w:eastAsia="zh-CN"/>
        </w:rPr>
      </w:pPr>
    </w:p>
    <w:p w14:paraId="505BD226">
      <w:pPr>
        <w:pStyle w:val="5"/>
        <w:rPr>
          <w:rFonts w:hint="eastAsia"/>
          <w:lang w:val="en-US" w:eastAsia="zh-CN"/>
        </w:rPr>
      </w:pPr>
    </w:p>
    <w:p w14:paraId="28E5BA69">
      <w:pPr>
        <w:pStyle w:val="5"/>
        <w:rPr>
          <w:rFonts w:hint="eastAsia"/>
          <w:lang w:val="en-US" w:eastAsia="zh-CN"/>
        </w:rPr>
      </w:pPr>
    </w:p>
    <w:p w14:paraId="63899BCD">
      <w:pPr>
        <w:pStyle w:val="5"/>
        <w:rPr>
          <w:rFonts w:hint="eastAsia"/>
          <w:lang w:val="en-US" w:eastAsia="zh-CN"/>
        </w:rPr>
      </w:pPr>
    </w:p>
    <w:p w14:paraId="2919F842">
      <w:pPr>
        <w:pStyle w:val="5"/>
        <w:rPr>
          <w:rFonts w:hint="eastAsia"/>
          <w:lang w:val="en-US" w:eastAsia="zh-CN"/>
        </w:rPr>
      </w:pPr>
    </w:p>
    <w:p w14:paraId="1A5113A6">
      <w:pPr>
        <w:pStyle w:val="5"/>
        <w:rPr>
          <w:rFonts w:hint="eastAsia"/>
          <w:lang w:val="en-US" w:eastAsia="zh-CN"/>
        </w:rPr>
      </w:pPr>
    </w:p>
    <w:p w14:paraId="46E4A716">
      <w:pPr>
        <w:pStyle w:val="5"/>
        <w:rPr>
          <w:rFonts w:hint="eastAsia"/>
          <w:lang w:val="en-US" w:eastAsia="zh-CN"/>
        </w:rPr>
      </w:pPr>
    </w:p>
    <w:p w14:paraId="7BA32A92">
      <w:pPr>
        <w:pStyle w:val="5"/>
        <w:rPr>
          <w:rFonts w:hint="eastAsia"/>
          <w:lang w:val="en-US" w:eastAsia="zh-CN"/>
        </w:rPr>
      </w:pPr>
    </w:p>
    <w:p w14:paraId="1BED294D">
      <w:pPr>
        <w:pStyle w:val="5"/>
        <w:rPr>
          <w:rFonts w:hint="eastAsia"/>
          <w:lang w:val="en-US" w:eastAsia="zh-CN"/>
        </w:rPr>
      </w:pPr>
    </w:p>
    <w:p w14:paraId="36EF10D3">
      <w:pPr>
        <w:pStyle w:val="5"/>
        <w:rPr>
          <w:rFonts w:hint="eastAsia"/>
          <w:lang w:val="en-US" w:eastAsia="zh-CN"/>
        </w:rPr>
      </w:pPr>
    </w:p>
    <w:p w14:paraId="16471830">
      <w:pPr>
        <w:pStyle w:val="2"/>
        <w:jc w:val="left"/>
        <w:rPr>
          <w:rFonts w:hint="eastAsia" w:ascii="宋体" w:hAnsi="宋体" w:cs="宋体"/>
          <w:bCs w:val="0"/>
          <w:kern w:val="0"/>
          <w:sz w:val="28"/>
          <w:szCs w:val="28"/>
        </w:rPr>
      </w:pPr>
      <w:bookmarkStart w:id="63" w:name="_Toc13004"/>
      <w:bookmarkStart w:id="64" w:name="_Toc27168"/>
      <w:r>
        <w:rPr>
          <w:rFonts w:hint="eastAsia" w:ascii="宋体" w:hAnsi="宋体" w:cs="宋体"/>
          <w:b/>
          <w:bCs w:val="0"/>
          <w:kern w:val="0"/>
          <w:sz w:val="28"/>
          <w:szCs w:val="28"/>
          <w:lang w:val="en-US" w:eastAsia="zh-CN"/>
        </w:rPr>
        <w:t>7.报价人2021年1月1日以来具有一项东莞地铁安全评估业绩（合同签订日期为2021年1月1日或以后）</w:t>
      </w:r>
      <w:bookmarkEnd w:id="63"/>
      <w:bookmarkEnd w:id="64"/>
    </w:p>
    <w:p w14:paraId="20DC9CF4">
      <w:pPr>
        <w:pStyle w:val="2"/>
        <w:jc w:val="left"/>
        <w:rPr>
          <w:rFonts w:hint="eastAsia"/>
          <w:color w:val="auto"/>
          <w:szCs w:val="32"/>
          <w:highlight w:val="none"/>
          <w:lang w:val="en-US" w:eastAsia="zh-CN"/>
        </w:rPr>
      </w:pPr>
    </w:p>
    <w:p w14:paraId="03ADAADF">
      <w:pPr>
        <w:pStyle w:val="2"/>
        <w:spacing w:before="0" w:after="0"/>
        <w:jc w:val="left"/>
        <w:rPr>
          <w:rFonts w:hint="eastAsia"/>
          <w:b/>
          <w:bCs/>
          <w:color w:val="auto"/>
          <w:sz w:val="21"/>
          <w:szCs w:val="21"/>
          <w:highlight w:val="none"/>
          <w:lang w:val="en-US" w:eastAsia="zh-CN"/>
        </w:rPr>
      </w:pPr>
      <w:bookmarkStart w:id="65" w:name="_Toc1400"/>
      <w:bookmarkStart w:id="66" w:name="_Toc6640"/>
      <w:r>
        <w:rPr>
          <w:rFonts w:hint="eastAsia"/>
          <w:b/>
          <w:bCs/>
          <w:color w:val="auto"/>
          <w:sz w:val="21"/>
          <w:szCs w:val="21"/>
          <w:highlight w:val="none"/>
          <w:lang w:val="en-US" w:eastAsia="zh-CN"/>
        </w:rPr>
        <w:t>业绩证明材料提交要求：</w:t>
      </w:r>
      <w:bookmarkEnd w:id="65"/>
      <w:bookmarkEnd w:id="66"/>
    </w:p>
    <w:p w14:paraId="62D45A45">
      <w:pPr>
        <w:pStyle w:val="2"/>
        <w:numPr>
          <w:ilvl w:val="0"/>
          <w:numId w:val="0"/>
        </w:numPr>
        <w:spacing w:before="0" w:after="0"/>
        <w:jc w:val="left"/>
        <w:rPr>
          <w:rFonts w:hint="eastAsia"/>
          <w:b w:val="0"/>
          <w:bCs w:val="0"/>
          <w:color w:val="auto"/>
          <w:sz w:val="21"/>
          <w:szCs w:val="21"/>
          <w:highlight w:val="none"/>
          <w:lang w:val="en-US" w:eastAsia="zh-CN"/>
        </w:rPr>
      </w:pPr>
      <w:bookmarkStart w:id="67" w:name="_Toc29274"/>
      <w:bookmarkStart w:id="68" w:name="_Toc31651"/>
      <w:r>
        <w:rPr>
          <w:rFonts w:hint="eastAsia" w:ascii="宋体" w:hAnsi="Times New Roman" w:eastAsia="宋体" w:cs="Times New Roman"/>
          <w:b w:val="0"/>
          <w:bCs w:val="0"/>
          <w:color w:val="auto"/>
          <w:kern w:val="44"/>
          <w:sz w:val="21"/>
          <w:szCs w:val="21"/>
          <w:lang w:val="en-US" w:eastAsia="zh-CN" w:bidi="ar-SA"/>
        </w:rPr>
        <w:t>（1）</w:t>
      </w:r>
      <w:r>
        <w:rPr>
          <w:rFonts w:hint="eastAsia"/>
          <w:b w:val="0"/>
          <w:bCs w:val="0"/>
          <w:color w:val="auto"/>
          <w:sz w:val="21"/>
          <w:szCs w:val="21"/>
          <w:highlight w:val="none"/>
          <w:lang w:val="en-US" w:eastAsia="zh-CN"/>
        </w:rPr>
        <w:t>业绩须附合同复印件；</w:t>
      </w:r>
      <w:bookmarkEnd w:id="67"/>
      <w:bookmarkEnd w:id="68"/>
    </w:p>
    <w:p w14:paraId="5335C58C">
      <w:pPr>
        <w:pStyle w:val="2"/>
        <w:numPr>
          <w:ilvl w:val="0"/>
          <w:numId w:val="0"/>
        </w:numPr>
        <w:spacing w:before="0" w:after="0"/>
        <w:jc w:val="left"/>
        <w:rPr>
          <w:rFonts w:hint="eastAsia"/>
          <w:b w:val="0"/>
          <w:bCs w:val="0"/>
          <w:color w:val="auto"/>
          <w:sz w:val="21"/>
          <w:szCs w:val="21"/>
        </w:rPr>
      </w:pPr>
      <w:bookmarkStart w:id="69" w:name="_Toc2175"/>
      <w:bookmarkStart w:id="70" w:name="_Toc18761"/>
      <w:r>
        <w:rPr>
          <w:rFonts w:hint="eastAsia" w:ascii="宋体" w:hAnsi="Times New Roman" w:eastAsia="宋体" w:cs="Times New Roman"/>
          <w:b w:val="0"/>
          <w:bCs w:val="0"/>
          <w:color w:val="auto"/>
          <w:kern w:val="44"/>
          <w:sz w:val="21"/>
          <w:szCs w:val="21"/>
          <w:lang w:val="en-US" w:eastAsia="zh-CN" w:bidi="ar-SA"/>
        </w:rPr>
        <w:t>（2）</w:t>
      </w:r>
      <w:r>
        <w:rPr>
          <w:rFonts w:hint="eastAsia"/>
          <w:b w:val="0"/>
          <w:bCs w:val="0"/>
          <w:color w:val="auto"/>
          <w:sz w:val="21"/>
          <w:szCs w:val="21"/>
        </w:rPr>
        <w:t>合同业绩证明材料必须能反映业绩条件（合同签订日期为202</w:t>
      </w:r>
      <w:r>
        <w:rPr>
          <w:rFonts w:hint="eastAsia"/>
          <w:b w:val="0"/>
          <w:bCs w:val="0"/>
          <w:color w:val="auto"/>
          <w:sz w:val="21"/>
          <w:szCs w:val="21"/>
          <w:lang w:val="en-US" w:eastAsia="zh-CN"/>
        </w:rPr>
        <w:t>1</w:t>
      </w:r>
      <w:r>
        <w:rPr>
          <w:rFonts w:hint="eastAsia"/>
          <w:b w:val="0"/>
          <w:bCs w:val="0"/>
          <w:color w:val="auto"/>
          <w:sz w:val="21"/>
          <w:szCs w:val="21"/>
        </w:rPr>
        <w:t>年1月1日或以后，业绩类型为东莞地铁安全评估），否则需同时提供合同委托方出具的书面补充情况说明文件复印件（需加盖委托方公章，即复印件能显示委托方公章）。</w:t>
      </w:r>
      <w:bookmarkEnd w:id="69"/>
      <w:bookmarkEnd w:id="70"/>
    </w:p>
    <w:p w14:paraId="4D432D7C">
      <w:pPr>
        <w:pStyle w:val="2"/>
        <w:numPr>
          <w:ilvl w:val="0"/>
          <w:numId w:val="0"/>
        </w:numPr>
        <w:spacing w:before="0" w:after="0"/>
        <w:rPr>
          <w:rFonts w:hint="eastAsia"/>
          <w:b/>
          <w:bCs/>
          <w:color w:val="auto"/>
          <w:sz w:val="21"/>
          <w:szCs w:val="21"/>
          <w:lang w:val="en-US"/>
        </w:rPr>
      </w:pPr>
      <w:bookmarkStart w:id="71" w:name="_Toc18153"/>
      <w:bookmarkStart w:id="72" w:name="_Toc31749"/>
      <w:r>
        <w:rPr>
          <w:rFonts w:hint="eastAsia"/>
          <w:b/>
          <w:bCs/>
          <w:color w:val="auto"/>
          <w:sz w:val="21"/>
          <w:szCs w:val="21"/>
          <w:lang w:val="zh-CN"/>
        </w:rPr>
        <w:t>（3）未按上述要求提供证明材料的业绩，或所附材料无法证明符合资格要求的业绩，按无效</w:t>
      </w:r>
      <w:r>
        <w:rPr>
          <w:rFonts w:hint="eastAsia"/>
          <w:b/>
          <w:bCs/>
          <w:color w:val="auto"/>
          <w:sz w:val="21"/>
          <w:szCs w:val="21"/>
          <w:lang w:val="en-US" w:eastAsia="zh-CN"/>
        </w:rPr>
        <w:t>报价</w:t>
      </w:r>
      <w:r>
        <w:rPr>
          <w:rFonts w:hint="eastAsia"/>
          <w:b/>
          <w:bCs/>
          <w:color w:val="auto"/>
          <w:sz w:val="21"/>
          <w:szCs w:val="21"/>
          <w:lang w:val="zh-CN"/>
        </w:rPr>
        <w:t>处理。</w:t>
      </w:r>
      <w:bookmarkEnd w:id="71"/>
      <w:bookmarkEnd w:id="72"/>
    </w:p>
    <w:p w14:paraId="1D19FA9E">
      <w:pPr>
        <w:pStyle w:val="5"/>
        <w:rPr>
          <w:rFonts w:hAnsi="宋体"/>
          <w:color w:val="auto"/>
          <w:szCs w:val="21"/>
          <w:highlight w:val="none"/>
          <w:lang w:val="zh-CN"/>
        </w:rPr>
      </w:pPr>
    </w:p>
    <w:p w14:paraId="5C5DEAA1">
      <w:pPr>
        <w:pStyle w:val="5"/>
        <w:rPr>
          <w:rFonts w:hAnsi="宋体"/>
          <w:color w:val="auto"/>
          <w:szCs w:val="21"/>
          <w:highlight w:val="none"/>
          <w:lang w:val="zh-CN"/>
        </w:rPr>
      </w:pPr>
    </w:p>
    <w:p w14:paraId="435FEBBF">
      <w:pPr>
        <w:pStyle w:val="5"/>
        <w:rPr>
          <w:rFonts w:hAnsi="宋体"/>
          <w:color w:val="auto"/>
          <w:szCs w:val="21"/>
          <w:highlight w:val="none"/>
          <w:lang w:val="zh-CN"/>
        </w:rPr>
      </w:pPr>
    </w:p>
    <w:p w14:paraId="51751A9D">
      <w:pPr>
        <w:pStyle w:val="5"/>
        <w:rPr>
          <w:rFonts w:hAnsi="宋体"/>
          <w:color w:val="auto"/>
          <w:szCs w:val="21"/>
          <w:highlight w:val="none"/>
          <w:lang w:val="zh-CN"/>
        </w:rPr>
      </w:pPr>
    </w:p>
    <w:p w14:paraId="60F20F3A">
      <w:pPr>
        <w:pStyle w:val="5"/>
        <w:rPr>
          <w:rFonts w:hAnsi="宋体"/>
          <w:color w:val="auto"/>
          <w:szCs w:val="21"/>
          <w:highlight w:val="none"/>
          <w:lang w:val="zh-CN"/>
        </w:rPr>
      </w:pPr>
    </w:p>
    <w:p w14:paraId="1F66515F">
      <w:pPr>
        <w:pStyle w:val="5"/>
        <w:rPr>
          <w:rFonts w:hAnsi="宋体"/>
          <w:color w:val="auto"/>
          <w:szCs w:val="21"/>
          <w:highlight w:val="none"/>
          <w:lang w:val="zh-CN"/>
        </w:rPr>
      </w:pPr>
    </w:p>
    <w:p w14:paraId="7FA065CD">
      <w:pPr>
        <w:pStyle w:val="5"/>
        <w:rPr>
          <w:rFonts w:hAnsi="宋体"/>
          <w:color w:val="auto"/>
          <w:szCs w:val="21"/>
          <w:highlight w:val="none"/>
          <w:lang w:val="zh-CN"/>
        </w:rPr>
      </w:pPr>
    </w:p>
    <w:p w14:paraId="1F9A3617">
      <w:pPr>
        <w:pStyle w:val="5"/>
        <w:rPr>
          <w:rFonts w:hAnsi="宋体"/>
          <w:color w:val="auto"/>
          <w:szCs w:val="21"/>
          <w:highlight w:val="none"/>
          <w:lang w:val="zh-CN"/>
        </w:rPr>
      </w:pPr>
    </w:p>
    <w:p w14:paraId="22C8C601">
      <w:pPr>
        <w:pStyle w:val="5"/>
        <w:rPr>
          <w:rFonts w:hAnsi="宋体"/>
          <w:color w:val="auto"/>
          <w:szCs w:val="21"/>
          <w:highlight w:val="none"/>
          <w:lang w:val="zh-CN"/>
        </w:rPr>
      </w:pPr>
    </w:p>
    <w:p w14:paraId="02928FF5">
      <w:pPr>
        <w:pStyle w:val="5"/>
        <w:rPr>
          <w:rFonts w:hAnsi="宋体"/>
          <w:color w:val="auto"/>
          <w:szCs w:val="21"/>
          <w:highlight w:val="none"/>
          <w:lang w:val="zh-CN"/>
        </w:rPr>
      </w:pPr>
    </w:p>
    <w:p w14:paraId="14FDEABA">
      <w:pPr>
        <w:pStyle w:val="5"/>
        <w:rPr>
          <w:rFonts w:hAnsi="宋体"/>
          <w:color w:val="auto"/>
          <w:szCs w:val="21"/>
          <w:highlight w:val="none"/>
          <w:lang w:val="zh-CN"/>
        </w:rPr>
      </w:pPr>
    </w:p>
    <w:p w14:paraId="6C9C48E7">
      <w:pPr>
        <w:pStyle w:val="5"/>
        <w:rPr>
          <w:rFonts w:hAnsi="宋体"/>
          <w:color w:val="auto"/>
          <w:szCs w:val="21"/>
          <w:highlight w:val="none"/>
          <w:lang w:val="zh-CN"/>
        </w:rPr>
      </w:pPr>
    </w:p>
    <w:p w14:paraId="35A1568E">
      <w:pPr>
        <w:pStyle w:val="5"/>
        <w:rPr>
          <w:rFonts w:hAnsi="宋体"/>
          <w:color w:val="auto"/>
          <w:szCs w:val="21"/>
          <w:highlight w:val="none"/>
          <w:lang w:val="zh-CN"/>
        </w:rPr>
      </w:pPr>
    </w:p>
    <w:p w14:paraId="33429BA6">
      <w:pPr>
        <w:pStyle w:val="5"/>
        <w:rPr>
          <w:rFonts w:hAnsi="宋体"/>
          <w:color w:val="auto"/>
          <w:szCs w:val="21"/>
          <w:highlight w:val="none"/>
          <w:lang w:val="zh-CN"/>
        </w:rPr>
      </w:pPr>
    </w:p>
    <w:p w14:paraId="5E0D5720">
      <w:pPr>
        <w:pStyle w:val="5"/>
        <w:rPr>
          <w:rFonts w:hAnsi="宋体"/>
          <w:color w:val="auto"/>
          <w:szCs w:val="21"/>
          <w:highlight w:val="none"/>
          <w:lang w:val="zh-CN"/>
        </w:rPr>
      </w:pPr>
    </w:p>
    <w:p w14:paraId="63E022B0">
      <w:pPr>
        <w:pStyle w:val="5"/>
        <w:rPr>
          <w:rFonts w:hAnsi="宋体"/>
          <w:color w:val="auto"/>
          <w:szCs w:val="21"/>
          <w:highlight w:val="none"/>
          <w:lang w:val="zh-CN"/>
        </w:rPr>
      </w:pPr>
    </w:p>
    <w:p w14:paraId="07699106">
      <w:pPr>
        <w:pStyle w:val="5"/>
        <w:rPr>
          <w:rFonts w:hAnsi="宋体"/>
          <w:color w:val="auto"/>
          <w:szCs w:val="21"/>
          <w:highlight w:val="none"/>
          <w:lang w:val="zh-CN"/>
        </w:rPr>
      </w:pPr>
    </w:p>
    <w:p w14:paraId="25127253">
      <w:pPr>
        <w:pStyle w:val="5"/>
        <w:ind w:firstLine="0"/>
        <w:rPr>
          <w:rFonts w:hAnsi="宋体"/>
          <w:b/>
          <w:bCs/>
          <w:color w:val="auto"/>
          <w:sz w:val="28"/>
          <w:szCs w:val="28"/>
          <w:highlight w:val="none"/>
          <w:lang w:val="zh-CN"/>
        </w:rPr>
      </w:pPr>
      <w:r>
        <w:rPr>
          <w:rFonts w:hint="eastAsia"/>
          <w:b/>
          <w:bCs/>
          <w:color w:val="auto"/>
          <w:sz w:val="28"/>
          <w:szCs w:val="28"/>
          <w:highlight w:val="none"/>
          <w:lang w:val="en-US" w:eastAsia="zh-CN"/>
        </w:rPr>
        <w:t>8.</w:t>
      </w:r>
      <w:r>
        <w:rPr>
          <w:rFonts w:hint="eastAsia"/>
          <w:b/>
          <w:bCs/>
          <w:color w:val="auto"/>
          <w:sz w:val="28"/>
          <w:szCs w:val="28"/>
          <w:highlight w:val="none"/>
        </w:rPr>
        <w:t>报价人认为有必要提供的资料（不作强制要求）</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3EDE">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E4F4D">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8E4F4D">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2384594"/>
                          </w:sdtPr>
                          <w:sdtContent>
                            <w:p w14:paraId="30AC3CBB">
                              <w:pPr>
                                <w:pStyle w:val="13"/>
                                <w:jc w:val="center"/>
                              </w:pPr>
                            </w:p>
                          </w:sdtContent>
                        </w:sdt>
                        <w:p w14:paraId="11A2B1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2384594"/>
                    </w:sdtPr>
                    <w:sdtContent>
                      <w:p w14:paraId="30AC3CBB">
                        <w:pPr>
                          <w:pStyle w:val="13"/>
                          <w:jc w:val="center"/>
                        </w:pPr>
                      </w:p>
                    </w:sdtContent>
                  </w:sdt>
                  <w:p w14:paraId="11A2B138"/>
                </w:txbxContent>
              </v:textbox>
            </v:shape>
          </w:pict>
        </mc:Fallback>
      </mc:AlternateContent>
    </w:r>
  </w:p>
  <w:p w14:paraId="42E3EFE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143106"/>
      <w:docPartObj>
        <w:docPartGallery w:val="autotext"/>
      </w:docPartObj>
    </w:sdtPr>
    <w:sdtContent>
      <w:p w14:paraId="6EC71362">
        <w:pPr>
          <w:pStyle w:val="13"/>
          <w:jc w:val="center"/>
        </w:pPr>
        <w:r>
          <w:fldChar w:fldCharType="begin"/>
        </w:r>
        <w:r>
          <w:instrText xml:space="preserve">PAGE   \* MERGEFORMAT</w:instrText>
        </w:r>
        <w:r>
          <w:fldChar w:fldCharType="separate"/>
        </w:r>
        <w:r>
          <w:rPr>
            <w:lang w:val="zh-CN"/>
          </w:rPr>
          <w:t>2</w:t>
        </w:r>
        <w:r>
          <w:fldChar w:fldCharType="end"/>
        </w:r>
      </w:p>
    </w:sdtContent>
  </w:sdt>
  <w:p w14:paraId="1566FF5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7D19">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9434">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069434">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4A39">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E28D2">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0E28D2">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8855737"/>
                          </w:sdtPr>
                          <w:sdtContent>
                            <w:p w14:paraId="5297F741">
                              <w:pPr>
                                <w:pStyle w:val="13"/>
                                <w:jc w:val="center"/>
                              </w:pPr>
                            </w:p>
                          </w:sdtContent>
                        </w:sdt>
                        <w:p w14:paraId="44C5996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38855737"/>
                    </w:sdtPr>
                    <w:sdtContent>
                      <w:p w14:paraId="5297F741">
                        <w:pPr>
                          <w:pStyle w:val="13"/>
                          <w:jc w:val="center"/>
                        </w:pPr>
                      </w:p>
                    </w:sdtContent>
                  </w:sdt>
                  <w:p w14:paraId="44C5996F"/>
                </w:txbxContent>
              </v:textbox>
            </v:shape>
          </w:pict>
        </mc:Fallback>
      </mc:AlternateContent>
    </w:r>
  </w:p>
  <w:p w14:paraId="14C1C167">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15BB">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3816">
    <w:pPr>
      <w:pStyle w:val="14"/>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7D4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0D9F0"/>
    <w:multiLevelType w:val="singleLevel"/>
    <w:tmpl w:val="44C0D9F0"/>
    <w:lvl w:ilvl="0" w:tentative="0">
      <w:start w:val="1"/>
      <w:numFmt w:val="decimal"/>
      <w:suff w:val="space"/>
      <w:lvlText w:val="(%1)"/>
      <w:lvlJc w:val="left"/>
    </w:lvl>
  </w:abstractNum>
  <w:abstractNum w:abstractNumId="1">
    <w:nsid w:val="481B6FC2"/>
    <w:multiLevelType w:val="singleLevel"/>
    <w:tmpl w:val="481B6FC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3516"/>
    <w:rsid w:val="00067FBA"/>
    <w:rsid w:val="00084DBB"/>
    <w:rsid w:val="00085693"/>
    <w:rsid w:val="000941A4"/>
    <w:rsid w:val="000A5D2F"/>
    <w:rsid w:val="000D7EE6"/>
    <w:rsid w:val="000E27A8"/>
    <w:rsid w:val="00105BF4"/>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301DB8"/>
    <w:rsid w:val="003036CD"/>
    <w:rsid w:val="0032312C"/>
    <w:rsid w:val="00324F94"/>
    <w:rsid w:val="003700EC"/>
    <w:rsid w:val="0039246F"/>
    <w:rsid w:val="003938E9"/>
    <w:rsid w:val="00397000"/>
    <w:rsid w:val="003D3A79"/>
    <w:rsid w:val="003D60D7"/>
    <w:rsid w:val="0040421A"/>
    <w:rsid w:val="00457033"/>
    <w:rsid w:val="0046213E"/>
    <w:rsid w:val="004976C6"/>
    <w:rsid w:val="004C14FB"/>
    <w:rsid w:val="004C62CB"/>
    <w:rsid w:val="004F4272"/>
    <w:rsid w:val="005015A7"/>
    <w:rsid w:val="005148F7"/>
    <w:rsid w:val="00526006"/>
    <w:rsid w:val="00533944"/>
    <w:rsid w:val="005900AA"/>
    <w:rsid w:val="005A068C"/>
    <w:rsid w:val="005C1978"/>
    <w:rsid w:val="005C744D"/>
    <w:rsid w:val="005D4FCE"/>
    <w:rsid w:val="005D79BF"/>
    <w:rsid w:val="005F51F7"/>
    <w:rsid w:val="0060551C"/>
    <w:rsid w:val="006148FC"/>
    <w:rsid w:val="006526A1"/>
    <w:rsid w:val="006728F3"/>
    <w:rsid w:val="006962F6"/>
    <w:rsid w:val="00696E0B"/>
    <w:rsid w:val="006A4613"/>
    <w:rsid w:val="006B6FC6"/>
    <w:rsid w:val="006D0909"/>
    <w:rsid w:val="006D2103"/>
    <w:rsid w:val="006F5515"/>
    <w:rsid w:val="0071195E"/>
    <w:rsid w:val="0071309F"/>
    <w:rsid w:val="00723E9F"/>
    <w:rsid w:val="00726C0B"/>
    <w:rsid w:val="007670A4"/>
    <w:rsid w:val="007D13EA"/>
    <w:rsid w:val="007F0DC1"/>
    <w:rsid w:val="00801F4B"/>
    <w:rsid w:val="00847D69"/>
    <w:rsid w:val="00874CA6"/>
    <w:rsid w:val="008A2175"/>
    <w:rsid w:val="008F1172"/>
    <w:rsid w:val="008F45D1"/>
    <w:rsid w:val="0090377F"/>
    <w:rsid w:val="00926371"/>
    <w:rsid w:val="009555CD"/>
    <w:rsid w:val="009E24A7"/>
    <w:rsid w:val="00A42DBB"/>
    <w:rsid w:val="00A550FA"/>
    <w:rsid w:val="00A55EFA"/>
    <w:rsid w:val="00A64D66"/>
    <w:rsid w:val="00A954B6"/>
    <w:rsid w:val="00AB685D"/>
    <w:rsid w:val="00AC78C4"/>
    <w:rsid w:val="00AF2587"/>
    <w:rsid w:val="00AF38F0"/>
    <w:rsid w:val="00B27C32"/>
    <w:rsid w:val="00B43260"/>
    <w:rsid w:val="00B52BA8"/>
    <w:rsid w:val="00B913CD"/>
    <w:rsid w:val="00BA7F90"/>
    <w:rsid w:val="00BB687D"/>
    <w:rsid w:val="00BF4BDE"/>
    <w:rsid w:val="00C32B63"/>
    <w:rsid w:val="00C40DB2"/>
    <w:rsid w:val="00C47908"/>
    <w:rsid w:val="00C50D59"/>
    <w:rsid w:val="00C54D18"/>
    <w:rsid w:val="00C83344"/>
    <w:rsid w:val="00CA6D08"/>
    <w:rsid w:val="00CC051D"/>
    <w:rsid w:val="00CE3303"/>
    <w:rsid w:val="00D018F3"/>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0217"/>
    <w:rsid w:val="00EE6F1D"/>
    <w:rsid w:val="00EF61B7"/>
    <w:rsid w:val="00F145EB"/>
    <w:rsid w:val="00F2295C"/>
    <w:rsid w:val="00F30FAF"/>
    <w:rsid w:val="00F47A0F"/>
    <w:rsid w:val="00FA41AE"/>
    <w:rsid w:val="00FF1033"/>
    <w:rsid w:val="011A4D50"/>
    <w:rsid w:val="012670A3"/>
    <w:rsid w:val="015F6407"/>
    <w:rsid w:val="016264C5"/>
    <w:rsid w:val="018E404D"/>
    <w:rsid w:val="01945F1C"/>
    <w:rsid w:val="01F80A87"/>
    <w:rsid w:val="02051D20"/>
    <w:rsid w:val="020F0464"/>
    <w:rsid w:val="028D5BF3"/>
    <w:rsid w:val="030643E6"/>
    <w:rsid w:val="03111184"/>
    <w:rsid w:val="03405974"/>
    <w:rsid w:val="036970F4"/>
    <w:rsid w:val="03A418F0"/>
    <w:rsid w:val="03BE6432"/>
    <w:rsid w:val="03D4447B"/>
    <w:rsid w:val="03FF2FB2"/>
    <w:rsid w:val="04272DCA"/>
    <w:rsid w:val="04870EEF"/>
    <w:rsid w:val="052851DF"/>
    <w:rsid w:val="05684AF3"/>
    <w:rsid w:val="05A918BF"/>
    <w:rsid w:val="05AB6BBF"/>
    <w:rsid w:val="06201584"/>
    <w:rsid w:val="06BB4538"/>
    <w:rsid w:val="0754284D"/>
    <w:rsid w:val="076F5347"/>
    <w:rsid w:val="076F7643"/>
    <w:rsid w:val="0795122D"/>
    <w:rsid w:val="07AF14DB"/>
    <w:rsid w:val="07D94EB6"/>
    <w:rsid w:val="07F43A9E"/>
    <w:rsid w:val="08224F1A"/>
    <w:rsid w:val="08601C7B"/>
    <w:rsid w:val="088333C9"/>
    <w:rsid w:val="09394EDC"/>
    <w:rsid w:val="0944416D"/>
    <w:rsid w:val="09853F8C"/>
    <w:rsid w:val="0A1D0EEE"/>
    <w:rsid w:val="0A8A7B65"/>
    <w:rsid w:val="0AA479E5"/>
    <w:rsid w:val="0AFE7BEE"/>
    <w:rsid w:val="0B3E2538"/>
    <w:rsid w:val="0B8F02F9"/>
    <w:rsid w:val="0C300E1D"/>
    <w:rsid w:val="0C4B3694"/>
    <w:rsid w:val="0C7B4653"/>
    <w:rsid w:val="0C950A35"/>
    <w:rsid w:val="0D6B4DA9"/>
    <w:rsid w:val="0DA911EC"/>
    <w:rsid w:val="0DCC4683"/>
    <w:rsid w:val="0DE71700"/>
    <w:rsid w:val="0E0A3CE4"/>
    <w:rsid w:val="0E19600D"/>
    <w:rsid w:val="0ECE75F4"/>
    <w:rsid w:val="0EF91A2E"/>
    <w:rsid w:val="0F7364F5"/>
    <w:rsid w:val="102313C5"/>
    <w:rsid w:val="102D0180"/>
    <w:rsid w:val="10643C6D"/>
    <w:rsid w:val="10656D47"/>
    <w:rsid w:val="106A5B96"/>
    <w:rsid w:val="108B0D18"/>
    <w:rsid w:val="10A246B6"/>
    <w:rsid w:val="10D15D3E"/>
    <w:rsid w:val="10FF12C2"/>
    <w:rsid w:val="11685980"/>
    <w:rsid w:val="11A42091"/>
    <w:rsid w:val="11C63415"/>
    <w:rsid w:val="11F42013"/>
    <w:rsid w:val="129D34A8"/>
    <w:rsid w:val="12D20E80"/>
    <w:rsid w:val="12FE7EC7"/>
    <w:rsid w:val="14211E81"/>
    <w:rsid w:val="14360DB7"/>
    <w:rsid w:val="14836DB7"/>
    <w:rsid w:val="1491761E"/>
    <w:rsid w:val="14A26938"/>
    <w:rsid w:val="14B60A59"/>
    <w:rsid w:val="14BC6537"/>
    <w:rsid w:val="15051FB2"/>
    <w:rsid w:val="1558394A"/>
    <w:rsid w:val="15724254"/>
    <w:rsid w:val="15B825AF"/>
    <w:rsid w:val="15ED340F"/>
    <w:rsid w:val="16101A77"/>
    <w:rsid w:val="1689057C"/>
    <w:rsid w:val="16970A27"/>
    <w:rsid w:val="16D57DE2"/>
    <w:rsid w:val="16FD382A"/>
    <w:rsid w:val="174D224F"/>
    <w:rsid w:val="178031CD"/>
    <w:rsid w:val="17852965"/>
    <w:rsid w:val="17BE1312"/>
    <w:rsid w:val="17C074F9"/>
    <w:rsid w:val="18323E47"/>
    <w:rsid w:val="183302AF"/>
    <w:rsid w:val="183E79FA"/>
    <w:rsid w:val="183F40E9"/>
    <w:rsid w:val="185428BD"/>
    <w:rsid w:val="18AB25E9"/>
    <w:rsid w:val="191F3D81"/>
    <w:rsid w:val="1981143D"/>
    <w:rsid w:val="19DE010A"/>
    <w:rsid w:val="19EE7C55"/>
    <w:rsid w:val="1A0216BC"/>
    <w:rsid w:val="1A7647E7"/>
    <w:rsid w:val="1ABA1788"/>
    <w:rsid w:val="1B386E55"/>
    <w:rsid w:val="1B425FD9"/>
    <w:rsid w:val="1B91134D"/>
    <w:rsid w:val="1BA46780"/>
    <w:rsid w:val="1BCC3036"/>
    <w:rsid w:val="1C5E70E8"/>
    <w:rsid w:val="1C9D605B"/>
    <w:rsid w:val="1D2F2F01"/>
    <w:rsid w:val="1D7416EB"/>
    <w:rsid w:val="1DD737EE"/>
    <w:rsid w:val="1DE9580D"/>
    <w:rsid w:val="1E3216E4"/>
    <w:rsid w:val="1E3628AC"/>
    <w:rsid w:val="1E461723"/>
    <w:rsid w:val="1E667CDE"/>
    <w:rsid w:val="1E8F7C25"/>
    <w:rsid w:val="1E916DE3"/>
    <w:rsid w:val="1EE67B1A"/>
    <w:rsid w:val="1EF332BE"/>
    <w:rsid w:val="1EFA5239"/>
    <w:rsid w:val="1F0C6A44"/>
    <w:rsid w:val="1FDC7799"/>
    <w:rsid w:val="1FE3647B"/>
    <w:rsid w:val="201B065D"/>
    <w:rsid w:val="20336198"/>
    <w:rsid w:val="206A5073"/>
    <w:rsid w:val="20BA1DD6"/>
    <w:rsid w:val="20C67FA5"/>
    <w:rsid w:val="20E04262"/>
    <w:rsid w:val="213022C2"/>
    <w:rsid w:val="21DC5524"/>
    <w:rsid w:val="21EA31DF"/>
    <w:rsid w:val="22023472"/>
    <w:rsid w:val="22B440FE"/>
    <w:rsid w:val="22E5744E"/>
    <w:rsid w:val="23600F86"/>
    <w:rsid w:val="237B1664"/>
    <w:rsid w:val="23977CA8"/>
    <w:rsid w:val="23DA6FE8"/>
    <w:rsid w:val="241326AF"/>
    <w:rsid w:val="24E866C5"/>
    <w:rsid w:val="24F46A34"/>
    <w:rsid w:val="25667D90"/>
    <w:rsid w:val="259747A4"/>
    <w:rsid w:val="259D2E03"/>
    <w:rsid w:val="25AA6F8B"/>
    <w:rsid w:val="25CB4EF7"/>
    <w:rsid w:val="260D24A3"/>
    <w:rsid w:val="268B0B98"/>
    <w:rsid w:val="269D5E01"/>
    <w:rsid w:val="26CB1A16"/>
    <w:rsid w:val="27736336"/>
    <w:rsid w:val="27A07297"/>
    <w:rsid w:val="27B30D9F"/>
    <w:rsid w:val="27CB1793"/>
    <w:rsid w:val="281D6C04"/>
    <w:rsid w:val="283808D9"/>
    <w:rsid w:val="287253E3"/>
    <w:rsid w:val="287277E7"/>
    <w:rsid w:val="287E49E8"/>
    <w:rsid w:val="289876F9"/>
    <w:rsid w:val="28DE1ED5"/>
    <w:rsid w:val="28E043F9"/>
    <w:rsid w:val="28EC17CC"/>
    <w:rsid w:val="29BB78FD"/>
    <w:rsid w:val="29E06177"/>
    <w:rsid w:val="2A332A22"/>
    <w:rsid w:val="2A737418"/>
    <w:rsid w:val="2A84526C"/>
    <w:rsid w:val="2A8951CC"/>
    <w:rsid w:val="2A927087"/>
    <w:rsid w:val="2AD64398"/>
    <w:rsid w:val="2ADE2379"/>
    <w:rsid w:val="2B4D2443"/>
    <w:rsid w:val="2B69539E"/>
    <w:rsid w:val="2B7540DB"/>
    <w:rsid w:val="2C37076E"/>
    <w:rsid w:val="2C636AB6"/>
    <w:rsid w:val="2C916476"/>
    <w:rsid w:val="2CAF07F8"/>
    <w:rsid w:val="2DF126AA"/>
    <w:rsid w:val="2E3A2E17"/>
    <w:rsid w:val="2E43112B"/>
    <w:rsid w:val="2E5D52C2"/>
    <w:rsid w:val="2EF467F6"/>
    <w:rsid w:val="2F396F04"/>
    <w:rsid w:val="30057B2A"/>
    <w:rsid w:val="30160999"/>
    <w:rsid w:val="30DE6071"/>
    <w:rsid w:val="31016908"/>
    <w:rsid w:val="31144EC3"/>
    <w:rsid w:val="319D13D5"/>
    <w:rsid w:val="31CC4E5C"/>
    <w:rsid w:val="33017AF6"/>
    <w:rsid w:val="33074EBA"/>
    <w:rsid w:val="337363CA"/>
    <w:rsid w:val="337D4B3D"/>
    <w:rsid w:val="3393735C"/>
    <w:rsid w:val="33997124"/>
    <w:rsid w:val="33BC3827"/>
    <w:rsid w:val="34011E6F"/>
    <w:rsid w:val="34047C33"/>
    <w:rsid w:val="347B4FE3"/>
    <w:rsid w:val="34BC61B9"/>
    <w:rsid w:val="34D760CB"/>
    <w:rsid w:val="35067AD7"/>
    <w:rsid w:val="35122D23"/>
    <w:rsid w:val="351369ED"/>
    <w:rsid w:val="35295114"/>
    <w:rsid w:val="35644FFD"/>
    <w:rsid w:val="35711920"/>
    <w:rsid w:val="35E87B78"/>
    <w:rsid w:val="36021F5D"/>
    <w:rsid w:val="36817625"/>
    <w:rsid w:val="36F63E7F"/>
    <w:rsid w:val="3737219F"/>
    <w:rsid w:val="37417276"/>
    <w:rsid w:val="382D4E09"/>
    <w:rsid w:val="38367638"/>
    <w:rsid w:val="38AD38DA"/>
    <w:rsid w:val="38D45A61"/>
    <w:rsid w:val="394847D5"/>
    <w:rsid w:val="39563DF2"/>
    <w:rsid w:val="39711E96"/>
    <w:rsid w:val="39B44138"/>
    <w:rsid w:val="39F24D5C"/>
    <w:rsid w:val="3A9479A4"/>
    <w:rsid w:val="3B1465D3"/>
    <w:rsid w:val="3B23772B"/>
    <w:rsid w:val="3B296F76"/>
    <w:rsid w:val="3B297AAC"/>
    <w:rsid w:val="3B2D16AC"/>
    <w:rsid w:val="3B8A796E"/>
    <w:rsid w:val="3BAD63E3"/>
    <w:rsid w:val="3BC82C42"/>
    <w:rsid w:val="3BEA498F"/>
    <w:rsid w:val="3C041233"/>
    <w:rsid w:val="3C05377A"/>
    <w:rsid w:val="3CB86496"/>
    <w:rsid w:val="3D6A795E"/>
    <w:rsid w:val="3DC4795B"/>
    <w:rsid w:val="3DD86A9B"/>
    <w:rsid w:val="3DEB0D84"/>
    <w:rsid w:val="3DFE0BF8"/>
    <w:rsid w:val="3E164BE0"/>
    <w:rsid w:val="3E29456D"/>
    <w:rsid w:val="3E4B674A"/>
    <w:rsid w:val="3E85606E"/>
    <w:rsid w:val="3EA91939"/>
    <w:rsid w:val="3F5B75EC"/>
    <w:rsid w:val="3FFC0667"/>
    <w:rsid w:val="405C44D2"/>
    <w:rsid w:val="407475F1"/>
    <w:rsid w:val="40ED75E6"/>
    <w:rsid w:val="411F00D7"/>
    <w:rsid w:val="41B94E35"/>
    <w:rsid w:val="41DA3316"/>
    <w:rsid w:val="42121158"/>
    <w:rsid w:val="42214A45"/>
    <w:rsid w:val="42450879"/>
    <w:rsid w:val="43416B0C"/>
    <w:rsid w:val="434A78DC"/>
    <w:rsid w:val="43D336B6"/>
    <w:rsid w:val="44072B92"/>
    <w:rsid w:val="44C82164"/>
    <w:rsid w:val="45836BAC"/>
    <w:rsid w:val="45C16E24"/>
    <w:rsid w:val="45F745EF"/>
    <w:rsid w:val="466F2D80"/>
    <w:rsid w:val="470B1C8F"/>
    <w:rsid w:val="47765ACE"/>
    <w:rsid w:val="478F466E"/>
    <w:rsid w:val="4799729B"/>
    <w:rsid w:val="47D227AD"/>
    <w:rsid w:val="47F610C4"/>
    <w:rsid w:val="48252E91"/>
    <w:rsid w:val="48670FFB"/>
    <w:rsid w:val="48B705E1"/>
    <w:rsid w:val="48B7167F"/>
    <w:rsid w:val="49946C55"/>
    <w:rsid w:val="49EF5898"/>
    <w:rsid w:val="4A32101E"/>
    <w:rsid w:val="4A5161CB"/>
    <w:rsid w:val="4A732F06"/>
    <w:rsid w:val="4A7D310B"/>
    <w:rsid w:val="4ABA40F8"/>
    <w:rsid w:val="4AC2649E"/>
    <w:rsid w:val="4AD64EF9"/>
    <w:rsid w:val="4BA16E02"/>
    <w:rsid w:val="4BF8361E"/>
    <w:rsid w:val="4C0D0B2F"/>
    <w:rsid w:val="4C1170A1"/>
    <w:rsid w:val="4C312CA8"/>
    <w:rsid w:val="4C35155C"/>
    <w:rsid w:val="4C596FA4"/>
    <w:rsid w:val="4C5D7F72"/>
    <w:rsid w:val="4CA05D24"/>
    <w:rsid w:val="4CB8244D"/>
    <w:rsid w:val="4D2C0528"/>
    <w:rsid w:val="4D3E714A"/>
    <w:rsid w:val="4D6324B3"/>
    <w:rsid w:val="4E0116AB"/>
    <w:rsid w:val="4E356C0C"/>
    <w:rsid w:val="4E710579"/>
    <w:rsid w:val="4EA212CB"/>
    <w:rsid w:val="4EB973F7"/>
    <w:rsid w:val="4EDD03B5"/>
    <w:rsid w:val="4F6603DD"/>
    <w:rsid w:val="4FEB3F41"/>
    <w:rsid w:val="4FF0456F"/>
    <w:rsid w:val="4FF74E5A"/>
    <w:rsid w:val="50902265"/>
    <w:rsid w:val="50BB63CA"/>
    <w:rsid w:val="50C17863"/>
    <w:rsid w:val="50C45730"/>
    <w:rsid w:val="50E10B6E"/>
    <w:rsid w:val="51556673"/>
    <w:rsid w:val="51884591"/>
    <w:rsid w:val="5191563E"/>
    <w:rsid w:val="51A53819"/>
    <w:rsid w:val="51E04798"/>
    <w:rsid w:val="51E13229"/>
    <w:rsid w:val="5204078A"/>
    <w:rsid w:val="521265C8"/>
    <w:rsid w:val="52730B24"/>
    <w:rsid w:val="529F6C07"/>
    <w:rsid w:val="535F1075"/>
    <w:rsid w:val="53B176FC"/>
    <w:rsid w:val="53DE4E60"/>
    <w:rsid w:val="540A6E74"/>
    <w:rsid w:val="54423FF9"/>
    <w:rsid w:val="54797DF3"/>
    <w:rsid w:val="54A73AD0"/>
    <w:rsid w:val="54F2097A"/>
    <w:rsid w:val="555E38D2"/>
    <w:rsid w:val="556F3FAC"/>
    <w:rsid w:val="55A84F8D"/>
    <w:rsid w:val="55B50E30"/>
    <w:rsid w:val="55C513FD"/>
    <w:rsid w:val="55D278EC"/>
    <w:rsid w:val="565847C5"/>
    <w:rsid w:val="568F195B"/>
    <w:rsid w:val="56A97C37"/>
    <w:rsid w:val="56B746D8"/>
    <w:rsid w:val="570D1A54"/>
    <w:rsid w:val="5765363E"/>
    <w:rsid w:val="57D31259"/>
    <w:rsid w:val="580A5892"/>
    <w:rsid w:val="584F3614"/>
    <w:rsid w:val="58C44DFE"/>
    <w:rsid w:val="58EC2CEC"/>
    <w:rsid w:val="58F00CE5"/>
    <w:rsid w:val="59222F69"/>
    <w:rsid w:val="594B23BF"/>
    <w:rsid w:val="5A570776"/>
    <w:rsid w:val="5A6369C9"/>
    <w:rsid w:val="5ABF4E13"/>
    <w:rsid w:val="5B0B0CEC"/>
    <w:rsid w:val="5B527A35"/>
    <w:rsid w:val="5BE736F4"/>
    <w:rsid w:val="5C0B7707"/>
    <w:rsid w:val="5C48669A"/>
    <w:rsid w:val="5C7406CE"/>
    <w:rsid w:val="5CAE5844"/>
    <w:rsid w:val="5CB91F87"/>
    <w:rsid w:val="5D5F1171"/>
    <w:rsid w:val="5D8B022F"/>
    <w:rsid w:val="5DCF4078"/>
    <w:rsid w:val="5DE60909"/>
    <w:rsid w:val="5E2E78D5"/>
    <w:rsid w:val="5E493001"/>
    <w:rsid w:val="5E802B0B"/>
    <w:rsid w:val="5E987E55"/>
    <w:rsid w:val="5EA7113F"/>
    <w:rsid w:val="5F9818C9"/>
    <w:rsid w:val="60670EFC"/>
    <w:rsid w:val="6080480B"/>
    <w:rsid w:val="609B59DA"/>
    <w:rsid w:val="60A4600F"/>
    <w:rsid w:val="60D26A14"/>
    <w:rsid w:val="60E348BE"/>
    <w:rsid w:val="61926DDD"/>
    <w:rsid w:val="61B412ED"/>
    <w:rsid w:val="61D67620"/>
    <w:rsid w:val="6243453C"/>
    <w:rsid w:val="626807F8"/>
    <w:rsid w:val="626910AD"/>
    <w:rsid w:val="62697950"/>
    <w:rsid w:val="62CA4946"/>
    <w:rsid w:val="633839B4"/>
    <w:rsid w:val="63AD2DAA"/>
    <w:rsid w:val="641066DF"/>
    <w:rsid w:val="642A5FAC"/>
    <w:rsid w:val="64387ED4"/>
    <w:rsid w:val="6458288A"/>
    <w:rsid w:val="64897956"/>
    <w:rsid w:val="65A16E43"/>
    <w:rsid w:val="66114A5C"/>
    <w:rsid w:val="666243BF"/>
    <w:rsid w:val="66BC2241"/>
    <w:rsid w:val="66E814DC"/>
    <w:rsid w:val="675A1754"/>
    <w:rsid w:val="683C0CF0"/>
    <w:rsid w:val="683D62C8"/>
    <w:rsid w:val="68B86C3B"/>
    <w:rsid w:val="69A04D5D"/>
    <w:rsid w:val="69B50057"/>
    <w:rsid w:val="69B82801"/>
    <w:rsid w:val="6A356B81"/>
    <w:rsid w:val="6A5F59EA"/>
    <w:rsid w:val="6A89439B"/>
    <w:rsid w:val="6A8E38AE"/>
    <w:rsid w:val="6AFB5822"/>
    <w:rsid w:val="6B5856FF"/>
    <w:rsid w:val="6BAC1FA5"/>
    <w:rsid w:val="6BC11031"/>
    <w:rsid w:val="6BDF59B2"/>
    <w:rsid w:val="6BFA733C"/>
    <w:rsid w:val="6C3118E9"/>
    <w:rsid w:val="6C476644"/>
    <w:rsid w:val="6CB5609E"/>
    <w:rsid w:val="6CC466F5"/>
    <w:rsid w:val="6CE93C39"/>
    <w:rsid w:val="6D1E2735"/>
    <w:rsid w:val="6DFC631E"/>
    <w:rsid w:val="6E106BD1"/>
    <w:rsid w:val="6E3B488D"/>
    <w:rsid w:val="6E3C210C"/>
    <w:rsid w:val="6F093530"/>
    <w:rsid w:val="6F0F6AD0"/>
    <w:rsid w:val="6F370FC4"/>
    <w:rsid w:val="6F437C60"/>
    <w:rsid w:val="6FFB5587"/>
    <w:rsid w:val="6FFE6EC6"/>
    <w:rsid w:val="700C1269"/>
    <w:rsid w:val="70C9455E"/>
    <w:rsid w:val="70F97A33"/>
    <w:rsid w:val="7195214F"/>
    <w:rsid w:val="71C13BFA"/>
    <w:rsid w:val="71EF7DB8"/>
    <w:rsid w:val="72230F59"/>
    <w:rsid w:val="72784546"/>
    <w:rsid w:val="72834520"/>
    <w:rsid w:val="72CF5580"/>
    <w:rsid w:val="73AD7AA7"/>
    <w:rsid w:val="73C34AA1"/>
    <w:rsid w:val="73FC0C5F"/>
    <w:rsid w:val="74023AAB"/>
    <w:rsid w:val="74280F9B"/>
    <w:rsid w:val="744D4DE6"/>
    <w:rsid w:val="749E5641"/>
    <w:rsid w:val="75C04289"/>
    <w:rsid w:val="76174B66"/>
    <w:rsid w:val="76192607"/>
    <w:rsid w:val="7623117E"/>
    <w:rsid w:val="76361656"/>
    <w:rsid w:val="766301EB"/>
    <w:rsid w:val="76E45ED5"/>
    <w:rsid w:val="77170388"/>
    <w:rsid w:val="77775308"/>
    <w:rsid w:val="77B36BE9"/>
    <w:rsid w:val="780C06F6"/>
    <w:rsid w:val="7897067C"/>
    <w:rsid w:val="78AE3E67"/>
    <w:rsid w:val="78C71967"/>
    <w:rsid w:val="78C72D99"/>
    <w:rsid w:val="78D2603F"/>
    <w:rsid w:val="78FD6E08"/>
    <w:rsid w:val="7944225B"/>
    <w:rsid w:val="796723C2"/>
    <w:rsid w:val="7A0D09CC"/>
    <w:rsid w:val="7A4F06DF"/>
    <w:rsid w:val="7B6341C9"/>
    <w:rsid w:val="7BA72455"/>
    <w:rsid w:val="7C190053"/>
    <w:rsid w:val="7C466CEA"/>
    <w:rsid w:val="7C85699A"/>
    <w:rsid w:val="7CA13F21"/>
    <w:rsid w:val="7CBA0AE0"/>
    <w:rsid w:val="7CFF7064"/>
    <w:rsid w:val="7D6E3F01"/>
    <w:rsid w:val="7DC54BBF"/>
    <w:rsid w:val="7DF74EDC"/>
    <w:rsid w:val="7DFF4BE0"/>
    <w:rsid w:val="7E23733B"/>
    <w:rsid w:val="7E90249F"/>
    <w:rsid w:val="7EC5040A"/>
    <w:rsid w:val="7ED4682F"/>
    <w:rsid w:val="7EDC3114"/>
    <w:rsid w:val="7F0709B3"/>
    <w:rsid w:val="7F200C52"/>
    <w:rsid w:val="7F311FAE"/>
    <w:rsid w:val="7F5B6A68"/>
    <w:rsid w:val="7F5C550A"/>
    <w:rsid w:val="7F7438C2"/>
    <w:rsid w:val="7FA61E14"/>
    <w:rsid w:val="7FB64187"/>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9"/>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7"/>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8"/>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toa heading"/>
    <w:basedOn w:val="1"/>
    <w:next w:val="1"/>
    <w:autoRedefine/>
    <w:qFormat/>
    <w:uiPriority w:val="0"/>
    <w:pPr>
      <w:snapToGrid w:val="0"/>
      <w:spacing w:before="120" w:line="360" w:lineRule="auto"/>
      <w:jc w:val="both"/>
    </w:pPr>
    <w:rPr>
      <w:rFonts w:ascii="Arial" w:hAnsi="Arial"/>
      <w:snapToGrid w:val="0"/>
      <w:color w:val="000000"/>
      <w:sz w:val="21"/>
      <w:szCs w:val="20"/>
    </w:rPr>
  </w:style>
  <w:style w:type="paragraph" w:styleId="7">
    <w:name w:val="annotation text"/>
    <w:basedOn w:val="1"/>
    <w:link w:val="58"/>
    <w:autoRedefine/>
    <w:unhideWhenUsed/>
    <w:qFormat/>
    <w:uiPriority w:val="0"/>
    <w:pPr>
      <w:autoSpaceDE/>
      <w:autoSpaceDN/>
      <w:adjustRightInd/>
    </w:pPr>
    <w:rPr>
      <w:rFonts w:ascii="Calibri" w:hAnsi="Calibri"/>
      <w:kern w:val="2"/>
      <w:sz w:val="21"/>
    </w:rPr>
  </w:style>
  <w:style w:type="paragraph" w:styleId="8">
    <w:name w:val="Body Text"/>
    <w:basedOn w:val="1"/>
    <w:next w:val="9"/>
    <w:link w:val="31"/>
    <w:autoRedefine/>
    <w:qFormat/>
    <w:uiPriority w:val="99"/>
    <w:pPr>
      <w:ind w:right="-26"/>
      <w:jc w:val="center"/>
    </w:pPr>
    <w:rPr>
      <w:b/>
      <w:bCs/>
      <w:sz w:val="84"/>
      <w:szCs w:val="84"/>
      <w:lang w:val="zh-CN"/>
    </w:rPr>
  </w:style>
  <w:style w:type="paragraph" w:styleId="9">
    <w:name w:val="Body Text First Indent"/>
    <w:basedOn w:val="8"/>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10">
    <w:name w:val="Body Text Indent"/>
    <w:basedOn w:val="1"/>
    <w:autoRedefine/>
    <w:qFormat/>
    <w:uiPriority w:val="0"/>
    <w:pPr>
      <w:widowControl/>
      <w:spacing w:before="100" w:beforeAutospacing="1" w:after="100" w:afterAutospacing="1"/>
    </w:pPr>
    <w:rPr>
      <w:rFonts w:hAnsi="宋体" w:cs="宋体"/>
      <w:color w:val="000000"/>
    </w:rPr>
  </w:style>
  <w:style w:type="paragraph" w:styleId="11">
    <w:name w:val="Plain Text"/>
    <w:basedOn w:val="1"/>
    <w:link w:val="34"/>
    <w:autoRedefine/>
    <w:qFormat/>
    <w:uiPriority w:val="0"/>
    <w:pPr>
      <w:autoSpaceDE/>
      <w:autoSpaceDN/>
      <w:adjustRightInd/>
      <w:jc w:val="both"/>
    </w:pPr>
    <w:rPr>
      <w:rFonts w:hAnsi="Courier New"/>
      <w:kern w:val="2"/>
      <w:sz w:val="21"/>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5">
    <w:name w:val="toc 1"/>
    <w:basedOn w:val="1"/>
    <w:next w:val="1"/>
    <w:autoRedefine/>
    <w:unhideWhenUsed/>
    <w:qFormat/>
    <w:uiPriority w:val="39"/>
    <w:pPr>
      <w:tabs>
        <w:tab w:val="right" w:leader="dot" w:pos="8296"/>
      </w:tabs>
      <w:spacing w:line="360" w:lineRule="auto"/>
    </w:pPr>
  </w:style>
  <w:style w:type="paragraph" w:styleId="16">
    <w:name w:val="toc 2"/>
    <w:basedOn w:val="1"/>
    <w:next w:val="1"/>
    <w:autoRedefine/>
    <w:unhideWhenUsed/>
    <w:qFormat/>
    <w:uiPriority w:val="39"/>
    <w:pPr>
      <w:ind w:left="420" w:leftChars="200"/>
    </w:pPr>
  </w:style>
  <w:style w:type="paragraph" w:styleId="17">
    <w:name w:val="HTML Preformatted"/>
    <w:basedOn w:val="1"/>
    <w:link w:val="59"/>
    <w:autoRedefine/>
    <w:semiHidden/>
    <w:unhideWhenUsed/>
    <w:qFormat/>
    <w:uiPriority w:val="99"/>
    <w:rPr>
      <w:rFonts w:ascii="Courier New" w:hAnsi="Courier New" w:cs="Courier New"/>
      <w:sz w:val="20"/>
      <w:szCs w:val="20"/>
    </w:rPr>
  </w:style>
  <w:style w:type="paragraph" w:styleId="18">
    <w:name w:val="Normal (Web)"/>
    <w:autoRedefine/>
    <w:qFormat/>
    <w:uiPriority w:val="0"/>
    <w:pPr>
      <w:widowControl/>
      <w:autoSpaceDE/>
      <w:autoSpaceDN/>
      <w:adjustRightInd/>
      <w:spacing w:before="100" w:beforeAutospacing="1" w:after="100" w:afterAutospacing="1"/>
      <w:ind w:firstLine="200" w:firstLineChars="200"/>
    </w:pPr>
    <w:rPr>
      <w:rFonts w:ascii="宋体" w:hAnsi="宋体" w:eastAsia="宋体" w:cs="Times New Roman"/>
      <w:sz w:val="15"/>
      <w:szCs w:val="15"/>
      <w:lang w:val="en-US" w:eastAsia="zh-CN" w:bidi="ar-SA"/>
    </w:rPr>
  </w:style>
  <w:style w:type="paragraph" w:styleId="19">
    <w:name w:val="Title"/>
    <w:basedOn w:val="1"/>
    <w:next w:val="1"/>
    <w:link w:val="36"/>
    <w:autoRedefine/>
    <w:qFormat/>
    <w:uiPriority w:val="10"/>
    <w:pPr>
      <w:spacing w:before="240" w:after="60"/>
      <w:jc w:val="center"/>
      <w:outlineLvl w:val="0"/>
    </w:pPr>
    <w:rPr>
      <w:rFonts w:ascii="Cambria" w:hAnsi="Cambria"/>
      <w:b/>
      <w:bCs/>
      <w:sz w:val="32"/>
      <w:szCs w:val="32"/>
    </w:rPr>
  </w:style>
  <w:style w:type="paragraph" w:styleId="20">
    <w:name w:val="annotation subject"/>
    <w:basedOn w:val="7"/>
    <w:next w:val="7"/>
    <w:link w:val="60"/>
    <w:autoRedefine/>
    <w:semiHidden/>
    <w:unhideWhenUsed/>
    <w:qFormat/>
    <w:uiPriority w:val="99"/>
    <w:pPr>
      <w:autoSpaceDE w:val="0"/>
      <w:autoSpaceDN w:val="0"/>
      <w:adjustRightInd w:val="0"/>
    </w:pPr>
    <w:rPr>
      <w:rFonts w:ascii="宋体" w:hAnsi="Times New Roman"/>
      <w:b/>
      <w:bCs/>
      <w:kern w:val="0"/>
      <w:sz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文档正文"/>
    <w:basedOn w:val="1"/>
    <w:autoRedefine/>
    <w:qFormat/>
    <w:uiPriority w:val="0"/>
    <w:pPr>
      <w:spacing w:line="360" w:lineRule="auto"/>
    </w:pPr>
    <w:rPr>
      <w:rFonts w:cs="Arial"/>
      <w:bCs/>
    </w:rPr>
  </w:style>
  <w:style w:type="character" w:customStyle="1" w:styleId="29">
    <w:name w:val="页眉 Char"/>
    <w:basedOn w:val="23"/>
    <w:link w:val="14"/>
    <w:autoRedefine/>
    <w:qFormat/>
    <w:uiPriority w:val="99"/>
    <w:rPr>
      <w:sz w:val="18"/>
      <w:szCs w:val="18"/>
    </w:rPr>
  </w:style>
  <w:style w:type="character" w:customStyle="1" w:styleId="30">
    <w:name w:val="页脚 Char"/>
    <w:basedOn w:val="23"/>
    <w:link w:val="13"/>
    <w:autoRedefine/>
    <w:qFormat/>
    <w:uiPriority w:val="99"/>
    <w:rPr>
      <w:sz w:val="18"/>
      <w:szCs w:val="18"/>
    </w:rPr>
  </w:style>
  <w:style w:type="character" w:customStyle="1" w:styleId="31">
    <w:name w:val="正文文本 Char"/>
    <w:basedOn w:val="23"/>
    <w:link w:val="8"/>
    <w:autoRedefine/>
    <w:qFormat/>
    <w:uiPriority w:val="99"/>
    <w:rPr>
      <w:rFonts w:ascii="宋体" w:hAnsi="Times New Roman" w:eastAsia="宋体" w:cs="Times New Roman"/>
      <w:b/>
      <w:bCs/>
      <w:kern w:val="0"/>
      <w:sz w:val="84"/>
      <w:szCs w:val="84"/>
      <w:lang w:val="zh-CN"/>
    </w:rPr>
  </w:style>
  <w:style w:type="character" w:customStyle="1" w:styleId="32">
    <w:name w:val="批注框文本 Char"/>
    <w:basedOn w:val="23"/>
    <w:link w:val="12"/>
    <w:autoRedefine/>
    <w:semiHidden/>
    <w:qFormat/>
    <w:uiPriority w:val="99"/>
    <w:rPr>
      <w:rFonts w:ascii="宋体" w:hAnsi="Times New Roman" w:eastAsia="宋体" w:cs="Times New Roman"/>
      <w:kern w:val="0"/>
      <w:sz w:val="18"/>
      <w:szCs w:val="18"/>
    </w:rPr>
  </w:style>
  <w:style w:type="character" w:customStyle="1" w:styleId="33">
    <w:name w:val="纯文本 字符"/>
    <w:basedOn w:val="23"/>
    <w:autoRedefine/>
    <w:semiHidden/>
    <w:qFormat/>
    <w:uiPriority w:val="99"/>
    <w:rPr>
      <w:rFonts w:hAnsi="Courier New" w:cs="Courier New" w:asciiTheme="minorEastAsia"/>
      <w:kern w:val="0"/>
      <w:sz w:val="24"/>
      <w:szCs w:val="24"/>
    </w:rPr>
  </w:style>
  <w:style w:type="character" w:customStyle="1" w:styleId="34">
    <w:name w:val="纯文本 Char"/>
    <w:link w:val="11"/>
    <w:autoRedefine/>
    <w:qFormat/>
    <w:uiPriority w:val="0"/>
    <w:rPr>
      <w:rFonts w:ascii="宋体" w:hAnsi="Courier New" w:eastAsia="宋体" w:cs="Times New Roman"/>
      <w:szCs w:val="20"/>
    </w:rPr>
  </w:style>
  <w:style w:type="character" w:customStyle="1" w:styleId="35">
    <w:name w:val="标题 字符"/>
    <w:basedOn w:val="23"/>
    <w:autoRedefine/>
    <w:qFormat/>
    <w:uiPriority w:val="10"/>
    <w:rPr>
      <w:rFonts w:asciiTheme="majorHAnsi" w:hAnsiTheme="majorHAnsi" w:eastAsiaTheme="majorEastAsia" w:cstheme="majorBidi"/>
      <w:b/>
      <w:bCs/>
      <w:kern w:val="0"/>
      <w:sz w:val="32"/>
      <w:szCs w:val="32"/>
    </w:rPr>
  </w:style>
  <w:style w:type="character" w:customStyle="1" w:styleId="36">
    <w:name w:val="标题 Char"/>
    <w:link w:val="19"/>
    <w:autoRedefine/>
    <w:qFormat/>
    <w:uiPriority w:val="10"/>
    <w:rPr>
      <w:rFonts w:ascii="Cambria" w:hAnsi="Cambria" w:eastAsia="宋体" w:cs="Times New Roman"/>
      <w:b/>
      <w:bCs/>
      <w:kern w:val="0"/>
      <w:sz w:val="32"/>
      <w:szCs w:val="32"/>
    </w:rPr>
  </w:style>
  <w:style w:type="character" w:customStyle="1" w:styleId="37">
    <w:name w:val="标题 2 Char"/>
    <w:basedOn w:val="23"/>
    <w:link w:val="3"/>
    <w:autoRedefine/>
    <w:qFormat/>
    <w:uiPriority w:val="9"/>
    <w:rPr>
      <w:rFonts w:ascii="Arial" w:hAnsi="Arial" w:eastAsia="宋体" w:cs="Times New Roman"/>
      <w:b/>
      <w:sz w:val="32"/>
      <w:szCs w:val="20"/>
    </w:rPr>
  </w:style>
  <w:style w:type="character" w:customStyle="1" w:styleId="38">
    <w:name w:val="标题 3 Char"/>
    <w:basedOn w:val="23"/>
    <w:link w:val="4"/>
    <w:autoRedefine/>
    <w:qFormat/>
    <w:uiPriority w:val="9"/>
    <w:rPr>
      <w:rFonts w:ascii="Times New Roman" w:hAnsi="Times New Roman" w:eastAsia="宋体" w:cs="Times New Roman"/>
      <w:b/>
      <w:sz w:val="28"/>
      <w:szCs w:val="20"/>
    </w:rPr>
  </w:style>
  <w:style w:type="character" w:customStyle="1" w:styleId="39">
    <w:name w:val="标题 1 Char"/>
    <w:basedOn w:val="23"/>
    <w:link w:val="2"/>
    <w:autoRedefine/>
    <w:qFormat/>
    <w:uiPriority w:val="9"/>
    <w:rPr>
      <w:rFonts w:ascii="宋体" w:hAnsi="Times New Roman" w:eastAsia="宋体" w:cs="Times New Roman"/>
      <w:b/>
      <w:bCs/>
      <w:kern w:val="44"/>
      <w:sz w:val="32"/>
      <w:szCs w:val="44"/>
    </w:rPr>
  </w:style>
  <w:style w:type="paragraph" w:customStyle="1" w:styleId="40">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彩色列表 - 强调文字颜色 11"/>
    <w:basedOn w:val="1"/>
    <w:autoRedefine/>
    <w:qFormat/>
    <w:uiPriority w:val="34"/>
    <w:pPr>
      <w:ind w:firstLine="420" w:firstLineChars="200"/>
    </w:pPr>
  </w:style>
  <w:style w:type="paragraph" w:styleId="42">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3">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4">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5">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7">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8">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9">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1">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3">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8">
    <w:name w:val="批注文字 Char"/>
    <w:basedOn w:val="23"/>
    <w:link w:val="7"/>
    <w:autoRedefine/>
    <w:qFormat/>
    <w:uiPriority w:val="0"/>
    <w:rPr>
      <w:rFonts w:ascii="Calibri" w:hAnsi="Calibri" w:eastAsia="宋体" w:cs="Times New Roman"/>
      <w:szCs w:val="24"/>
    </w:rPr>
  </w:style>
  <w:style w:type="character" w:customStyle="1" w:styleId="59">
    <w:name w:val="HTML 预设格式 Char"/>
    <w:basedOn w:val="23"/>
    <w:link w:val="17"/>
    <w:autoRedefine/>
    <w:semiHidden/>
    <w:qFormat/>
    <w:uiPriority w:val="99"/>
    <w:rPr>
      <w:rFonts w:ascii="Courier New" w:hAnsi="Courier New" w:eastAsia="宋体" w:cs="Courier New"/>
      <w:kern w:val="0"/>
      <w:sz w:val="20"/>
      <w:szCs w:val="20"/>
    </w:rPr>
  </w:style>
  <w:style w:type="character" w:customStyle="1" w:styleId="60">
    <w:name w:val="批注主题 Char"/>
    <w:basedOn w:val="58"/>
    <w:link w:val="20"/>
    <w:autoRedefine/>
    <w:semiHidden/>
    <w:qFormat/>
    <w:uiPriority w:val="99"/>
    <w:rPr>
      <w:rFonts w:ascii="宋体" w:hAnsi="Times New Roman" w:eastAsia="宋体" w:cs="Times New Roman"/>
      <w:b/>
      <w:bCs/>
      <w:sz w:val="24"/>
      <w:szCs w:val="24"/>
    </w:rPr>
  </w:style>
  <w:style w:type="paragraph" w:customStyle="1" w:styleId="61">
    <w:name w:val="WPSOffice手动目录 1"/>
    <w:autoRedefine/>
    <w:qFormat/>
    <w:uiPriority w:val="0"/>
    <w:rPr>
      <w:rFonts w:ascii="Times New Roman" w:hAnsi="Times New Roman" w:eastAsia="宋体" w:cs="Times New Roman"/>
      <w:lang w:val="en-US" w:eastAsia="zh-CN" w:bidi="ar-SA"/>
    </w:rPr>
  </w:style>
  <w:style w:type="paragraph" w:customStyle="1" w:styleId="62">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3">
    <w:name w:val="正文_0"/>
    <w:autoRedefine/>
    <w:qFormat/>
    <w:uiPriority w:val="0"/>
    <w:rPr>
      <w:rFonts w:ascii="Times New Roman" w:hAnsi="Times New Roman" w:eastAsia="宋体" w:cs="Times New Roman"/>
      <w:sz w:val="21"/>
      <w:lang w:val="en-US" w:eastAsia="zh-CN" w:bidi="ar-SA"/>
    </w:rPr>
  </w:style>
  <w:style w:type="paragraph" w:customStyle="1" w:styleId="64">
    <w:name w:val="+正文"/>
    <w:basedOn w:val="1"/>
    <w:autoRedefine/>
    <w:qFormat/>
    <w:uiPriority w:val="0"/>
    <w:pPr>
      <w:spacing w:line="360" w:lineRule="auto"/>
      <w:ind w:firstLine="480" w:firstLineChars="200"/>
    </w:pPr>
    <w:rPr>
      <w:rFonts w:cstheme="minorBidi"/>
      <w:bCs/>
      <w:szCs w:val="28"/>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文本格式"/>
    <w:basedOn w:val="1"/>
    <w:autoRedefine/>
    <w:qFormat/>
    <w:uiPriority w:val="0"/>
    <w:pPr>
      <w:spacing w:before="60" w:after="60" w:line="360" w:lineRule="auto"/>
      <w:ind w:firstLine="480" w:firstLineChars="200"/>
      <w:jc w:val="left"/>
    </w:pPr>
    <w:rPr>
      <w:rFonts w:ascii="Times New Roman" w:hAnsi="Times New Roman" w:eastAsia="宋体" w:cs="Times New Roman"/>
      <w:sz w:val="24"/>
      <w:szCs w:val="28"/>
    </w:rPr>
  </w:style>
  <w:style w:type="paragraph" w:customStyle="1" w:styleId="67">
    <w:name w:val="xl44"/>
    <w:basedOn w:val="1"/>
    <w:autoRedefine/>
    <w:qFormat/>
    <w:uiPriority w:val="99"/>
    <w:pPr>
      <w:widowControl/>
      <w:pBdr>
        <w:left w:val="single" w:color="auto" w:sz="4" w:space="0"/>
        <w:right w:val="single" w:color="auto" w:sz="4" w:space="0"/>
      </w:pBdr>
      <w:spacing w:before="100" w:beforeAutospacing="1" w:after="100" w:afterAutospacing="1" w:line="360" w:lineRule="auto"/>
      <w:jc w:val="center"/>
    </w:pPr>
    <w:rPr>
      <w:rFonts w:hint="eastAsia" w:hAnsi="宋体"/>
    </w:rPr>
  </w:style>
  <w:style w:type="paragraph" w:customStyle="1" w:styleId="68">
    <w:name w:val="p0"/>
    <w:basedOn w:val="1"/>
    <w:autoRedefine/>
    <w:qFormat/>
    <w:uiPriority w:val="0"/>
    <w:rPr>
      <w:rFonts w:ascii="Times New Roman" w:hAnsi="Times New Roman" w:eastAsia="宋体" w:cs="Times New Roman"/>
      <w:kern w:val="0"/>
      <w:szCs w:val="21"/>
    </w:rPr>
  </w:style>
  <w:style w:type="paragraph" w:customStyle="1" w:styleId="69">
    <w:name w:val="样式 宋体 行距: 1.5 倍行距"/>
    <w:basedOn w:val="1"/>
    <w:autoRedefine/>
    <w:qFormat/>
    <w:uiPriority w:val="0"/>
    <w:pPr>
      <w:jc w:val="center"/>
    </w:pPr>
    <w:rPr>
      <w:rFonts w:ascii="Times New Roman"/>
      <w:b/>
    </w:rPr>
  </w:style>
  <w:style w:type="paragraph" w:customStyle="1" w:styleId="70">
    <w:name w:val="章标题"/>
    <w:basedOn w:val="6"/>
    <w:autoRedefine/>
    <w:qFormat/>
    <w:uiPriority w:val="0"/>
    <w:pPr>
      <w:widowControl/>
      <w:jc w:val="center"/>
    </w:pPr>
    <w:rPr>
      <w:rFonts w:ascii="宋体" w:hAnsi="Times New Roman"/>
      <w:b/>
      <w:sz w:val="32"/>
      <w:szCs w:val="18"/>
    </w:rPr>
  </w:style>
  <w:style w:type="paragraph" w:customStyle="1" w:styleId="71">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 w:type="paragraph" w:customStyle="1" w:styleId="72">
    <w:name w:val="缩进正文"/>
    <w:basedOn w:val="1"/>
    <w:qFormat/>
    <w:uiPriority w:val="0"/>
    <w:pPr>
      <w:ind w:firstLine="567"/>
    </w:pPr>
  </w:style>
  <w:style w:type="paragraph" w:customStyle="1" w:styleId="7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E6EFF-B6C0-4E54-B1E4-8ADCBEFD6175}">
  <ds:schemaRefs/>
</ds:datastoreItem>
</file>

<file path=docProps/app.xml><?xml version="1.0" encoding="utf-8"?>
<Properties xmlns="http://schemas.openxmlformats.org/officeDocument/2006/extended-properties" xmlns:vt="http://schemas.openxmlformats.org/officeDocument/2006/docPropsVTypes">
  <Template>Normal</Template>
  <Pages>38</Pages>
  <Words>9974</Words>
  <Characters>10732</Characters>
  <Lines>1</Lines>
  <Paragraphs>1</Paragraphs>
  <TotalTime>67</TotalTime>
  <ScaleCrop>false</ScaleCrop>
  <LinksUpToDate>false</LinksUpToDate>
  <CharactersWithSpaces>11196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2023-11-05T06:45:00Z</dcterms:created>
  <dc:creator>政</dc:creator>
  <cp:lastModifiedBy>雅</cp:lastModifiedBy>
  <cp:lastPrinted>2023-01-13T01:55:00Z</cp:lastPrinted>
  <dcterms:modified xsi:type="dcterms:W3CDTF">2026-02-02T00:47:55Z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9F45CDFE4C4C46C8AB5C74C8804CBFA9_13</vt:lpwstr>
  </property>
  <property fmtid="{D5CDD505-2E9C-101B-9397-08002B2CF9AE}" pid="4" name="KSOTemplateDocerSaveRecord">
    <vt:lpwstr>eyJoZGlkIjoiNjBhZjZiYmVhNGMxMGZhOGRkMmZjODg0MjhlNjFlNjciLCJ1c2VySWQiOiI3NzMzNjkyNDAifQ==</vt:lpwstr>
  </property>
</Properties>
</file>