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37E1E">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0" w:name="_Toc21446"/>
      <w:bookmarkStart w:id="1" w:name="_Toc486167706"/>
      <w:bookmarkStart w:id="2" w:name="_Toc142508358"/>
      <w:bookmarkStart w:id="3" w:name="_Toc14879"/>
      <w:bookmarkStart w:id="4" w:name="_Toc7329"/>
      <w:bookmarkStart w:id="5" w:name="_Toc27939_WPSOffice_Level1"/>
      <w:bookmarkStart w:id="6" w:name="_Toc450662891"/>
      <w:r>
        <w:rPr>
          <w:rFonts w:hint="eastAsia" w:ascii="宋体" w:hAnsi="宋体" w:eastAsia="宋体" w:cs="宋体"/>
          <w:b/>
          <w:bCs/>
          <w:color w:val="auto"/>
          <w:kern w:val="44"/>
          <w:sz w:val="32"/>
          <w:szCs w:val="32"/>
          <w:highlight w:val="none"/>
          <w:lang w:val="zh-CN"/>
        </w:rPr>
        <w:t>第三篇 用户需求书</w:t>
      </w:r>
      <w:bookmarkEnd w:id="0"/>
      <w:bookmarkEnd w:id="1"/>
      <w:bookmarkEnd w:id="2"/>
      <w:bookmarkEnd w:id="3"/>
      <w:bookmarkEnd w:id="4"/>
      <w:bookmarkEnd w:id="5"/>
      <w:bookmarkEnd w:id="6"/>
    </w:p>
    <w:p w14:paraId="008E6D3D">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一、货物采购清单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568"/>
        <w:gridCol w:w="1935"/>
        <w:gridCol w:w="3047"/>
      </w:tblGrid>
      <w:tr w14:paraId="6C9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0" w:type="pct"/>
            <w:tcBorders>
              <w:top w:val="single" w:color="auto" w:sz="4" w:space="0"/>
              <w:left w:val="single" w:color="auto" w:sz="4" w:space="0"/>
              <w:bottom w:val="single" w:color="auto" w:sz="4" w:space="0"/>
              <w:right w:val="single" w:color="auto" w:sz="4" w:space="0"/>
            </w:tcBorders>
            <w:noWrap w:val="0"/>
            <w:vAlign w:val="center"/>
          </w:tcPr>
          <w:p w14:paraId="7D8F80A4">
            <w:pPr>
              <w:autoSpaceDN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7B9AB1C4">
            <w:pPr>
              <w:autoSpaceDN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设备名称</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0C39B621">
            <w:pPr>
              <w:autoSpaceDN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数量（辆）</w:t>
            </w:r>
          </w:p>
        </w:tc>
        <w:tc>
          <w:tcPr>
            <w:tcW w:w="1787" w:type="pct"/>
            <w:tcBorders>
              <w:top w:val="single" w:color="auto" w:sz="4" w:space="0"/>
              <w:left w:val="single" w:color="auto" w:sz="4" w:space="0"/>
              <w:bottom w:val="single" w:color="auto" w:sz="4" w:space="0"/>
              <w:right w:val="single" w:color="auto" w:sz="4" w:space="0"/>
            </w:tcBorders>
            <w:noWrap w:val="0"/>
            <w:vAlign w:val="center"/>
          </w:tcPr>
          <w:p w14:paraId="13CBF7E3">
            <w:pPr>
              <w:autoSpaceDN w:val="0"/>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备注</w:t>
            </w:r>
          </w:p>
        </w:tc>
      </w:tr>
      <w:tr w14:paraId="7DC1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0" w:type="pct"/>
            <w:tcBorders>
              <w:top w:val="single" w:color="auto" w:sz="4" w:space="0"/>
              <w:left w:val="single" w:color="auto" w:sz="4" w:space="0"/>
              <w:bottom w:val="single" w:color="auto" w:sz="4" w:space="0"/>
              <w:right w:val="single" w:color="auto" w:sz="4" w:space="0"/>
            </w:tcBorders>
            <w:noWrap w:val="0"/>
            <w:vAlign w:val="center"/>
          </w:tcPr>
          <w:p w14:paraId="09EEA737">
            <w:pPr>
              <w:autoSpaceDN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1C798BBE">
            <w:pPr>
              <w:autoSpaceDN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4T小型吸污车</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1E111991">
            <w:pPr>
              <w:autoSpaceDN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787" w:type="pct"/>
            <w:tcBorders>
              <w:top w:val="single" w:color="auto" w:sz="4" w:space="0"/>
              <w:left w:val="single" w:color="auto" w:sz="4" w:space="0"/>
              <w:bottom w:val="single" w:color="auto" w:sz="4" w:space="0"/>
              <w:right w:val="single" w:color="auto" w:sz="4" w:space="0"/>
            </w:tcBorders>
            <w:noWrap w:val="0"/>
            <w:vAlign w:val="center"/>
          </w:tcPr>
          <w:p w14:paraId="5D401E55">
            <w:pPr>
              <w:autoSpaceDN w:val="0"/>
              <w:spacing w:line="360" w:lineRule="auto"/>
              <w:jc w:val="center"/>
              <w:rPr>
                <w:rFonts w:hint="default" w:ascii="宋体" w:hAnsi="宋体" w:eastAsia="宋体" w:cs="宋体"/>
                <w:color w:val="auto"/>
                <w:szCs w:val="21"/>
                <w:highlight w:val="none"/>
                <w:lang w:val="en-US" w:eastAsia="zh-CN"/>
              </w:rPr>
            </w:pPr>
          </w:p>
        </w:tc>
      </w:tr>
    </w:tbl>
    <w:p w14:paraId="598998E6">
      <w:pPr>
        <w:tabs>
          <w:tab w:val="left" w:pos="1900"/>
        </w:tabs>
        <w:autoSpaceDE w:val="0"/>
        <w:autoSpaceDN w:val="0"/>
        <w:adjustRightInd w:val="0"/>
        <w:snapToGrid w:val="0"/>
        <w:spacing w:line="360" w:lineRule="auto"/>
        <w:ind w:firstLine="420" w:firstLineChars="200"/>
        <w:jc w:val="left"/>
        <w:rPr>
          <w:rFonts w:ascii="宋体" w:hAnsi="宋体" w:eastAsia="宋体" w:cs="宋体"/>
          <w:color w:val="auto"/>
          <w:szCs w:val="21"/>
          <w:highlight w:val="none"/>
        </w:rPr>
      </w:pPr>
    </w:p>
    <w:p w14:paraId="305BBC1E">
      <w:pPr>
        <w:numPr>
          <w:ilvl w:val="0"/>
          <w:numId w:val="1"/>
        </w:numPr>
        <w:tabs>
          <w:tab w:val="left" w:pos="308"/>
        </w:tabs>
        <w:autoSpaceDE w:val="0"/>
        <w:autoSpaceDN w:val="0"/>
        <w:adjustRightInd w:val="0"/>
        <w:spacing w:line="360"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技术参数要求</w:t>
      </w:r>
      <w:bookmarkStart w:id="7" w:name="_GoBack"/>
      <w:bookmarkEnd w:id="7"/>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964"/>
        <w:gridCol w:w="1276"/>
        <w:gridCol w:w="2293"/>
        <w:gridCol w:w="3361"/>
      </w:tblGrid>
      <w:tr w14:paraId="28E1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C7013CD">
            <w:pPr>
              <w:widowControl/>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lang w:bidi="ar"/>
                <w14:ligatures w14:val="none"/>
              </w:rPr>
              <w:t>序号</w:t>
            </w:r>
          </w:p>
        </w:tc>
        <w:tc>
          <w:tcPr>
            <w:tcW w:w="0" w:type="auto"/>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0E364EC6">
            <w:pPr>
              <w:widowControl/>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14:ligatures w14:val="none"/>
              </w:rPr>
              <w:t>技术参数</w:t>
            </w:r>
          </w:p>
        </w:tc>
        <w:tc>
          <w:tcPr>
            <w:tcW w:w="0" w:type="auto"/>
            <w:tcBorders>
              <w:top w:val="single" w:color="000000" w:sz="8" w:space="0"/>
              <w:left w:val="single" w:color="000000" w:sz="8" w:space="0"/>
              <w:bottom w:val="single" w:color="000000" w:sz="4" w:space="0"/>
              <w:right w:val="single" w:color="000000" w:sz="8" w:space="0"/>
            </w:tcBorders>
            <w:shd w:val="clear" w:color="auto" w:fill="auto"/>
            <w:vAlign w:val="center"/>
          </w:tcPr>
          <w:p w14:paraId="644FB0E5">
            <w:pPr>
              <w:widowControl/>
              <w:spacing w:after="0"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14:ligatures w14:val="none"/>
              </w:rPr>
              <w:t>配置要求</w:t>
            </w:r>
          </w:p>
        </w:tc>
      </w:tr>
      <w:tr w14:paraId="7248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14:paraId="6593F2F1">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1</w:t>
            </w:r>
          </w:p>
        </w:tc>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89CD078">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整车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CB1A6">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★总质量</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2CC4B6B">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4000-4500kg</w:t>
            </w:r>
          </w:p>
        </w:tc>
      </w:tr>
      <w:tr w14:paraId="34B4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69AD59B1">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C15D03">
            <w:pPr>
              <w:spacing w:after="0" w:line="240" w:lineRule="auto"/>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9C38">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▲整备质量（kg）</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88D6C75">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≤2800</w:t>
            </w:r>
          </w:p>
        </w:tc>
      </w:tr>
      <w:tr w14:paraId="3C35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5418F092">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1242E9">
            <w:pPr>
              <w:spacing w:after="0" w:line="240" w:lineRule="auto"/>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1495D">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底盘品牌</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58398602">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相当于或优于长安牌或</w:t>
            </w:r>
            <w:r>
              <w:rPr>
                <w:rFonts w:hint="eastAsia" w:ascii="宋体" w:hAnsi="宋体" w:eastAsia="宋体" w:cs="宋体"/>
                <w:sz w:val="21"/>
                <w:szCs w:val="21"/>
                <w:lang w:val="en-US" w:eastAsia="zh-CN" w:bidi="ar"/>
                <w14:ligatures w14:val="none"/>
              </w:rPr>
              <w:t>福田牌</w:t>
            </w:r>
            <w:r>
              <w:rPr>
                <w:rFonts w:hint="eastAsia" w:ascii="宋体" w:hAnsi="宋体" w:eastAsia="宋体" w:cs="宋体"/>
                <w:sz w:val="21"/>
                <w:szCs w:val="21"/>
                <w:lang w:bidi="ar"/>
                <w14:ligatures w14:val="none"/>
              </w:rPr>
              <w:t>或东风牌</w:t>
            </w:r>
          </w:p>
        </w:tc>
      </w:tr>
      <w:tr w14:paraId="0875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77D03CE1">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4A247A">
            <w:pPr>
              <w:spacing w:after="0" w:line="240" w:lineRule="auto"/>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14791">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zh-CN"/>
                <w14:ligatures w14:val="none"/>
              </w:rPr>
              <w:t>▲</w:t>
            </w:r>
            <w:r>
              <w:rPr>
                <w:rFonts w:hint="eastAsia" w:ascii="宋体" w:hAnsi="宋体" w:eastAsia="宋体" w:cs="宋体"/>
                <w:sz w:val="21"/>
                <w:szCs w:val="21"/>
                <w:lang w:bidi="ar"/>
                <w14:ligatures w14:val="none"/>
              </w:rPr>
              <w:t>发动机</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1924328C">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最大功率（kw）</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DFB24D5">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≥70</w:t>
            </w:r>
          </w:p>
        </w:tc>
      </w:tr>
      <w:tr w14:paraId="4B6D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5AED058C">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039B01">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D749">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C63E9">
            <w:pPr>
              <w:widowControl/>
              <w:spacing w:after="0" w:line="240" w:lineRule="auto"/>
              <w:jc w:val="center"/>
              <w:textAlignment w:val="center"/>
            </w:pPr>
            <w:r>
              <w:rPr>
                <w:rFonts w:hint="eastAsia" w:ascii="宋体" w:hAnsi="宋体" w:eastAsia="宋体" w:cs="宋体"/>
                <w:sz w:val="21"/>
                <w:szCs w:val="21"/>
                <w:lang w:bidi="ar"/>
                <w14:ligatures w14:val="none"/>
              </w:rPr>
              <w:t>最大扭矩（N·m）</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E041F59">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≥240</w:t>
            </w:r>
          </w:p>
        </w:tc>
      </w:tr>
      <w:tr w14:paraId="70E5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35A66105">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F1DFB6">
            <w:pPr>
              <w:spacing w:after="0" w:line="240" w:lineRule="auto"/>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C8CFB">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排放标准</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205A606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kern w:val="0"/>
                <w:sz w:val="21"/>
                <w:szCs w:val="21"/>
                <w:lang w:bidi="ar"/>
                <w14:ligatures w14:val="none"/>
              </w:rPr>
              <w:t>国Ⅵb</w:t>
            </w:r>
          </w:p>
        </w:tc>
      </w:tr>
      <w:tr w14:paraId="3421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7BBEA1A8">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7FF4B4">
            <w:pPr>
              <w:spacing w:after="0" w:line="240" w:lineRule="auto"/>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317AA">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能源类型</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697DC4F2">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柴油</w:t>
            </w:r>
          </w:p>
        </w:tc>
      </w:tr>
      <w:tr w14:paraId="3054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54F8396E">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7518E7">
            <w:pPr>
              <w:spacing w:after="0" w:line="240" w:lineRule="auto"/>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CDBAB">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外型尺寸（mm）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20A22">
            <w:pPr>
              <w:widowControl/>
              <w:spacing w:after="0" w:line="240" w:lineRule="auto"/>
              <w:jc w:val="center"/>
              <w:textAlignment w:val="center"/>
            </w:pPr>
            <w:r>
              <w:rPr>
                <w:rFonts w:hint="eastAsia" w:ascii="宋体" w:hAnsi="宋体" w:eastAsia="宋体" w:cs="宋体"/>
                <w:sz w:val="21"/>
                <w:szCs w:val="21"/>
                <w:lang w:bidi="ar"/>
                <w14:ligatures w14:val="none"/>
              </w:rPr>
              <w:t>整车长度</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31B1DEF6">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≤5400</w:t>
            </w:r>
          </w:p>
        </w:tc>
      </w:tr>
      <w:tr w14:paraId="2E62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4FCF023F">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AC963A">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A82C">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27505">
            <w:pPr>
              <w:widowControl/>
              <w:spacing w:after="0" w:line="240" w:lineRule="auto"/>
              <w:jc w:val="center"/>
              <w:textAlignment w:val="center"/>
            </w:pPr>
            <w:r>
              <w:rPr>
                <w:rFonts w:hint="eastAsia" w:ascii="宋体" w:hAnsi="宋体" w:eastAsia="宋体" w:cs="宋体"/>
                <w:sz w:val="21"/>
                <w:szCs w:val="21"/>
                <w:lang w:val="zh-CN"/>
                <w14:ligatures w14:val="none"/>
              </w:rPr>
              <w:t>▲</w:t>
            </w:r>
            <w:r>
              <w:rPr>
                <w:rFonts w:hint="eastAsia" w:ascii="宋体" w:hAnsi="宋体" w:eastAsia="宋体" w:cs="宋体"/>
                <w:sz w:val="21"/>
                <w:szCs w:val="21"/>
                <w:lang w:bidi="ar"/>
                <w14:ligatures w14:val="none"/>
              </w:rPr>
              <w:t>整车宽度</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083B7DB9">
            <w:pPr>
              <w:widowControl/>
              <w:spacing w:after="0"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sz w:val="21"/>
                <w:szCs w:val="21"/>
                <w:lang w:bidi="ar"/>
                <w14:ligatures w14:val="none"/>
              </w:rPr>
              <w:t>≤1</w:t>
            </w:r>
            <w:r>
              <w:rPr>
                <w:rFonts w:hint="eastAsia" w:ascii="宋体" w:hAnsi="宋体" w:eastAsia="宋体" w:cs="宋体"/>
                <w:sz w:val="21"/>
                <w:szCs w:val="21"/>
                <w:lang w:val="en-US" w:eastAsia="zh-CN" w:bidi="ar"/>
                <w14:ligatures w14:val="none"/>
              </w:rPr>
              <w:t>750</w:t>
            </w:r>
          </w:p>
        </w:tc>
      </w:tr>
      <w:tr w14:paraId="6A60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3C82801E">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607E74">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CA84">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A299B8E">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整车高度</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1FFE10DC">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≤2050</w:t>
            </w:r>
          </w:p>
        </w:tc>
      </w:tr>
      <w:tr w14:paraId="06FA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0007E327">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26F458">
            <w:pPr>
              <w:spacing w:after="0" w:line="240" w:lineRule="auto"/>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78D8">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空调</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681C1945">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配置，具备冷暖功能</w:t>
            </w:r>
          </w:p>
        </w:tc>
      </w:tr>
      <w:tr w14:paraId="6087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single" w:color="000000" w:sz="4" w:space="0"/>
              <w:left w:val="single" w:color="000000" w:sz="4" w:space="0"/>
              <w:right w:val="nil"/>
            </w:tcBorders>
            <w:shd w:val="clear" w:color="auto" w:fill="auto"/>
            <w:vAlign w:val="center"/>
          </w:tcPr>
          <w:p w14:paraId="6CA33A47">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2</w:t>
            </w:r>
          </w:p>
        </w:tc>
        <w:tc>
          <w:tcPr>
            <w:tcW w:w="0" w:type="auto"/>
            <w:vMerge w:val="restart"/>
            <w:tcBorders>
              <w:top w:val="single" w:color="000000" w:sz="4" w:space="0"/>
              <w:left w:val="single" w:color="000000" w:sz="8" w:space="0"/>
              <w:right w:val="single" w:color="000000" w:sz="4" w:space="0"/>
            </w:tcBorders>
            <w:shd w:val="clear" w:color="auto" w:fill="auto"/>
            <w:vAlign w:val="center"/>
          </w:tcPr>
          <w:p w14:paraId="4FD6B1AF">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罐体</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AB5D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材质</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714E87E">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高碳钢</w:t>
            </w:r>
          </w:p>
        </w:tc>
      </w:tr>
      <w:tr w14:paraId="4290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left w:val="single" w:color="000000" w:sz="4" w:space="0"/>
              <w:bottom w:val="single" w:color="000000" w:sz="4" w:space="0"/>
              <w:right w:val="nil"/>
            </w:tcBorders>
            <w:shd w:val="clear" w:color="auto" w:fill="auto"/>
            <w:vAlign w:val="center"/>
          </w:tcPr>
          <w:p w14:paraId="18E77FBA">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left w:val="single" w:color="000000" w:sz="8" w:space="0"/>
              <w:bottom w:val="single" w:color="000000" w:sz="4" w:space="0"/>
              <w:right w:val="single" w:color="000000" w:sz="4" w:space="0"/>
            </w:tcBorders>
            <w:shd w:val="clear" w:color="auto" w:fill="auto"/>
            <w:vAlign w:val="center"/>
          </w:tcPr>
          <w:p w14:paraId="3E7EACAF">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0A7D">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▲罐体公告有效容积（</w:t>
            </w:r>
            <w:r>
              <w:rPr>
                <w:rFonts w:hint="eastAsia" w:ascii="宋体" w:hAnsi="宋体" w:eastAsia="宋体" w:cs="宋体"/>
                <w:sz w:val="21"/>
                <w:szCs w:val="21"/>
                <w:lang w:val="en-US" w:eastAsia="zh-CN" w:bidi="ar"/>
                <w14:ligatures w14:val="none"/>
              </w:rPr>
              <w:t>m³</w:t>
            </w:r>
            <w:r>
              <w:rPr>
                <w:rFonts w:hint="eastAsia" w:ascii="宋体" w:hAnsi="宋体" w:eastAsia="宋体" w:cs="宋体"/>
                <w:sz w:val="21"/>
                <w:szCs w:val="21"/>
                <w:lang w:bidi="ar"/>
                <w14:ligatures w14:val="none"/>
              </w:rPr>
              <w:t>）</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BAFC019">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≥2</w:t>
            </w:r>
          </w:p>
        </w:tc>
      </w:tr>
      <w:tr w14:paraId="4764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14:paraId="43DA41D2">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3</w:t>
            </w:r>
          </w:p>
        </w:tc>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F49FB0">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真空吸污系统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E5B8A">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真空泵</w:t>
            </w:r>
          </w:p>
        </w:tc>
        <w:tc>
          <w:tcPr>
            <w:tcW w:w="0" w:type="auto"/>
            <w:tcBorders>
              <w:top w:val="single" w:color="000000" w:sz="4" w:space="0"/>
              <w:left w:val="single" w:color="000000" w:sz="4" w:space="0"/>
              <w:right w:val="single" w:color="000000" w:sz="4" w:space="0"/>
            </w:tcBorders>
            <w:shd w:val="clear" w:color="auto" w:fill="auto"/>
            <w:vAlign w:val="center"/>
          </w:tcPr>
          <w:p w14:paraId="4D421C5A">
            <w:pPr>
              <w:widowControl/>
              <w:spacing w:after="0" w:line="240" w:lineRule="auto"/>
              <w:jc w:val="center"/>
              <w:textAlignment w:val="center"/>
            </w:pPr>
            <w:r>
              <w:rPr>
                <w:rFonts w:hint="eastAsia" w:ascii="宋体" w:hAnsi="宋体" w:eastAsia="宋体" w:cs="宋体"/>
                <w:sz w:val="21"/>
                <w:szCs w:val="21"/>
                <w:lang w:bidi="ar"/>
                <w14:ligatures w14:val="none"/>
              </w:rPr>
              <w:t>▲空气流量（</w:t>
            </w:r>
            <w:r>
              <w:rPr>
                <w:rFonts w:ascii="宋体" w:hAnsi="宋体" w:eastAsia="宋体" w:cs="宋体"/>
                <w:sz w:val="21"/>
                <w:szCs w:val="21"/>
                <w:lang w:bidi="ar"/>
                <w14:ligatures w14:val="none"/>
              </w:rPr>
              <w:t>m</w:t>
            </w:r>
            <w:r>
              <w:rPr>
                <w:rFonts w:hint="eastAsia" w:ascii="宋体" w:hAnsi="宋体" w:eastAsia="宋体" w:cs="宋体"/>
                <w:sz w:val="21"/>
                <w:szCs w:val="21"/>
                <w:lang w:bidi="ar"/>
                <w14:ligatures w14:val="none"/>
              </w:rPr>
              <w:t>³</w:t>
            </w:r>
            <w:r>
              <w:rPr>
                <w:rFonts w:ascii="宋体" w:hAnsi="宋体" w:eastAsia="宋体" w:cs="宋体"/>
                <w:sz w:val="21"/>
                <w:szCs w:val="21"/>
                <w:lang w:bidi="ar"/>
                <w14:ligatures w14:val="none"/>
              </w:rPr>
              <w:t>/h）</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2254117">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w:t>
            </w:r>
            <w:r>
              <w:rPr>
                <w:rFonts w:ascii="宋体" w:hAnsi="宋体" w:eastAsia="宋体" w:cs="宋体"/>
                <w:sz w:val="21"/>
                <w:szCs w:val="21"/>
                <w:lang w:bidi="ar"/>
                <w14:ligatures w14:val="none"/>
              </w:rPr>
              <w:t>500</w:t>
            </w:r>
          </w:p>
        </w:tc>
      </w:tr>
      <w:tr w14:paraId="2C79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4672F936">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551BEB">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F0EA">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33EB0">
            <w:pPr>
              <w:widowControl/>
              <w:spacing w:after="0" w:line="240" w:lineRule="auto"/>
              <w:jc w:val="center"/>
              <w:textAlignment w:val="center"/>
            </w:pPr>
            <w:r>
              <w:rPr>
                <w:rFonts w:hint="eastAsia" w:ascii="宋体" w:hAnsi="宋体" w:eastAsia="宋体" w:cs="宋体"/>
                <w:sz w:val="21"/>
                <w:szCs w:val="21"/>
                <w:lang w:bidi="ar"/>
                <w14:ligatures w14:val="none"/>
              </w:rPr>
              <w:t>▲真空度</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24D583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≥90%</w:t>
            </w:r>
          </w:p>
        </w:tc>
      </w:tr>
      <w:tr w14:paraId="65A9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5D855814">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8241DB">
            <w:pPr>
              <w:spacing w:after="0" w:line="240" w:lineRule="auto"/>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DF4A6">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系统保护装置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38ED8">
            <w:pPr>
              <w:widowControl/>
              <w:spacing w:after="0" w:line="240" w:lineRule="auto"/>
              <w:jc w:val="center"/>
              <w:textAlignment w:val="center"/>
            </w:pPr>
            <w:r>
              <w:rPr>
                <w:rFonts w:hint="eastAsia" w:ascii="宋体" w:hAnsi="宋体" w:eastAsia="宋体" w:cs="宋体"/>
                <w:sz w:val="21"/>
                <w:szCs w:val="21"/>
                <w:lang w:bidi="ar"/>
                <w14:ligatures w14:val="none"/>
              </w:rPr>
              <w:t>液位报警</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31DAE959">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满罐自动报警</w:t>
            </w:r>
          </w:p>
        </w:tc>
      </w:tr>
      <w:tr w14:paraId="31E6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7102D3A1">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09D984">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A9014">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7A47F">
            <w:pPr>
              <w:widowControl/>
              <w:spacing w:after="0" w:line="240" w:lineRule="auto"/>
              <w:jc w:val="center"/>
              <w:textAlignment w:val="center"/>
            </w:pPr>
            <w:r>
              <w:rPr>
                <w:rFonts w:hint="eastAsia" w:ascii="宋体" w:hAnsi="宋体" w:eastAsia="宋体" w:cs="宋体"/>
                <w:sz w:val="21"/>
                <w:szCs w:val="21"/>
                <w:lang w:bidi="ar"/>
                <w14:ligatures w14:val="none"/>
              </w:rPr>
              <w:t>具备2个或以上观察孔</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3D8350A4">
            <w:pPr>
              <w:widowControl/>
              <w:spacing w:after="0"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具备</w:t>
            </w:r>
          </w:p>
        </w:tc>
      </w:tr>
      <w:tr w14:paraId="1A2F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254F7D7B">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B16B7A">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815F4">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28203">
            <w:pPr>
              <w:widowControl/>
              <w:spacing w:after="0" w:line="240" w:lineRule="auto"/>
              <w:jc w:val="center"/>
              <w:textAlignment w:val="center"/>
            </w:pPr>
            <w:r>
              <w:rPr>
                <w:rFonts w:hint="eastAsia" w:ascii="宋体" w:hAnsi="宋体" w:eastAsia="宋体" w:cs="宋体"/>
                <w:sz w:val="21"/>
                <w:szCs w:val="21"/>
                <w:lang w:bidi="ar"/>
                <w14:ligatures w14:val="none"/>
              </w:rPr>
              <w:t>吸污管路止回阀保护装置</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0F89228">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具备</w:t>
            </w:r>
          </w:p>
        </w:tc>
      </w:tr>
      <w:tr w14:paraId="0EEB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392B8914">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B007DA">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78D1">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FF99C">
            <w:pPr>
              <w:widowControl/>
              <w:spacing w:after="0" w:line="240" w:lineRule="auto"/>
              <w:jc w:val="center"/>
              <w:textAlignment w:val="center"/>
            </w:pPr>
            <w:r>
              <w:rPr>
                <w:rFonts w:hint="eastAsia" w:ascii="宋体" w:hAnsi="宋体" w:eastAsia="宋体" w:cs="宋体"/>
                <w:sz w:val="21"/>
                <w:szCs w:val="21"/>
                <w:lang w:bidi="ar"/>
                <w14:ligatures w14:val="none"/>
              </w:rPr>
              <w:t>真空压力保护装置</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0038FCDB">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具备</w:t>
            </w:r>
          </w:p>
        </w:tc>
      </w:tr>
      <w:tr w14:paraId="7336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53C01324">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880FF9">
            <w:pPr>
              <w:spacing w:after="0" w:line="240" w:lineRule="auto"/>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EF35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吸污管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073F2">
            <w:pPr>
              <w:widowControl/>
              <w:spacing w:after="0" w:line="240" w:lineRule="auto"/>
              <w:jc w:val="center"/>
              <w:textAlignment w:val="center"/>
            </w:pPr>
            <w:r>
              <w:rPr>
                <w:rFonts w:hint="eastAsia" w:ascii="宋体" w:hAnsi="宋体" w:eastAsia="宋体" w:cs="宋体"/>
                <w:sz w:val="21"/>
                <w:szCs w:val="21"/>
                <w:lang w:bidi="ar"/>
                <w14:ligatures w14:val="none"/>
              </w:rPr>
              <w:t>吸污管材料</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478C3B8">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相当于或优于聚氨酯</w:t>
            </w:r>
          </w:p>
        </w:tc>
      </w:tr>
      <w:tr w14:paraId="1EB4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4E979D00">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3E59B8">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6330">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966B2">
            <w:pPr>
              <w:widowControl/>
              <w:spacing w:after="0" w:line="240" w:lineRule="auto"/>
              <w:jc w:val="center"/>
              <w:textAlignment w:val="center"/>
            </w:pPr>
            <w:r>
              <w:rPr>
                <w:rFonts w:hint="eastAsia" w:ascii="宋体" w:hAnsi="宋体" w:eastAsia="宋体" w:cs="宋体"/>
                <w:sz w:val="21"/>
                <w:szCs w:val="21"/>
                <w:lang w:bidi="ar"/>
                <w14:ligatures w14:val="none"/>
              </w:rPr>
              <w:t>吸污管长度</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0117A2EB">
            <w:pPr>
              <w:widowControl/>
              <w:spacing w:after="0" w:line="240" w:lineRule="auto"/>
              <w:jc w:val="center"/>
              <w:textAlignment w:val="center"/>
              <w:rPr>
                <w:rFonts w:hint="eastAsia" w:ascii="宋体" w:hAnsi="宋体" w:eastAsia="宋体" w:cs="宋体"/>
                <w:sz w:val="21"/>
                <w:szCs w:val="21"/>
                <w:lang w:bidi="ar"/>
                <w14:ligatures w14:val="none"/>
              </w:rPr>
            </w:pPr>
            <w:r>
              <w:rPr>
                <w:rFonts w:hint="eastAsia" w:ascii="宋体" w:hAnsi="宋体" w:eastAsia="宋体" w:cs="宋体"/>
                <w:sz w:val="21"/>
                <w:szCs w:val="21"/>
                <w:lang w:bidi="ar"/>
                <w14:ligatures w14:val="none"/>
              </w:rPr>
              <w:t>5米3寸吸污管2根</w:t>
            </w:r>
          </w:p>
          <w:p w14:paraId="4667042F">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5米4寸吸污管2根</w:t>
            </w:r>
          </w:p>
        </w:tc>
      </w:tr>
      <w:tr w14:paraId="10C6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3B668BA0">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ED3D90">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DFC7">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5A46CA56">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▲快速接头</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48780E1">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配</w:t>
            </w:r>
            <w:r>
              <w:rPr>
                <w:rFonts w:ascii="宋体" w:hAnsi="宋体" w:eastAsia="宋体" w:cs="宋体"/>
                <w:sz w:val="21"/>
                <w:szCs w:val="21"/>
                <w:lang w:bidi="ar"/>
                <w14:ligatures w14:val="none"/>
              </w:rPr>
              <w:t>DN75-DN100快速接头2套,可快速切换适应不同工况</w:t>
            </w:r>
          </w:p>
        </w:tc>
      </w:tr>
      <w:tr w14:paraId="3A00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57441200">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C89ECA">
            <w:pPr>
              <w:spacing w:after="0" w:line="240" w:lineRule="auto"/>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A2855">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清洗系统</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1B479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手持式高压水枪，水枪压力（MPa）</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54213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609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04FD6C3F">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AE68B5">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9C03">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8E11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手持式高压水枪铝合金快接喷头</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570DA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出水形状含括：花洒、雨伞、细柱、直柱等</w:t>
            </w:r>
          </w:p>
        </w:tc>
      </w:tr>
      <w:tr w14:paraId="1EFD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4B690E75">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9C682F">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A875">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1CDA5814">
            <w:pPr>
              <w:keepNext w:val="0"/>
              <w:keepLines w:val="0"/>
              <w:widowControl/>
              <w:suppressLineNumbers w:val="0"/>
              <w:jc w:val="center"/>
              <w:textAlignment w:val="center"/>
              <w:rPr>
                <w:rFonts w:hint="eastAsia" w:ascii="宋体" w:hAnsi="宋体" w:eastAsia="宋体" w:cs="宋体"/>
                <w:sz w:val="21"/>
                <w:szCs w:val="21"/>
                <w:lang w:bidi="ar"/>
                <w14:ligatures w14:val="none"/>
              </w:rPr>
            </w:pPr>
            <w:r>
              <w:rPr>
                <w:rFonts w:hint="eastAsia" w:ascii="宋体" w:hAnsi="宋体" w:eastAsia="宋体" w:cs="宋体"/>
                <w:i w:val="0"/>
                <w:iCs w:val="0"/>
                <w:color w:val="000000"/>
                <w:kern w:val="0"/>
                <w:sz w:val="21"/>
                <w:szCs w:val="21"/>
                <w:u w:val="none"/>
                <w:lang w:val="en-US" w:eastAsia="zh-CN" w:bidi="ar"/>
              </w:rPr>
              <w:t>水枪水管长度（m）</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4CBF945">
            <w:pPr>
              <w:keepNext w:val="0"/>
              <w:keepLines w:val="0"/>
              <w:widowControl/>
              <w:suppressLineNumbers w:val="0"/>
              <w:jc w:val="center"/>
              <w:textAlignment w:val="center"/>
              <w:rPr>
                <w:rFonts w:hint="eastAsia" w:ascii="宋体" w:hAnsi="宋体" w:eastAsia="宋体" w:cs="宋体"/>
                <w:sz w:val="21"/>
                <w:szCs w:val="21"/>
                <w:lang w:bidi="ar"/>
                <w14:ligatures w14:val="none"/>
              </w:rPr>
            </w:pPr>
            <w:r>
              <w:rPr>
                <w:rFonts w:hint="eastAsia" w:ascii="宋体" w:hAnsi="宋体" w:eastAsia="宋体" w:cs="宋体"/>
                <w:i w:val="0"/>
                <w:iCs w:val="0"/>
                <w:color w:val="000000"/>
                <w:kern w:val="0"/>
                <w:sz w:val="21"/>
                <w:szCs w:val="21"/>
                <w:u w:val="none"/>
                <w:lang w:val="en-US" w:eastAsia="zh-CN" w:bidi="ar"/>
              </w:rPr>
              <w:t>≥15</w:t>
            </w:r>
          </w:p>
        </w:tc>
      </w:tr>
      <w:tr w14:paraId="226E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5338E125">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AEAE1E">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48C8">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3FA36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水箱容积（L）</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66D39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B69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14:paraId="26024F15">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4</w:t>
            </w:r>
          </w:p>
        </w:tc>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8997F9">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排污系统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A6D09">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排污阀及软管</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6B92791">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具备电动排污阀</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3E63B26B">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具备</w:t>
            </w:r>
          </w:p>
        </w:tc>
      </w:tr>
      <w:tr w14:paraId="0C06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2D2284CB">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1C3B88">
            <w:pPr>
              <w:spacing w:after="0"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F8E7">
            <w:pPr>
              <w:spacing w:after="0"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5478D">
            <w:pPr>
              <w:widowControl/>
              <w:spacing w:after="0" w:line="240" w:lineRule="auto"/>
              <w:jc w:val="center"/>
              <w:textAlignment w:val="center"/>
            </w:pPr>
            <w:r>
              <w:rPr>
                <w:rFonts w:hint="eastAsia" w:ascii="宋体" w:hAnsi="宋体" w:eastAsia="宋体" w:cs="宋体"/>
                <w:sz w:val="21"/>
                <w:szCs w:val="21"/>
                <w14:ligatures w14:val="none"/>
              </w:rPr>
              <w:t>具备排污快接软管</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2FD95E1">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具备</w:t>
            </w:r>
          </w:p>
        </w:tc>
      </w:tr>
      <w:tr w14:paraId="3805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14:paraId="3E659AFA">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5</w:t>
            </w:r>
          </w:p>
        </w:tc>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434C00">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需求配置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AF80F">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尾部箭头警示灯</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63CA8E98">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左右各一</w:t>
            </w:r>
          </w:p>
        </w:tc>
      </w:tr>
      <w:tr w14:paraId="181F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6470701E">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AC2711">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96437">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倒车影像（倒车雷达）</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758EAE86">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随底盘原装并享受底盘厂质保</w:t>
            </w:r>
          </w:p>
        </w:tc>
      </w:tr>
      <w:tr w14:paraId="6A95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18D0FF7F">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A0C121">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FA23A">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行车记录仪</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268BCC5E">
            <w:pPr>
              <w:widowControl/>
              <w:spacing w:after="0" w:line="240" w:lineRule="auto"/>
              <w:jc w:val="center"/>
              <w:textAlignment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分辨率:1080P或以上</w:t>
            </w:r>
          </w:p>
          <w:p w14:paraId="580AC567">
            <w:pPr>
              <w:widowControl/>
              <w:spacing w:after="0" w:line="240" w:lineRule="auto"/>
              <w:jc w:val="center"/>
              <w:textAlignment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光圈：F小于等于1.8</w:t>
            </w:r>
          </w:p>
          <w:p w14:paraId="125CDA86">
            <w:pPr>
              <w:widowControl/>
              <w:spacing w:after="0" w:line="240" w:lineRule="auto"/>
              <w:jc w:val="center"/>
              <w:textAlignment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SD（TF）内存卡：64G及以上</w:t>
            </w:r>
          </w:p>
          <w:p w14:paraId="447DA33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品牌：相当于或优于360或小米或海康威视</w:t>
            </w:r>
          </w:p>
        </w:tc>
      </w:tr>
      <w:tr w14:paraId="1639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68461BD7">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613EF8">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46B8D">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三角木止滑器</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63BF738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配置</w:t>
            </w:r>
          </w:p>
        </w:tc>
      </w:tr>
      <w:tr w14:paraId="138D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69A73ED8">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82969F">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794D">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全车车膜</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AAFB9A1">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品牌：相当于或优于龙膜或3M或威固</w:t>
            </w:r>
          </w:p>
        </w:tc>
      </w:tr>
      <w:tr w14:paraId="3557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46A6B26B">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F05068">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05090">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三脚架、灭火器及支架</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07A6368F">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配置</w:t>
            </w:r>
          </w:p>
        </w:tc>
      </w:tr>
      <w:tr w14:paraId="3FE8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4E830F84">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34D49D">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1E14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全包围脚垫</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4C31D97D">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配置</w:t>
            </w:r>
          </w:p>
        </w:tc>
      </w:tr>
      <w:tr w14:paraId="4B59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14:paraId="19CE310C">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5D7C7F">
            <w:pPr>
              <w:widowControl/>
              <w:spacing w:after="0" w:line="240" w:lineRule="auto"/>
              <w:jc w:val="center"/>
              <w:textAlignment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57214">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14:ligatures w14:val="none"/>
              </w:rPr>
              <w:t>备胎</w:t>
            </w:r>
          </w:p>
        </w:tc>
        <w:tc>
          <w:tcPr>
            <w:tcW w:w="0" w:type="auto"/>
            <w:tcBorders>
              <w:top w:val="single" w:color="000000" w:sz="4" w:space="0"/>
              <w:left w:val="single" w:color="000000" w:sz="8" w:space="0"/>
              <w:bottom w:val="single" w:color="000000" w:sz="4" w:space="0"/>
              <w:right w:val="single" w:color="000000" w:sz="8" w:space="0"/>
            </w:tcBorders>
            <w:shd w:val="clear" w:color="auto" w:fill="auto"/>
            <w:vAlign w:val="center"/>
          </w:tcPr>
          <w:p w14:paraId="5B137D35">
            <w:pPr>
              <w:widowControl/>
              <w:spacing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bidi="ar"/>
                <w14:ligatures w14:val="none"/>
              </w:rPr>
              <w:t>随底盘原装并享受底盘厂质保</w:t>
            </w:r>
          </w:p>
        </w:tc>
      </w:tr>
    </w:tbl>
    <w:p w14:paraId="49943AB7">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三、</w:t>
      </w:r>
      <w:r>
        <w:rPr>
          <w:rFonts w:hint="eastAsia" w:ascii="宋体" w:hAnsi="宋体" w:eastAsia="宋体" w:cs="宋体"/>
          <w:b/>
          <w:bCs/>
          <w:color w:val="auto"/>
          <w:kern w:val="0"/>
          <w:szCs w:val="21"/>
          <w:highlight w:val="none"/>
          <w:lang w:val="en-US" w:eastAsia="zh-CN" w:bidi="ar"/>
        </w:rPr>
        <w:t>总体</w:t>
      </w:r>
      <w:r>
        <w:rPr>
          <w:rFonts w:hint="eastAsia" w:ascii="宋体" w:hAnsi="宋体" w:eastAsia="宋体" w:cs="宋体"/>
          <w:b/>
          <w:bCs/>
          <w:color w:val="auto"/>
          <w:kern w:val="0"/>
          <w:szCs w:val="21"/>
          <w:highlight w:val="none"/>
          <w:lang w:bidi="ar"/>
        </w:rPr>
        <w:t>要求</w:t>
      </w:r>
    </w:p>
    <w:p w14:paraId="021A27B4">
      <w:pPr>
        <w:widowControl/>
        <w:autoSpaceDN w:val="0"/>
        <w:spacing w:line="360" w:lineRule="auto"/>
        <w:ind w:firstLine="422" w:firstLineChars="200"/>
        <w:rPr>
          <w:rFonts w:ascii="宋体" w:hAnsi="宋体" w:eastAsia="宋体" w:cs="宋体"/>
          <w:b/>
          <w:bCs/>
          <w:color w:val="auto"/>
          <w:szCs w:val="21"/>
          <w:highlight w:val="none"/>
          <w:lang w:val="zh-CN" w:bidi="ar"/>
        </w:rPr>
      </w:pPr>
      <w:r>
        <w:rPr>
          <w:rFonts w:hint="eastAsia" w:ascii="宋体" w:hAnsi="宋体" w:eastAsia="宋体" w:cs="宋体"/>
          <w:b/>
          <w:bCs/>
          <w:color w:val="auto"/>
          <w:szCs w:val="21"/>
          <w:highlight w:val="none"/>
          <w:lang w:val="zh-CN" w:bidi="ar"/>
        </w:rPr>
        <w:t>★（一）投标人投标车辆的生产企业及投标车辆产品型号已列入国家工业和信息化部发布的有效的《道路机动车辆生产企业及产品公告》（或《车辆生产企业及产品公告》）；</w:t>
      </w:r>
    </w:p>
    <w:p w14:paraId="7542D147">
      <w:pPr>
        <w:widowControl/>
        <w:autoSpaceDN w:val="0"/>
        <w:spacing w:line="360" w:lineRule="auto"/>
        <w:ind w:firstLine="422" w:firstLineChars="200"/>
        <w:rPr>
          <w:rFonts w:ascii="宋体" w:hAnsi="宋体" w:eastAsia="宋体" w:cs="宋体"/>
          <w:b/>
          <w:bCs/>
          <w:color w:val="auto"/>
          <w:szCs w:val="21"/>
          <w:highlight w:val="none"/>
          <w:lang w:val="zh-CN" w:bidi="ar"/>
        </w:rPr>
      </w:pPr>
      <w:r>
        <w:rPr>
          <w:rFonts w:hint="eastAsia" w:ascii="宋体" w:hAnsi="宋体" w:eastAsia="宋体" w:cs="宋体"/>
          <w:b/>
          <w:bCs/>
          <w:color w:val="auto"/>
          <w:szCs w:val="21"/>
          <w:highlight w:val="none"/>
          <w:lang w:val="zh-CN" w:bidi="ar"/>
        </w:rPr>
        <w:t>★（二）投标车辆具有中国国家强制性产品认证证书（3C认证)；</w:t>
      </w:r>
    </w:p>
    <w:p w14:paraId="3E53E04F">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（三）投标人提供的车辆应按招标人要求配备所有附件和完整的使用说明书，提供整套设备的结构、原理、使用等相关资料。</w:t>
      </w:r>
    </w:p>
    <w:p w14:paraId="0E21715C">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四</w:t>
      </w:r>
      <w:r>
        <w:rPr>
          <w:rFonts w:hint="eastAsia" w:ascii="宋体" w:hAnsi="宋体" w:eastAsia="宋体" w:cs="宋体"/>
          <w:color w:val="auto"/>
          <w:szCs w:val="21"/>
          <w:highlight w:val="none"/>
          <w:lang w:val="zh-CN" w:bidi="ar"/>
        </w:rPr>
        <w:t>）</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383B0CB4">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五</w:t>
      </w:r>
      <w:r>
        <w:rPr>
          <w:rFonts w:hint="eastAsia" w:ascii="宋体" w:hAnsi="宋体" w:eastAsia="宋体" w:cs="宋体"/>
          <w:color w:val="auto"/>
          <w:szCs w:val="21"/>
          <w:highlight w:val="none"/>
          <w:lang w:val="zh-CN" w:bidi="ar"/>
        </w:rPr>
        <w:t>）</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1F66E735">
      <w:pPr>
        <w:widowControl w:val="0"/>
        <w:numPr>
          <w:ilvl w:val="0"/>
          <w:numId w:val="0"/>
        </w:numPr>
        <w:tabs>
          <w:tab w:val="left" w:pos="2340"/>
        </w:tabs>
        <w:autoSpaceDE/>
        <w:autoSpaceDN/>
        <w:adjustRightInd w:val="0"/>
        <w:snapToGrid w:val="0"/>
        <w:spacing w:line="360" w:lineRule="auto"/>
        <w:ind w:left="0" w:leftChars="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14:paraId="79AA4DF7">
      <w:pPr>
        <w:pStyle w:val="4"/>
        <w:rPr>
          <w:color w:val="auto"/>
          <w:sz w:val="21"/>
          <w:szCs w:val="21"/>
          <w:highlight w:val="none"/>
          <w:lang w:val="zh-CN"/>
        </w:rPr>
      </w:pPr>
    </w:p>
    <w:p w14:paraId="01E045C9">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四、供货要求</w:t>
      </w:r>
    </w:p>
    <w:p w14:paraId="095A4C2C">
      <w:pPr>
        <w:autoSpaceDE/>
        <w:autoSpaceDN/>
        <w:adjustRightInd/>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（一）</w:t>
      </w:r>
      <w:r>
        <w:rPr>
          <w:rFonts w:hint="eastAsia" w:ascii="宋体" w:hAnsi="宋体" w:eastAsia="宋体" w:cs="宋体"/>
          <w:b w:val="0"/>
          <w:bCs w:val="0"/>
          <w:color w:val="auto"/>
          <w:sz w:val="21"/>
          <w:szCs w:val="21"/>
          <w:highlight w:val="none"/>
          <w:lang w:val="en-US" w:eastAsia="zh-CN"/>
        </w:rPr>
        <w:t>中标人应在合同签订之日起5个工作日内向招标人以书面形式报备车辆生产计划（含生产地址准确定位、生产时间节点等）。</w:t>
      </w:r>
    </w:p>
    <w:p w14:paraId="600858FA">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（二）中标人应保证供货车辆全新、未曾使用过的，其质量、规格及技术参数符合国家标准、规范及采购需求书、合同的要求。供货车型须为投标文件所约定车辆品牌、型号、配置。</w:t>
      </w:r>
    </w:p>
    <w:p w14:paraId="5C8B61B1">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三）本项目采购文件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18EE2DC3">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（四）本项目采购文件中如有出现的品牌规格等，仅为方便描述参考，不具有任何指定性及唯一性，投标人原则上应提供不低于该品牌档次的产品。</w:t>
      </w:r>
    </w:p>
    <w:p w14:paraId="2CE57D8E">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（五）中标人须配合招标人办理车辆通行证等相关手续。</w:t>
      </w:r>
    </w:p>
    <w:p w14:paraId="3611A314">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五、交货要求</w:t>
      </w:r>
    </w:p>
    <w:p w14:paraId="2C313D17">
      <w:pPr>
        <w:pStyle w:val="5"/>
        <w:spacing w:before="0" w:beforeAutospacing="0" w:after="0" w:afterAutospacing="0" w:line="360" w:lineRule="auto"/>
        <w:ind w:firstLine="422" w:firstLineChars="200"/>
        <w:jc w:val="both"/>
        <w:rPr>
          <w:rFonts w:eastAsia="宋体" w:cs="宋体"/>
          <w:b/>
          <w:color w:val="auto"/>
          <w:sz w:val="21"/>
          <w:szCs w:val="21"/>
          <w:highlight w:val="none"/>
        </w:rPr>
      </w:pPr>
      <w:r>
        <w:rPr>
          <w:rFonts w:hint="eastAsia" w:eastAsia="宋体" w:cs="宋体"/>
          <w:b/>
          <w:color w:val="auto"/>
          <w:sz w:val="21"/>
          <w:szCs w:val="21"/>
          <w:highlight w:val="none"/>
        </w:rPr>
        <w:t>（一）供货期要求：</w:t>
      </w:r>
    </w:p>
    <w:p w14:paraId="2EFC8874">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lang w:val="en-US" w:eastAsia="zh-CN"/>
        </w:rPr>
        <w:t>1.</w:t>
      </w:r>
      <w:r>
        <w:rPr>
          <w:rFonts w:hint="eastAsia" w:eastAsia="宋体" w:cs="宋体"/>
          <w:b/>
          <w:bCs/>
          <w:color w:val="auto"/>
          <w:sz w:val="21"/>
          <w:szCs w:val="21"/>
          <w:highlight w:val="none"/>
        </w:rPr>
        <w:t>合同签订之日起50个</w:t>
      </w:r>
      <w:r>
        <w:rPr>
          <w:rFonts w:hint="eastAsia" w:eastAsia="宋体" w:cs="宋体"/>
          <w:b/>
          <w:bCs/>
          <w:color w:val="auto"/>
          <w:sz w:val="21"/>
          <w:szCs w:val="21"/>
          <w:highlight w:val="none"/>
          <w:lang w:eastAsia="zh-CN"/>
        </w:rPr>
        <w:t>自然日</w:t>
      </w:r>
      <w:r>
        <w:rPr>
          <w:rFonts w:hint="eastAsia" w:eastAsia="宋体" w:cs="宋体"/>
          <w:b/>
          <w:bCs/>
          <w:color w:val="auto"/>
          <w:sz w:val="21"/>
          <w:szCs w:val="21"/>
          <w:highlight w:val="none"/>
        </w:rPr>
        <w:t>内完成供货及查验车辆（不得超过中标通知书发出之日起80个</w:t>
      </w:r>
      <w:r>
        <w:rPr>
          <w:rFonts w:hint="eastAsia" w:eastAsia="宋体" w:cs="宋体"/>
          <w:b/>
          <w:bCs/>
          <w:color w:val="auto"/>
          <w:sz w:val="21"/>
          <w:szCs w:val="21"/>
          <w:highlight w:val="none"/>
          <w:lang w:eastAsia="zh-CN"/>
        </w:rPr>
        <w:t>自然日</w:t>
      </w:r>
      <w:r>
        <w:rPr>
          <w:rFonts w:hint="eastAsia" w:eastAsia="宋体" w:cs="宋体"/>
          <w:b/>
          <w:bCs/>
          <w:color w:val="auto"/>
          <w:sz w:val="21"/>
          <w:szCs w:val="21"/>
          <w:highlight w:val="none"/>
        </w:rPr>
        <w:t>）。</w:t>
      </w:r>
    </w:p>
    <w:p w14:paraId="7BC85F92">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lang w:val="en-US" w:eastAsia="zh-CN"/>
        </w:rPr>
        <w:t>2.</w:t>
      </w:r>
      <w:r>
        <w:rPr>
          <w:rFonts w:hint="eastAsia" w:eastAsia="宋体" w:cs="宋体"/>
          <w:b/>
          <w:bCs/>
          <w:color w:val="auto"/>
          <w:sz w:val="21"/>
          <w:szCs w:val="21"/>
          <w:highlight w:val="none"/>
        </w:rPr>
        <w:t>车辆经招标人查验合格后20个</w:t>
      </w:r>
      <w:r>
        <w:rPr>
          <w:rFonts w:hint="eastAsia" w:eastAsia="宋体" w:cs="宋体"/>
          <w:b/>
          <w:bCs/>
          <w:color w:val="auto"/>
          <w:sz w:val="21"/>
          <w:szCs w:val="21"/>
          <w:highlight w:val="none"/>
          <w:lang w:eastAsia="zh-CN"/>
        </w:rPr>
        <w:t>自然日</w:t>
      </w:r>
      <w:r>
        <w:rPr>
          <w:rFonts w:hint="eastAsia" w:eastAsia="宋体" w:cs="宋体"/>
          <w:b/>
          <w:bCs/>
          <w:color w:val="auto"/>
          <w:sz w:val="21"/>
          <w:szCs w:val="21"/>
          <w:highlight w:val="none"/>
        </w:rPr>
        <w:t>内完成车辆的喷涂、上牌（必须为东莞市车牌）、配件安装（包括安装行车记录仪、贴膜等）和验收交付。</w:t>
      </w:r>
    </w:p>
    <w:p w14:paraId="7E5426C8">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（二）喷涂要求：</w:t>
      </w:r>
    </w:p>
    <w:p w14:paraId="269D433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车辆交付</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人使用时，车身颜色为</w:t>
      </w:r>
      <w:r>
        <w:rPr>
          <w:rFonts w:hint="eastAsia" w:ascii="宋体" w:hAnsi="宋体" w:eastAsia="宋体" w:cs="宋体"/>
          <w:b/>
          <w:bCs/>
          <w:color w:val="auto"/>
          <w:sz w:val="21"/>
          <w:szCs w:val="21"/>
          <w:highlight w:val="none"/>
        </w:rPr>
        <w:t>工程黄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人提供的企业LOGO,企业名称等相关内容要求设计车辆外观喷涂方案及图纸报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审核同意，在车辆查验合格后由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依据图纸对车辆外观进行喷涂。</w:t>
      </w:r>
    </w:p>
    <w:p w14:paraId="7B51C2D2">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（三）验收要求：</w:t>
      </w:r>
    </w:p>
    <w:p w14:paraId="7C6FFD19">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lang w:val="en-US" w:eastAsia="zh-CN"/>
        </w:rPr>
        <w:t>1.</w:t>
      </w:r>
      <w:r>
        <w:rPr>
          <w:rFonts w:hint="eastAsia" w:eastAsia="宋体" w:cs="宋体"/>
          <w:b/>
          <w:bCs/>
          <w:color w:val="auto"/>
          <w:sz w:val="21"/>
          <w:szCs w:val="21"/>
          <w:highlight w:val="none"/>
        </w:rPr>
        <w:t>车辆查验：</w:t>
      </w:r>
    </w:p>
    <w:p w14:paraId="2E3D930D">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1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①</w:t>
      </w:r>
      <w:r>
        <w:rPr>
          <w:rFonts w:hint="eastAsia" w:eastAsia="宋体" w:cs="宋体"/>
          <w:color w:val="auto"/>
          <w:sz w:val="21"/>
          <w:szCs w:val="21"/>
          <w:highlight w:val="none"/>
        </w:rPr>
        <w:fldChar w:fldCharType="end"/>
      </w:r>
      <w:r>
        <w:rPr>
          <w:rFonts w:hint="eastAsia" w:eastAsia="宋体" w:cs="宋体"/>
          <w:color w:val="auto"/>
          <w:sz w:val="21"/>
          <w:szCs w:val="21"/>
          <w:highlight w:val="none"/>
        </w:rPr>
        <w:t>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14:paraId="2F609E23">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2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②</w:t>
      </w:r>
      <w:r>
        <w:rPr>
          <w:rFonts w:hint="eastAsia" w:eastAsia="宋体" w:cs="宋体"/>
          <w:color w:val="auto"/>
          <w:sz w:val="21"/>
          <w:szCs w:val="21"/>
          <w:highlight w:val="none"/>
        </w:rPr>
        <w:fldChar w:fldCharType="end"/>
      </w:r>
      <w:r>
        <w:rPr>
          <w:rFonts w:hint="eastAsia" w:eastAsia="宋体" w:cs="宋体"/>
          <w:color w:val="auto"/>
          <w:sz w:val="21"/>
          <w:szCs w:val="21"/>
          <w:highlight w:val="none"/>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77DB68F9">
      <w:pPr>
        <w:pStyle w:val="5"/>
        <w:widowControl w:val="0"/>
        <w:autoSpaceDE w:val="0"/>
        <w:autoSpaceDN w:val="0"/>
        <w:adjustRightInd w:val="0"/>
        <w:spacing w:before="0" w:beforeAutospacing="0" w:after="0" w:afterAutospacing="0" w:line="360" w:lineRule="auto"/>
        <w:ind w:right="-26" w:firstLine="420" w:firstLineChars="200"/>
        <w:rPr>
          <w:rFonts w:eastAsia="宋体" w:cs="宋体"/>
          <w:color w:val="auto"/>
          <w:sz w:val="21"/>
          <w:szCs w:val="21"/>
          <w:highlight w:val="none"/>
        </w:rPr>
      </w:pPr>
      <w:r>
        <w:rPr>
          <w:rFonts w:hint="eastAsia" w:eastAsia="宋体" w:cs="宋体"/>
          <w:color w:val="auto"/>
          <w:kern w:val="0"/>
          <w:sz w:val="21"/>
          <w:szCs w:val="21"/>
          <w:highlight w:val="none"/>
          <w:lang w:bidi="ar"/>
        </w:rPr>
        <w:t>③车辆的查验、试驾完成后，若查验合格，各方在查验证明上签字；若查验不合格，招标人需在查验证明上写明不合格内容及整改时限要求，</w:t>
      </w:r>
      <w:r>
        <w:rPr>
          <w:rFonts w:hint="eastAsia" w:eastAsia="宋体" w:cs="宋体"/>
          <w:color w:val="auto"/>
          <w:sz w:val="21"/>
          <w:szCs w:val="21"/>
          <w:highlight w:val="none"/>
        </w:rPr>
        <w:t>因查验不合格或未在整改时限内整改完成导致逾期供货的，按下文“</w:t>
      </w:r>
      <w:r>
        <w:rPr>
          <w:rFonts w:hint="eastAsia" w:cs="宋体"/>
          <w:color w:val="auto"/>
          <w:sz w:val="21"/>
          <w:szCs w:val="21"/>
          <w:highlight w:val="none"/>
        </w:rPr>
        <w:t>十</w:t>
      </w:r>
      <w:r>
        <w:rPr>
          <w:rFonts w:hint="eastAsia" w:eastAsia="宋体" w:cs="宋体"/>
          <w:color w:val="auto"/>
          <w:sz w:val="21"/>
          <w:szCs w:val="21"/>
          <w:highlight w:val="none"/>
        </w:rPr>
        <w:t>、违约责任第（一）点”逾期供货条款执行。</w:t>
      </w:r>
    </w:p>
    <w:p w14:paraId="166BEA59">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④查验过程中，招标人有权根据需要开展现场操作试验，如试验发现技术参数不符合投标文件的，中标人不得以车辆已试验为由拒绝退货</w:t>
      </w:r>
      <w:r>
        <w:rPr>
          <w:rFonts w:hint="eastAsia" w:ascii="宋体" w:hAnsi="宋体" w:eastAsia="宋体" w:cs="宋体"/>
          <w:color w:val="auto"/>
          <w:sz w:val="21"/>
          <w:szCs w:val="21"/>
          <w:highlight w:val="none"/>
          <w:lang w:val="en-US" w:eastAsia="zh-CN"/>
        </w:rPr>
        <w:t>、换货或整改</w:t>
      </w:r>
      <w:r>
        <w:rPr>
          <w:rFonts w:hint="eastAsia" w:eastAsia="宋体" w:cs="宋体"/>
          <w:color w:val="auto"/>
          <w:sz w:val="21"/>
          <w:szCs w:val="21"/>
          <w:highlight w:val="none"/>
        </w:rPr>
        <w:t>，不得以此为由</w:t>
      </w:r>
      <w:r>
        <w:rPr>
          <w:rFonts w:hint="eastAsia" w:ascii="宋体" w:hAnsi="宋体" w:eastAsia="宋体" w:cs="宋体"/>
          <w:color w:val="auto"/>
          <w:sz w:val="21"/>
          <w:szCs w:val="21"/>
          <w:highlight w:val="none"/>
          <w:lang w:val="en-US" w:eastAsia="zh-CN"/>
        </w:rPr>
        <w:t>向招标人</w:t>
      </w:r>
      <w:r>
        <w:rPr>
          <w:rFonts w:hint="eastAsia" w:eastAsia="宋体" w:cs="宋体"/>
          <w:color w:val="auto"/>
          <w:sz w:val="21"/>
          <w:szCs w:val="21"/>
          <w:highlight w:val="none"/>
        </w:rPr>
        <w:t>索取任何赔偿</w:t>
      </w:r>
      <w:r>
        <w:rPr>
          <w:rFonts w:hint="eastAsia" w:ascii="宋体" w:hAnsi="宋体" w:eastAsia="宋体" w:cs="宋体"/>
          <w:color w:val="auto"/>
          <w:sz w:val="21"/>
          <w:szCs w:val="21"/>
          <w:highlight w:val="none"/>
          <w:lang w:val="en-US" w:eastAsia="zh-CN"/>
        </w:rPr>
        <w:t>或费用</w:t>
      </w:r>
      <w:r>
        <w:rPr>
          <w:rFonts w:hint="eastAsia" w:eastAsia="宋体" w:cs="宋体"/>
          <w:color w:val="auto"/>
          <w:sz w:val="21"/>
          <w:szCs w:val="21"/>
          <w:highlight w:val="none"/>
        </w:rPr>
        <w:t>。</w:t>
      </w:r>
    </w:p>
    <w:p w14:paraId="186500C4">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lang w:val="en-US" w:eastAsia="zh-CN"/>
        </w:rPr>
        <w:t>2.</w:t>
      </w:r>
      <w:r>
        <w:rPr>
          <w:rFonts w:hint="eastAsia" w:eastAsia="宋体" w:cs="宋体"/>
          <w:b/>
          <w:bCs/>
          <w:color w:val="auto"/>
          <w:sz w:val="21"/>
          <w:szCs w:val="21"/>
          <w:highlight w:val="none"/>
        </w:rPr>
        <w:t>车辆验收：</w:t>
      </w:r>
    </w:p>
    <w:p w14:paraId="360E946B">
      <w:pPr>
        <w:spacing w:line="360" w:lineRule="auto"/>
        <w:ind w:firstLine="420" w:firstLineChars="200"/>
        <w:contextualSpacing/>
        <w:rPr>
          <w:rFonts w:ascii="宋体" w:hAnsi="宋体" w:eastAsia="宋体" w:cs="宋体"/>
          <w:color w:val="auto"/>
          <w:szCs w:val="21"/>
          <w:highlight w:val="none"/>
        </w:rPr>
      </w:pPr>
      <w:r>
        <w:rPr>
          <w:rFonts w:hint="eastAsia" w:eastAsia="宋体" w:cs="宋体"/>
          <w:color w:val="auto"/>
          <w:szCs w:val="21"/>
          <w:highlight w:val="none"/>
        </w:rPr>
        <w:t>车辆查验合格后，中标人需完成车辆上牌及配件安装（包括喷涂、安装行车记录仪、贴膜等）相关工作，并将车辆移交至招标人指定地点（东莞市内，以招标人通知为准）后开展验收工作，检查确认货物、配件是否齐全（若发现车辆部件丢失、损坏，均由中标人承担责任）。若验收合格，各方于验收证明上签字并进行车辆交付；若验收不合格，招标人需在验收证明上写明不合格内容及整改时限要求，因验收不合格</w:t>
      </w:r>
      <w:r>
        <w:rPr>
          <w:rFonts w:hint="eastAsia" w:ascii="宋体" w:hAnsi="宋体" w:eastAsia="宋体" w:cs="宋体"/>
          <w:color w:val="auto"/>
          <w:szCs w:val="21"/>
          <w:highlight w:val="none"/>
        </w:rPr>
        <w:t>或未在整改时限内整改完成导致逾期供货的，按下文“十、违约责任第（一）点”逾期供货条款执行。</w:t>
      </w:r>
    </w:p>
    <w:p w14:paraId="67CA8DE9">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lang w:val="en-US" w:eastAsia="zh-CN"/>
        </w:rPr>
        <w:t>3.</w:t>
      </w:r>
      <w:r>
        <w:rPr>
          <w:rFonts w:hint="eastAsia" w:eastAsia="宋体" w:cs="宋体"/>
          <w:b/>
          <w:bCs/>
          <w:color w:val="auto"/>
          <w:sz w:val="21"/>
          <w:szCs w:val="21"/>
          <w:highlight w:val="none"/>
        </w:rPr>
        <w:t>车辆交付：</w:t>
      </w:r>
    </w:p>
    <w:p w14:paraId="27CC4A91">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09ACC4F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02D28204">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342E1E3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5B1A5A9E">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0D1F706A">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1EEF88D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按招标人要求开具）</w:t>
      </w:r>
      <w:r>
        <w:rPr>
          <w:rFonts w:hint="eastAsia" w:ascii="宋体" w:hAnsi="宋体" w:eastAsia="宋体" w:cs="宋体"/>
          <w:color w:val="auto"/>
          <w:sz w:val="21"/>
          <w:szCs w:val="21"/>
          <w:highlight w:val="none"/>
        </w:rPr>
        <w:t>；</w:t>
      </w:r>
    </w:p>
    <w:p w14:paraId="6025150C">
      <w:pPr>
        <w:spacing w:line="360" w:lineRule="auto"/>
        <w:ind w:firstLine="630" w:firstLineChars="3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（7）保险单；</w:t>
      </w:r>
    </w:p>
    <w:p w14:paraId="3E152485">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3B5914DF">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7E255A7F">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22BE1C9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14:paraId="1E55580E">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14:paraId="295417E9">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lang w:val="en-US" w:eastAsia="zh-CN"/>
        </w:rPr>
        <w:t>4.</w:t>
      </w:r>
      <w:r>
        <w:rPr>
          <w:rFonts w:hint="eastAsia" w:eastAsia="宋体" w:cs="宋体"/>
          <w:color w:val="auto"/>
          <w:sz w:val="21"/>
          <w:szCs w:val="21"/>
          <w:highlight w:val="none"/>
        </w:rPr>
        <w:t>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招标人先行垫付。如车辆符合质量标准的，鉴定费由招标人承担；车辆不符合质量标准的，鉴定费用由中标人承担，相关费用从结算款中扣除。</w:t>
      </w:r>
    </w:p>
    <w:p w14:paraId="44529E71">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六、培训要求</w:t>
      </w:r>
    </w:p>
    <w:p w14:paraId="29A2CFE7">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（一）技术培训费用已包含合同价中，招标人不另行支付中标人或给予中标人补偿。</w:t>
      </w:r>
    </w:p>
    <w:p w14:paraId="038C233F">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（二）培训内容要求：</w:t>
      </w:r>
    </w:p>
    <w:p w14:paraId="0954BEE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w:t>
      </w:r>
      <w:r>
        <w:rPr>
          <w:rFonts w:hint="eastAsia" w:ascii="宋体" w:hAnsi="宋体" w:eastAsia="宋体" w:cs="宋体"/>
          <w:color w:val="auto"/>
          <w:sz w:val="21"/>
          <w:szCs w:val="21"/>
          <w:highlight w:val="none"/>
          <w:lang w:eastAsia="zh-CN"/>
        </w:rPr>
        <w:t>。</w:t>
      </w:r>
    </w:p>
    <w:p w14:paraId="5B45C9BB">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技术理论培训：车辆验收合格后，中标人派专人开展跟班培训，培训时间由招标人决定，跟班总时长不少于</w:t>
      </w:r>
      <w:r>
        <w:rPr>
          <w:rFonts w:hint="eastAsia" w:eastAsia="宋体" w:cs="宋体"/>
          <w:color w:val="auto"/>
          <w:sz w:val="21"/>
          <w:szCs w:val="21"/>
          <w:highlight w:val="none"/>
          <w:lang w:val="en-US" w:eastAsia="zh-CN"/>
        </w:rPr>
        <w:t>每车3</w:t>
      </w:r>
      <w:r>
        <w:rPr>
          <w:rFonts w:hint="eastAsia" w:eastAsia="宋体" w:cs="宋体"/>
          <w:color w:val="auto"/>
          <w:sz w:val="21"/>
          <w:szCs w:val="21"/>
          <w:highlight w:val="none"/>
        </w:rPr>
        <w:t>个工作日，每日跟班时长不少于6小时，直至受训人员签名确认已充分理解受训内容，否则中标人应为受训人员解难答疑直至其充分理解。培训内容包括但不限于：</w:t>
      </w:r>
    </w:p>
    <w:p w14:paraId="7FDB07AC">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1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①</w:t>
      </w:r>
      <w:r>
        <w:rPr>
          <w:rFonts w:hint="eastAsia" w:eastAsia="宋体" w:cs="宋体"/>
          <w:color w:val="auto"/>
          <w:sz w:val="21"/>
          <w:szCs w:val="21"/>
          <w:highlight w:val="none"/>
        </w:rPr>
        <w:fldChar w:fldCharType="end"/>
      </w:r>
      <w:r>
        <w:rPr>
          <w:rFonts w:hint="eastAsia" w:eastAsia="宋体" w:cs="宋体"/>
          <w:color w:val="auto"/>
          <w:sz w:val="21"/>
          <w:szCs w:val="21"/>
          <w:highlight w:val="none"/>
        </w:rPr>
        <w:t>车辆结构及原理培训，了解车辆及各部件名称用途</w:t>
      </w:r>
    </w:p>
    <w:p w14:paraId="688B95CD">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2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②</w:t>
      </w:r>
      <w:r>
        <w:rPr>
          <w:rFonts w:hint="eastAsia" w:eastAsia="宋体" w:cs="宋体"/>
          <w:color w:val="auto"/>
          <w:sz w:val="21"/>
          <w:szCs w:val="21"/>
          <w:highlight w:val="none"/>
        </w:rPr>
        <w:fldChar w:fldCharType="end"/>
      </w:r>
      <w:r>
        <w:rPr>
          <w:rFonts w:hint="eastAsia" w:eastAsia="宋体" w:cs="宋体"/>
          <w:color w:val="auto"/>
          <w:sz w:val="21"/>
          <w:szCs w:val="21"/>
          <w:highlight w:val="none"/>
        </w:rPr>
        <w:t>车辆维护与保养要求及方法（明确易损易耗件清单及更换操作方法）</w:t>
      </w:r>
    </w:p>
    <w:p w14:paraId="0C59D9D1">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3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③</w:t>
      </w:r>
      <w:r>
        <w:rPr>
          <w:rFonts w:hint="eastAsia" w:eastAsia="宋体" w:cs="宋体"/>
          <w:color w:val="auto"/>
          <w:sz w:val="21"/>
          <w:szCs w:val="21"/>
          <w:highlight w:val="none"/>
        </w:rPr>
        <w:fldChar w:fldCharType="end"/>
      </w:r>
      <w:r>
        <w:rPr>
          <w:rFonts w:hint="eastAsia" w:eastAsia="宋体" w:cs="宋体"/>
          <w:color w:val="auto"/>
          <w:sz w:val="21"/>
          <w:szCs w:val="21"/>
          <w:highlight w:val="none"/>
        </w:rPr>
        <w:t>动力装置维护与养护要求及方法</w:t>
      </w:r>
    </w:p>
    <w:p w14:paraId="4DC77A6E">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4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④</w:t>
      </w:r>
      <w:r>
        <w:rPr>
          <w:rFonts w:hint="eastAsia" w:eastAsia="宋体" w:cs="宋体"/>
          <w:color w:val="auto"/>
          <w:sz w:val="21"/>
          <w:szCs w:val="21"/>
          <w:highlight w:val="none"/>
        </w:rPr>
        <w:fldChar w:fldCharType="end"/>
      </w:r>
      <w:r>
        <w:rPr>
          <w:rFonts w:hint="eastAsia" w:eastAsia="宋体" w:cs="宋体"/>
          <w:color w:val="auto"/>
          <w:sz w:val="21"/>
          <w:szCs w:val="21"/>
          <w:highlight w:val="none"/>
        </w:rPr>
        <w:t>故障分析与排除</w:t>
      </w:r>
    </w:p>
    <w:p w14:paraId="632142E2">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⑤车辆基本操作使用，包括日常操作，作业前准备，停车注意事项、车辆仪表控制操作</w:t>
      </w:r>
    </w:p>
    <w:p w14:paraId="0C08B3C2">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⑥车辆操作注意事项</w:t>
      </w:r>
    </w:p>
    <w:p w14:paraId="227EAC4A">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⑦不同工况的车辆操作使用技巧及配件的选择</w:t>
      </w:r>
    </w:p>
    <w:p w14:paraId="48BF225F">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（三）培训完成后，招标人在使用上存在问题时，中标人需及时解难答疑，提供免费的咨询服务，若需中标人现场协助指导作业，中标人应无条件上门指导。</w:t>
      </w:r>
    </w:p>
    <w:p w14:paraId="71C9FFA9">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（四）若中标人培训服务态度恶劣、培训内容不满足要求的，招标人有权要求中标人整改并重新服务直至满足招标人要求，若中标人不落实整改工作，按下文“十、违约责任 第（五）点”执行。</w:t>
      </w:r>
    </w:p>
    <w:p w14:paraId="6433F5FE">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七、价款要求</w:t>
      </w:r>
    </w:p>
    <w:p w14:paraId="2FDF294D">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（一）</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核定座位数*10万元/座保额）责任保险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、车身喷涂（按招标人要求）、检测及验收合格之前及质保期内维修维护、售后服务、拖车费等全部费用。未经招标人书面同意，中标人不得向招标人主张前述费用以外的任何其它费用或补偿。</w:t>
      </w:r>
    </w:p>
    <w:p w14:paraId="66E6439E">
      <w:pPr>
        <w:pStyle w:val="5"/>
        <w:spacing w:before="0" w:beforeAutospacing="0" w:after="0" w:afterAutospacing="0" w:line="360" w:lineRule="auto"/>
        <w:ind w:firstLine="420" w:firstLineChars="200"/>
        <w:jc w:val="both"/>
        <w:rPr>
          <w:rFonts w:hint="eastAsia" w:eastAsia="宋体" w:cs="宋体"/>
          <w:color w:val="auto"/>
          <w:sz w:val="21"/>
          <w:szCs w:val="21"/>
          <w:highlight w:val="none"/>
        </w:rPr>
      </w:pPr>
      <w:r>
        <w:rPr>
          <w:rFonts w:hint="eastAsia" w:eastAsia="宋体" w:cs="宋体"/>
          <w:color w:val="auto"/>
          <w:sz w:val="21"/>
          <w:szCs w:val="21"/>
          <w:highlight w:val="none"/>
        </w:rPr>
        <w:t>（二）费用支付：</w:t>
      </w:r>
    </w:p>
    <w:p w14:paraId="657094CF">
      <w:pPr>
        <w:snapToGrid/>
        <w:spacing w:line="360" w:lineRule="auto"/>
        <w:ind w:firstLine="630" w:firstLineChars="300"/>
        <w:contextualSpacing/>
        <w:jc w:val="both"/>
        <w:rPr>
          <w:rFonts w:hint="eastAsia" w:ascii="宋体" w:hAnsi="宋体" w:eastAsia="宋体" w:cs="宋体"/>
          <w:bCs w:val="0"/>
          <w:color w:val="auto"/>
          <w:kern w:val="0"/>
          <w:sz w:val="21"/>
          <w:szCs w:val="21"/>
          <w:highlight w:val="none"/>
          <w:lang w:val="en-US" w:eastAsia="zh-CN"/>
        </w:rPr>
      </w:pPr>
      <w:r>
        <w:rPr>
          <w:rFonts w:hint="eastAsia" w:eastAsia="宋体" w:cs="宋体"/>
          <w:color w:val="auto"/>
          <w:sz w:val="21"/>
          <w:szCs w:val="21"/>
          <w:highlight w:val="none"/>
        </w:rPr>
        <w:t>（</w:t>
      </w:r>
      <w:r>
        <w:rPr>
          <w:rFonts w:hint="eastAsia" w:ascii="宋体" w:hAnsi="宋体" w:eastAsia="宋体" w:cs="宋体"/>
          <w:bCs w:val="0"/>
          <w:color w:val="auto"/>
          <w:kern w:val="0"/>
          <w:sz w:val="21"/>
          <w:szCs w:val="21"/>
          <w:highlight w:val="none"/>
          <w:lang w:val="en-US" w:eastAsia="zh-CN"/>
        </w:rPr>
        <w:t>1）预付款金额</w:t>
      </w:r>
      <w:r>
        <w:rPr>
          <w:rFonts w:hint="eastAsia" w:ascii="宋体" w:hAnsi="宋体" w:eastAsia="宋体" w:cs="宋体"/>
          <w:bCs w:val="0"/>
          <w:color w:val="auto"/>
          <w:kern w:val="0"/>
          <w:sz w:val="21"/>
          <w:szCs w:val="21"/>
          <w:highlight w:val="none"/>
          <w:lang w:bidi="ar"/>
        </w:rPr>
        <w:t>不超过合同含税总价60%</w:t>
      </w:r>
      <w:r>
        <w:rPr>
          <w:rFonts w:hint="eastAsia" w:ascii="宋体" w:hAnsi="宋体" w:eastAsia="宋体" w:cs="宋体"/>
          <w:bCs w:val="0"/>
          <w:color w:val="auto"/>
          <w:kern w:val="0"/>
          <w:sz w:val="21"/>
          <w:szCs w:val="21"/>
          <w:highlight w:val="none"/>
          <w:lang w:eastAsia="zh-CN" w:bidi="ar"/>
        </w:rPr>
        <w:t>，</w:t>
      </w:r>
      <w:r>
        <w:rPr>
          <w:rFonts w:hint="eastAsia" w:ascii="宋体" w:hAnsi="宋体" w:eastAsia="宋体" w:cs="宋体"/>
          <w:bCs w:val="0"/>
          <w:color w:val="auto"/>
          <w:kern w:val="0"/>
          <w:sz w:val="21"/>
          <w:szCs w:val="21"/>
          <w:highlight w:val="none"/>
          <w:lang w:bidi="ar"/>
        </w:rPr>
        <w:t>具体支付比例由</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决定</w:t>
      </w:r>
      <w:r>
        <w:rPr>
          <w:rFonts w:hint="eastAsia" w:ascii="宋体" w:hAnsi="宋体" w:eastAsia="宋体" w:cs="宋体"/>
          <w:bCs w:val="0"/>
          <w:color w:val="auto"/>
          <w:kern w:val="0"/>
          <w:sz w:val="21"/>
          <w:szCs w:val="21"/>
          <w:highlight w:val="none"/>
          <w:lang w:val="en-US" w:eastAsia="zh-CN"/>
        </w:rPr>
        <w:t>。</w:t>
      </w:r>
    </w:p>
    <w:p w14:paraId="1C5AB9F4">
      <w:pPr>
        <w:snapToGrid/>
        <w:spacing w:line="360" w:lineRule="auto"/>
        <w:ind w:firstLine="630" w:firstLineChars="300"/>
        <w:contextualSpacing/>
        <w:jc w:val="both"/>
        <w:rPr>
          <w:rFonts w:hint="eastAsia" w:eastAsia="宋体" w:cs="宋体"/>
          <w:color w:val="auto"/>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（2）预付款支付。</w:t>
      </w:r>
      <w:r>
        <w:rPr>
          <w:rFonts w:hint="eastAsia" w:ascii="宋体" w:hAnsi="宋体" w:eastAsia="宋体" w:cs="宋体"/>
          <w:bCs w:val="0"/>
          <w:color w:val="auto"/>
          <w:kern w:val="0"/>
          <w:sz w:val="21"/>
          <w:szCs w:val="21"/>
          <w:highlight w:val="none"/>
          <w:lang w:bidi="ar"/>
        </w:rPr>
        <w:t>合同签订后</w:t>
      </w:r>
      <w:r>
        <w:rPr>
          <w:rFonts w:hint="eastAsia" w:ascii="宋体" w:hAnsi="宋体" w:eastAsia="宋体" w:cs="宋体"/>
          <w:bCs w:val="0"/>
          <w:color w:val="auto"/>
          <w:kern w:val="0"/>
          <w:sz w:val="21"/>
          <w:szCs w:val="21"/>
          <w:highlight w:val="none"/>
          <w:lang w:val="en-US" w:eastAsia="zh-CN" w:bidi="ar"/>
        </w:rPr>
        <w:t>3个自然</w:t>
      </w:r>
      <w:r>
        <w:rPr>
          <w:rFonts w:hint="eastAsia" w:ascii="宋体" w:hAnsi="宋体" w:eastAsia="宋体" w:cs="宋体"/>
          <w:bCs w:val="0"/>
          <w:color w:val="auto"/>
          <w:kern w:val="0"/>
          <w:sz w:val="21"/>
          <w:szCs w:val="21"/>
          <w:highlight w:val="none"/>
          <w:lang w:bidi="ar"/>
        </w:rPr>
        <w:t>日内，</w:t>
      </w:r>
      <w:r>
        <w:rPr>
          <w:rFonts w:hint="eastAsia" w:ascii="宋体" w:hAnsi="宋体" w:eastAsia="宋体" w:cs="宋体"/>
          <w:bCs w:val="0"/>
          <w:color w:val="auto"/>
          <w:kern w:val="0"/>
          <w:sz w:val="21"/>
          <w:szCs w:val="21"/>
          <w:highlight w:val="none"/>
          <w:lang w:eastAsia="zh-CN" w:bidi="ar"/>
        </w:rPr>
        <w:t>中标人</w:t>
      </w:r>
      <w:r>
        <w:rPr>
          <w:rFonts w:hint="eastAsia" w:ascii="宋体" w:hAnsi="宋体" w:eastAsia="宋体" w:cs="宋体"/>
          <w:bCs w:val="0"/>
          <w:color w:val="auto"/>
          <w:kern w:val="0"/>
          <w:sz w:val="21"/>
          <w:szCs w:val="21"/>
          <w:highlight w:val="none"/>
          <w:lang w:bidi="ar"/>
        </w:rPr>
        <w:t>按</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要求向</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提交请款报告及请款金额等额、合法、有效的收款收据，</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在收到前述材料并确认无误后10个工作日内，支付预付款给</w:t>
      </w:r>
      <w:r>
        <w:rPr>
          <w:rFonts w:hint="eastAsia" w:ascii="宋体" w:hAnsi="宋体" w:eastAsia="宋体" w:cs="宋体"/>
          <w:bCs w:val="0"/>
          <w:color w:val="auto"/>
          <w:kern w:val="0"/>
          <w:sz w:val="21"/>
          <w:szCs w:val="21"/>
          <w:highlight w:val="none"/>
          <w:lang w:eastAsia="zh-CN" w:bidi="ar"/>
        </w:rPr>
        <w:t>中标人</w:t>
      </w:r>
      <w:r>
        <w:rPr>
          <w:rFonts w:hint="eastAsia" w:ascii="宋体" w:hAnsi="宋体" w:eastAsia="宋体" w:cs="宋体"/>
          <w:bCs w:val="0"/>
          <w:color w:val="auto"/>
          <w:kern w:val="0"/>
          <w:sz w:val="21"/>
          <w:szCs w:val="21"/>
          <w:highlight w:val="none"/>
          <w:lang w:bidi="ar"/>
        </w:rPr>
        <w:t>。</w:t>
      </w:r>
    </w:p>
    <w:p w14:paraId="7574D9D1">
      <w:pPr>
        <w:pStyle w:val="5"/>
        <w:spacing w:before="0" w:beforeAutospacing="0" w:after="0" w:afterAutospacing="0" w:line="360" w:lineRule="auto"/>
        <w:ind w:firstLine="422" w:firstLineChars="200"/>
        <w:jc w:val="both"/>
        <w:rPr>
          <w:rFonts w:hint="eastAsia" w:eastAsia="宋体" w:cs="宋体"/>
          <w:b/>
          <w:bCs/>
          <w:color w:val="auto"/>
          <w:sz w:val="21"/>
          <w:szCs w:val="21"/>
          <w:highlight w:val="none"/>
          <w:lang w:val="en-US" w:eastAsia="zh-CN"/>
        </w:rPr>
      </w:pPr>
      <w:r>
        <w:rPr>
          <w:rFonts w:hint="eastAsia" w:eastAsia="宋体" w:cs="宋体"/>
          <w:b/>
          <w:bCs/>
          <w:color w:val="auto"/>
          <w:sz w:val="21"/>
          <w:szCs w:val="21"/>
          <w:highlight w:val="none"/>
          <w:lang w:val="zh-CN"/>
        </w:rPr>
        <w:t>★</w:t>
      </w:r>
      <w:r>
        <w:rPr>
          <w:rFonts w:hint="eastAsia" w:eastAsia="宋体" w:cs="宋体"/>
          <w:b/>
          <w:bCs/>
          <w:color w:val="auto"/>
          <w:sz w:val="21"/>
          <w:szCs w:val="21"/>
          <w:highlight w:val="none"/>
          <w:lang w:val="en-US" w:eastAsia="zh-CN"/>
        </w:rPr>
        <w:t>①当预付款比例超过合同含税总价10%（不含）时，中标人须按招标人要求开设预付款监管账户或向招标人提供与预付款</w:t>
      </w:r>
      <w:r>
        <w:rPr>
          <w:rFonts w:hint="eastAsia" w:eastAsia="宋体" w:cs="宋体"/>
          <w:b/>
          <w:bCs/>
          <w:color w:val="auto"/>
          <w:sz w:val="21"/>
          <w:szCs w:val="21"/>
          <w:highlight w:val="none"/>
        </w:rPr>
        <w:t>金额等额</w:t>
      </w:r>
      <w:r>
        <w:rPr>
          <w:rFonts w:hint="eastAsia" w:eastAsia="宋体" w:cs="宋体"/>
          <w:b/>
          <w:bCs/>
          <w:color w:val="auto"/>
          <w:sz w:val="21"/>
          <w:szCs w:val="21"/>
          <w:highlight w:val="none"/>
          <w:lang w:val="en-US" w:eastAsia="zh-CN"/>
        </w:rPr>
        <w:t>的</w:t>
      </w:r>
      <w:r>
        <w:rPr>
          <w:rFonts w:hint="eastAsia" w:eastAsia="宋体" w:cs="宋体"/>
          <w:b/>
          <w:bCs/>
          <w:color w:val="auto"/>
          <w:sz w:val="21"/>
          <w:szCs w:val="21"/>
          <w:highlight w:val="none"/>
        </w:rPr>
        <w:t>预付款银行保函</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lang w:val="en-US" w:eastAsia="zh-CN"/>
        </w:rPr>
        <w:t>具体采用何种方式</w:t>
      </w:r>
      <w:r>
        <w:rPr>
          <w:rFonts w:hint="eastAsia" w:eastAsia="宋体" w:cs="宋体"/>
          <w:b/>
          <w:bCs/>
          <w:color w:val="auto"/>
          <w:sz w:val="21"/>
          <w:szCs w:val="21"/>
          <w:highlight w:val="none"/>
        </w:rPr>
        <w:t>由</w:t>
      </w:r>
      <w:r>
        <w:rPr>
          <w:rFonts w:hint="eastAsia" w:eastAsia="宋体" w:cs="宋体"/>
          <w:b/>
          <w:bCs/>
          <w:color w:val="auto"/>
          <w:sz w:val="21"/>
          <w:szCs w:val="21"/>
          <w:highlight w:val="none"/>
          <w:lang w:eastAsia="zh-CN"/>
        </w:rPr>
        <w:t>招标人</w:t>
      </w:r>
      <w:r>
        <w:rPr>
          <w:rFonts w:hint="eastAsia" w:eastAsia="宋体" w:cs="宋体"/>
          <w:b/>
          <w:bCs/>
          <w:color w:val="auto"/>
          <w:sz w:val="21"/>
          <w:szCs w:val="21"/>
          <w:highlight w:val="none"/>
        </w:rPr>
        <w:t>决定</w:t>
      </w:r>
      <w:r>
        <w:rPr>
          <w:rFonts w:hint="eastAsia" w:eastAsia="宋体" w:cs="宋体"/>
          <w:b/>
          <w:bCs/>
          <w:color w:val="auto"/>
          <w:sz w:val="21"/>
          <w:szCs w:val="21"/>
          <w:highlight w:val="none"/>
          <w:lang w:eastAsia="zh-CN"/>
        </w:rPr>
        <w:t>。</w:t>
      </w:r>
    </w:p>
    <w:p w14:paraId="38543E58">
      <w:pPr>
        <w:pStyle w:val="5"/>
        <w:spacing w:before="0" w:beforeAutospacing="0" w:after="0" w:afterAutospacing="0" w:line="360" w:lineRule="auto"/>
        <w:ind w:firstLine="422" w:firstLineChars="200"/>
        <w:jc w:val="both"/>
        <w:rPr>
          <w:rFonts w:hint="eastAsia" w:eastAsia="宋体" w:cs="宋体"/>
          <w:b/>
          <w:bCs/>
          <w:color w:val="auto"/>
          <w:sz w:val="21"/>
          <w:szCs w:val="21"/>
          <w:highlight w:val="none"/>
        </w:rPr>
      </w:pPr>
      <w:r>
        <w:rPr>
          <w:rFonts w:hint="eastAsia" w:eastAsia="宋体" w:cs="宋体"/>
          <w:b/>
          <w:bCs/>
          <w:color w:val="auto"/>
          <w:sz w:val="21"/>
          <w:szCs w:val="21"/>
          <w:highlight w:val="none"/>
        </w:rPr>
        <w:sym w:font="Wingdings 2" w:char="00A3"/>
      </w:r>
      <w:r>
        <w:rPr>
          <w:rFonts w:hint="eastAsia" w:eastAsia="宋体" w:cs="宋体"/>
          <w:b/>
          <w:bCs/>
          <w:color w:val="auto"/>
          <w:sz w:val="21"/>
          <w:szCs w:val="21"/>
          <w:highlight w:val="none"/>
        </w:rPr>
        <w:t xml:space="preserve"> 采取</w:t>
      </w:r>
      <w:r>
        <w:rPr>
          <w:rFonts w:hint="eastAsia" w:eastAsia="宋体" w:cs="宋体"/>
          <w:b/>
          <w:bCs/>
          <w:color w:val="auto"/>
          <w:sz w:val="21"/>
          <w:szCs w:val="21"/>
          <w:highlight w:val="none"/>
          <w:lang w:val="en-US" w:eastAsia="zh-CN"/>
        </w:rPr>
        <w:t>预付款监管账户</w:t>
      </w:r>
      <w:r>
        <w:rPr>
          <w:rFonts w:hint="eastAsia" w:eastAsia="宋体" w:cs="宋体"/>
          <w:b/>
          <w:bCs/>
          <w:color w:val="auto"/>
          <w:sz w:val="21"/>
          <w:szCs w:val="21"/>
          <w:highlight w:val="none"/>
        </w:rPr>
        <w:t>方式：</w:t>
      </w:r>
      <w:r>
        <w:rPr>
          <w:rFonts w:hint="eastAsia" w:eastAsia="宋体" w:cs="宋体"/>
          <w:b/>
          <w:bCs/>
          <w:color w:val="auto"/>
          <w:sz w:val="21"/>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w:t>
      </w:r>
      <w:r>
        <w:rPr>
          <w:rFonts w:hint="eastAsia" w:ascii="宋体" w:hAnsi="宋体" w:eastAsia="宋体" w:cs="宋体"/>
          <w:b/>
          <w:bCs/>
          <w:color w:val="auto"/>
          <w:kern w:val="2"/>
          <w:sz w:val="21"/>
          <w:szCs w:val="21"/>
          <w:highlight w:val="none"/>
          <w:lang w:val="en-US" w:eastAsia="zh-CN"/>
        </w:rPr>
        <w:t>取消中标人中标资格</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并要求</w:t>
      </w:r>
      <w:r>
        <w:rPr>
          <w:rFonts w:hint="eastAsia" w:ascii="宋体" w:hAnsi="宋体" w:eastAsia="宋体" w:cs="宋体"/>
          <w:b/>
          <w:bCs/>
          <w:color w:val="auto"/>
          <w:sz w:val="21"/>
          <w:szCs w:val="21"/>
          <w:highlight w:val="none"/>
          <w:lang w:eastAsia="zh-CN"/>
        </w:rPr>
        <w:t>中</w:t>
      </w:r>
      <w:r>
        <w:rPr>
          <w:rFonts w:hint="eastAsia" w:eastAsia="宋体" w:cs="宋体"/>
          <w:b/>
          <w:bCs/>
          <w:color w:val="auto"/>
          <w:sz w:val="21"/>
          <w:szCs w:val="21"/>
          <w:highlight w:val="none"/>
          <w:lang w:eastAsia="zh-CN"/>
        </w:rPr>
        <w:t>标人</w:t>
      </w:r>
      <w:r>
        <w:rPr>
          <w:rFonts w:hint="eastAsia" w:eastAsia="宋体" w:cs="宋体"/>
          <w:b/>
          <w:bCs/>
          <w:color w:val="auto"/>
          <w:sz w:val="21"/>
          <w:szCs w:val="21"/>
          <w:highlight w:val="none"/>
        </w:rPr>
        <w:t>按合同总价的5%</w:t>
      </w:r>
      <w:r>
        <w:rPr>
          <w:rFonts w:hint="eastAsia" w:eastAsia="宋体" w:cs="宋体"/>
          <w:b/>
          <w:bCs/>
          <w:color w:val="auto"/>
          <w:sz w:val="21"/>
          <w:szCs w:val="21"/>
          <w:highlight w:val="none"/>
          <w:lang w:val="en-US" w:eastAsia="zh-CN"/>
        </w:rPr>
        <w:t>支付</w:t>
      </w:r>
      <w:r>
        <w:rPr>
          <w:rFonts w:hint="eastAsia" w:eastAsia="宋体" w:cs="宋体"/>
          <w:b/>
          <w:bCs/>
          <w:color w:val="auto"/>
          <w:sz w:val="21"/>
          <w:szCs w:val="21"/>
          <w:highlight w:val="none"/>
        </w:rPr>
        <w:t>违约金</w:t>
      </w:r>
      <w:r>
        <w:rPr>
          <w:rFonts w:hint="eastAsia" w:eastAsia="宋体" w:cs="宋体"/>
          <w:b/>
          <w:bCs/>
          <w:color w:val="auto"/>
          <w:sz w:val="21"/>
          <w:szCs w:val="21"/>
          <w:highlight w:val="none"/>
          <w:lang w:val="en-US" w:eastAsia="zh-CN"/>
        </w:rPr>
        <w:t>。</w:t>
      </w:r>
    </w:p>
    <w:p w14:paraId="3F199499">
      <w:pPr>
        <w:pStyle w:val="5"/>
        <w:spacing w:before="0" w:beforeAutospacing="0" w:after="0" w:afterAutospacing="0" w:line="360" w:lineRule="auto"/>
        <w:ind w:firstLine="422" w:firstLineChars="200"/>
        <w:jc w:val="both"/>
        <w:rPr>
          <w:rFonts w:hint="eastAsia" w:eastAsia="宋体" w:cs="宋体"/>
          <w:b/>
          <w:bCs/>
          <w:color w:val="auto"/>
          <w:sz w:val="21"/>
          <w:szCs w:val="21"/>
          <w:highlight w:val="none"/>
        </w:rPr>
      </w:pPr>
      <w:r>
        <w:rPr>
          <w:rFonts w:hint="eastAsia" w:eastAsia="宋体" w:cs="宋体"/>
          <w:b/>
          <w:bCs/>
          <w:color w:val="auto"/>
          <w:sz w:val="21"/>
          <w:szCs w:val="21"/>
          <w:highlight w:val="none"/>
        </w:rPr>
        <w:sym w:font="Wingdings 2" w:char="00A3"/>
      </w:r>
      <w:r>
        <w:rPr>
          <w:rFonts w:hint="eastAsia" w:eastAsia="宋体" w:cs="宋体"/>
          <w:b/>
          <w:bCs/>
          <w:color w:val="auto"/>
          <w:sz w:val="21"/>
          <w:szCs w:val="21"/>
          <w:highlight w:val="none"/>
        </w:rPr>
        <w:t xml:space="preserve"> 采取预付款银行保函方式：</w:t>
      </w:r>
      <w:r>
        <w:rPr>
          <w:rFonts w:hint="eastAsia" w:eastAsia="宋体" w:cs="宋体"/>
          <w:b/>
          <w:bCs/>
          <w:color w:val="auto"/>
          <w:sz w:val="21"/>
          <w:szCs w:val="21"/>
          <w:highlight w:val="none"/>
          <w:lang w:val="en-US" w:eastAsia="zh-CN"/>
        </w:rPr>
        <w:t>中标人须于合同签订后28个自然日内向招标人提供与预付款</w:t>
      </w:r>
      <w:r>
        <w:rPr>
          <w:rFonts w:hint="eastAsia" w:eastAsia="宋体" w:cs="宋体"/>
          <w:b/>
          <w:bCs/>
          <w:color w:val="auto"/>
          <w:sz w:val="21"/>
          <w:szCs w:val="21"/>
          <w:highlight w:val="none"/>
        </w:rPr>
        <w:t>金额等额</w:t>
      </w:r>
      <w:r>
        <w:rPr>
          <w:rFonts w:hint="eastAsia" w:eastAsia="宋体" w:cs="宋体"/>
          <w:b/>
          <w:bCs/>
          <w:color w:val="auto"/>
          <w:sz w:val="21"/>
          <w:szCs w:val="21"/>
          <w:highlight w:val="none"/>
          <w:lang w:val="en-US" w:eastAsia="zh-CN"/>
        </w:rPr>
        <w:t>的</w:t>
      </w:r>
      <w:r>
        <w:rPr>
          <w:rFonts w:hint="eastAsia" w:eastAsia="宋体" w:cs="宋体"/>
          <w:b/>
          <w:bCs/>
          <w:color w:val="auto"/>
          <w:sz w:val="21"/>
          <w:szCs w:val="21"/>
          <w:highlight w:val="none"/>
        </w:rPr>
        <w:t>预付款银行保函</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lang w:val="en-US" w:eastAsia="zh-CN"/>
        </w:rPr>
        <w:t>有效期限不少于6个月）。</w:t>
      </w:r>
      <w:r>
        <w:rPr>
          <w:rFonts w:hint="eastAsia" w:eastAsia="宋体" w:cs="宋体"/>
          <w:b/>
          <w:bCs/>
          <w:color w:val="auto"/>
          <w:sz w:val="21"/>
          <w:szCs w:val="21"/>
          <w:highlight w:val="none"/>
        </w:rPr>
        <w:t>在依法完成本项目的全部供货且</w:t>
      </w:r>
      <w:r>
        <w:rPr>
          <w:rFonts w:hint="eastAsia" w:eastAsia="宋体" w:cs="宋体"/>
          <w:b/>
          <w:bCs/>
          <w:color w:val="auto"/>
          <w:sz w:val="21"/>
          <w:szCs w:val="21"/>
          <w:highlight w:val="none"/>
          <w:lang w:val="en-US" w:eastAsia="zh-CN"/>
        </w:rPr>
        <w:t>验收合格并</w:t>
      </w:r>
      <w:r>
        <w:rPr>
          <w:rFonts w:hint="eastAsia" w:eastAsia="宋体" w:cs="宋体"/>
          <w:b/>
          <w:bCs/>
          <w:color w:val="auto"/>
          <w:sz w:val="21"/>
          <w:szCs w:val="21"/>
          <w:highlight w:val="none"/>
        </w:rPr>
        <w:t>结算完毕满28</w:t>
      </w:r>
      <w:r>
        <w:rPr>
          <w:rFonts w:hint="eastAsia" w:eastAsia="宋体" w:cs="宋体"/>
          <w:b/>
          <w:bCs/>
          <w:color w:val="auto"/>
          <w:sz w:val="21"/>
          <w:szCs w:val="21"/>
          <w:highlight w:val="none"/>
          <w:lang w:val="en-US" w:eastAsia="zh-CN"/>
        </w:rPr>
        <w:t>个自然日</w:t>
      </w:r>
      <w:r>
        <w:rPr>
          <w:rFonts w:hint="eastAsia" w:eastAsia="宋体" w:cs="宋体"/>
          <w:b/>
          <w:bCs/>
          <w:color w:val="auto"/>
          <w:sz w:val="21"/>
          <w:szCs w:val="21"/>
          <w:highlight w:val="none"/>
        </w:rPr>
        <w:t>后，</w:t>
      </w:r>
      <w:r>
        <w:rPr>
          <w:rFonts w:hint="eastAsia" w:eastAsia="宋体" w:cs="宋体"/>
          <w:b/>
          <w:bCs/>
          <w:color w:val="auto"/>
          <w:sz w:val="21"/>
          <w:szCs w:val="21"/>
          <w:highlight w:val="none"/>
          <w:lang w:eastAsia="zh-CN"/>
        </w:rPr>
        <w:t>中标人</w:t>
      </w:r>
      <w:r>
        <w:rPr>
          <w:rFonts w:hint="eastAsia" w:eastAsia="宋体" w:cs="宋体"/>
          <w:b/>
          <w:bCs/>
          <w:color w:val="auto"/>
          <w:sz w:val="21"/>
          <w:szCs w:val="21"/>
          <w:highlight w:val="none"/>
        </w:rPr>
        <w:t>可向</w:t>
      </w:r>
      <w:r>
        <w:rPr>
          <w:rFonts w:hint="eastAsia" w:eastAsia="宋体" w:cs="宋体"/>
          <w:b/>
          <w:bCs/>
          <w:color w:val="auto"/>
          <w:sz w:val="21"/>
          <w:szCs w:val="21"/>
          <w:highlight w:val="none"/>
          <w:lang w:eastAsia="zh-CN"/>
        </w:rPr>
        <w:t>招标人</w:t>
      </w:r>
      <w:r>
        <w:rPr>
          <w:rFonts w:hint="eastAsia" w:eastAsia="宋体" w:cs="宋体"/>
          <w:b/>
          <w:bCs/>
          <w:color w:val="auto"/>
          <w:sz w:val="21"/>
          <w:szCs w:val="21"/>
          <w:highlight w:val="none"/>
        </w:rPr>
        <w:t>提交退回</w:t>
      </w:r>
      <w:r>
        <w:rPr>
          <w:rFonts w:hint="eastAsia" w:eastAsia="宋体" w:cs="宋体"/>
          <w:b/>
          <w:bCs/>
          <w:color w:val="auto"/>
          <w:sz w:val="21"/>
          <w:szCs w:val="21"/>
          <w:highlight w:val="none"/>
          <w:lang w:val="en-US" w:eastAsia="zh-CN"/>
        </w:rPr>
        <w:t>预付款保函</w:t>
      </w:r>
      <w:r>
        <w:rPr>
          <w:rFonts w:hint="eastAsia" w:eastAsia="宋体" w:cs="宋体"/>
          <w:b/>
          <w:bCs/>
          <w:color w:val="auto"/>
          <w:sz w:val="21"/>
          <w:szCs w:val="21"/>
          <w:highlight w:val="none"/>
        </w:rPr>
        <w:t>的申请</w:t>
      </w:r>
      <w:r>
        <w:rPr>
          <w:rFonts w:hint="eastAsia" w:eastAsia="宋体" w:cs="宋体"/>
          <w:b/>
          <w:bCs/>
          <w:color w:val="auto"/>
          <w:sz w:val="21"/>
          <w:szCs w:val="21"/>
          <w:highlight w:val="none"/>
          <w:lang w:eastAsia="zh-CN"/>
        </w:rPr>
        <w:t>，招标人</w:t>
      </w:r>
      <w:r>
        <w:rPr>
          <w:rFonts w:hint="eastAsia" w:eastAsia="宋体" w:cs="宋体"/>
          <w:b/>
          <w:bCs/>
          <w:color w:val="auto"/>
          <w:sz w:val="21"/>
          <w:szCs w:val="21"/>
          <w:highlight w:val="none"/>
        </w:rPr>
        <w:t>审核无异议后，</w:t>
      </w:r>
      <w:r>
        <w:rPr>
          <w:rFonts w:hint="eastAsia" w:eastAsia="宋体" w:cs="宋体"/>
          <w:b/>
          <w:bCs/>
          <w:color w:val="auto"/>
          <w:sz w:val="21"/>
          <w:szCs w:val="21"/>
          <w:highlight w:val="none"/>
          <w:lang w:val="en-US" w:eastAsia="zh-CN"/>
        </w:rPr>
        <w:t>可</w:t>
      </w:r>
      <w:r>
        <w:rPr>
          <w:rFonts w:hint="eastAsia" w:eastAsia="宋体" w:cs="宋体"/>
          <w:b/>
          <w:bCs/>
          <w:color w:val="auto"/>
          <w:sz w:val="21"/>
          <w:szCs w:val="21"/>
          <w:highlight w:val="none"/>
        </w:rPr>
        <w:t>办理预付款银行保函退还手续</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lang w:val="en-US" w:eastAsia="zh-CN"/>
        </w:rPr>
        <w:t>若中标人未按要求提交预付款银行保函的，招标人有权要求中标人在5个自然日内全额退还招标人已支付的预付款，并全额提取中标人</w:t>
      </w:r>
      <w:r>
        <w:rPr>
          <w:rFonts w:hint="eastAsia" w:eastAsia="宋体" w:cs="宋体"/>
          <w:b/>
          <w:bCs/>
          <w:color w:val="auto"/>
          <w:sz w:val="21"/>
          <w:szCs w:val="21"/>
          <w:highlight w:val="none"/>
        </w:rPr>
        <w:t>的履约担保</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lang w:val="en-US" w:eastAsia="zh-CN"/>
        </w:rPr>
        <w:t>同时招标人有权单方解除合同。</w:t>
      </w:r>
    </w:p>
    <w:p w14:paraId="587D282B">
      <w:pPr>
        <w:pStyle w:val="5"/>
        <w:spacing w:before="0" w:beforeAutospacing="0" w:after="0" w:afterAutospacing="0" w:line="360" w:lineRule="auto"/>
        <w:ind w:firstLine="420" w:firstLineChars="200"/>
        <w:jc w:val="both"/>
        <w:rPr>
          <w:rFonts w:hint="eastAsia" w:eastAsia="宋体" w:cs="宋体"/>
          <w:color w:val="auto"/>
          <w:sz w:val="21"/>
          <w:szCs w:val="21"/>
          <w:highlight w:val="none"/>
          <w:lang w:val="en-US" w:eastAsia="zh-CN"/>
        </w:rPr>
      </w:pPr>
      <w:r>
        <w:rPr>
          <w:rFonts w:hint="eastAsia" w:eastAsia="宋体" w:cs="宋体"/>
          <w:color w:val="auto"/>
          <w:sz w:val="21"/>
          <w:szCs w:val="21"/>
          <w:highlight w:val="none"/>
          <w:lang w:val="en-US" w:eastAsia="zh-CN"/>
        </w:rPr>
        <w:t>②当预付款比例不超过合同含税总价10%（含）时，中标人无需开设预付款监管账户或提供</w:t>
      </w:r>
      <w:r>
        <w:rPr>
          <w:rFonts w:hint="eastAsia" w:eastAsia="宋体" w:cs="宋体"/>
          <w:color w:val="auto"/>
          <w:sz w:val="21"/>
          <w:szCs w:val="21"/>
          <w:highlight w:val="none"/>
        </w:rPr>
        <w:t>预付款银行保函</w:t>
      </w:r>
      <w:r>
        <w:rPr>
          <w:rFonts w:hint="eastAsia" w:eastAsia="宋体" w:cs="宋体"/>
          <w:color w:val="auto"/>
          <w:sz w:val="21"/>
          <w:szCs w:val="21"/>
          <w:highlight w:val="none"/>
          <w:lang w:eastAsia="zh-CN"/>
        </w:rPr>
        <w:t>。</w:t>
      </w:r>
    </w:p>
    <w:p w14:paraId="4F67DB31">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（2）验收款：</w:t>
      </w:r>
    </w:p>
    <w:p w14:paraId="29DBD420">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1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①</w:t>
      </w:r>
      <w:r>
        <w:rPr>
          <w:rFonts w:hint="eastAsia" w:eastAsia="宋体" w:cs="宋体"/>
          <w:color w:val="auto"/>
          <w:sz w:val="21"/>
          <w:szCs w:val="21"/>
          <w:highlight w:val="none"/>
        </w:rPr>
        <w:fldChar w:fldCharType="end"/>
      </w:r>
      <w:r>
        <w:rPr>
          <w:rFonts w:hint="eastAsia"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eastAsia="宋体" w:cs="宋体"/>
          <w:color w:val="auto"/>
          <w:sz w:val="21"/>
          <w:szCs w:val="21"/>
          <w:highlight w:val="none"/>
        </w:rPr>
        <w:t>并提供100%结算价的等额有效的增值税专用发票原件，招标人在二十个工作日内支付至结算价的95％，剩余结算价的5％用作质保金。</w:t>
      </w:r>
    </w:p>
    <w:p w14:paraId="6713BC7B">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2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②</w:t>
      </w:r>
      <w:r>
        <w:rPr>
          <w:rFonts w:hint="eastAsia" w:eastAsia="宋体" w:cs="宋体"/>
          <w:color w:val="auto"/>
          <w:sz w:val="21"/>
          <w:szCs w:val="21"/>
          <w:highlight w:val="none"/>
        </w:rPr>
        <w:fldChar w:fldCharType="end"/>
      </w:r>
      <w:r>
        <w:rPr>
          <w:rFonts w:hint="eastAsia"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eastAsia="宋体" w:cs="宋体"/>
          <w:color w:val="auto"/>
          <w:sz w:val="21"/>
          <w:szCs w:val="21"/>
          <w:highlight w:val="none"/>
        </w:rPr>
        <w:t>并提供100%结算价等额有效的增值税专用发票原件，并提供结算价5%且有效期至质保期满的</w:t>
      </w:r>
      <w:r>
        <w:rPr>
          <w:rFonts w:hint="eastAsia" w:eastAsia="宋体" w:cs="宋体"/>
          <w:bCs/>
          <w:color w:val="auto"/>
          <w:sz w:val="21"/>
          <w:szCs w:val="21"/>
          <w:highlight w:val="none"/>
        </w:rPr>
        <w:t>不可撤销质量保函</w:t>
      </w:r>
      <w:r>
        <w:rPr>
          <w:rFonts w:hint="eastAsia" w:eastAsia="宋体" w:cs="宋体"/>
          <w:color w:val="auto"/>
          <w:sz w:val="21"/>
          <w:szCs w:val="21"/>
          <w:highlight w:val="none"/>
        </w:rPr>
        <w:t>后二十个工作日内，招标人向中标人支付至结算价的100％价款。</w:t>
      </w:r>
    </w:p>
    <w:p w14:paraId="52DBDD74">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（3）质保款：</w:t>
      </w:r>
    </w:p>
    <w:p w14:paraId="64D054DD">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1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①</w:t>
      </w:r>
      <w:r>
        <w:rPr>
          <w:rFonts w:hint="eastAsia" w:eastAsia="宋体" w:cs="宋体"/>
          <w:color w:val="auto"/>
          <w:sz w:val="21"/>
          <w:szCs w:val="21"/>
          <w:highlight w:val="none"/>
        </w:rPr>
        <w:fldChar w:fldCharType="end"/>
      </w:r>
      <w:r>
        <w:rPr>
          <w:rFonts w:hint="eastAsia" w:eastAsia="宋体" w:cs="宋体"/>
          <w:color w:val="auto"/>
          <w:sz w:val="21"/>
          <w:szCs w:val="21"/>
          <w:highlight w:val="none"/>
        </w:rPr>
        <w:t>采取预留质保金方式的，车辆质保期满后，经招标人审核确认中标人提供的车辆无质量问题且中标人无违约行为，中标人提交请款报告并出具前述100%结算价款金额的等额有效的增值税专用发票复印件后二十个工作日内，招标人向中标人支付合同结算价剩余款项；</w:t>
      </w:r>
    </w:p>
    <w:p w14:paraId="2FBE6A25">
      <w:pPr>
        <w:pStyle w:val="5"/>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2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②</w:t>
      </w:r>
      <w:r>
        <w:rPr>
          <w:rFonts w:hint="eastAsia" w:eastAsia="宋体" w:cs="宋体"/>
          <w:color w:val="auto"/>
          <w:sz w:val="21"/>
          <w:szCs w:val="21"/>
          <w:highlight w:val="none"/>
        </w:rPr>
        <w:fldChar w:fldCharType="end"/>
      </w:r>
      <w:r>
        <w:rPr>
          <w:rFonts w:hint="eastAsia" w:eastAsia="宋体" w:cs="宋体"/>
          <w:color w:val="auto"/>
          <w:sz w:val="21"/>
          <w:szCs w:val="21"/>
          <w:highlight w:val="none"/>
        </w:rPr>
        <w:t>采取不可撤销质量保函方式的，车辆质保期满后，由中标人提出退回不可撤销质量保函申请，经招标人审核确认中标人车辆无质量问题且中标人无违约行为，由招标人退回不可撤销质量保函。</w:t>
      </w:r>
    </w:p>
    <w:p w14:paraId="2CEC3C5D">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八、质保、售后服务要求</w:t>
      </w:r>
    </w:p>
    <w:p w14:paraId="23D716B8">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（一）质保：</w:t>
      </w:r>
    </w:p>
    <w:p w14:paraId="6B7ED5B8">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（1）质保内容划分：本项目车辆质保内容区分为主要核心部件质保和易损易耗零部件（附件3）质保。</w:t>
      </w:r>
    </w:p>
    <w:p w14:paraId="52FF7AEE">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（2）质保期：易损易耗零部件质保期限要求</w:t>
      </w:r>
      <w:r>
        <w:rPr>
          <w:rFonts w:hint="eastAsia" w:ascii="宋体" w:hAnsi="宋体" w:eastAsia="宋体" w:cs="宋体"/>
          <w:color w:val="auto"/>
          <w:sz w:val="21"/>
          <w:szCs w:val="21"/>
          <w:highlight w:val="none"/>
        </w:rPr>
        <w:t>按附件3执行，投标人提供的产品用户使用说明书中的零部件保修期限表与附件3时间不一致的，以保修期较长的执行。除附件3所列项之外的均为</w:t>
      </w:r>
      <w:r>
        <w:rPr>
          <w:rFonts w:hint="eastAsia" w:eastAsia="宋体" w:cs="宋体"/>
          <w:color w:val="auto"/>
          <w:sz w:val="21"/>
          <w:szCs w:val="21"/>
          <w:highlight w:val="none"/>
        </w:rPr>
        <w:t>主要核心部件</w:t>
      </w:r>
      <w:r>
        <w:rPr>
          <w:rFonts w:hint="eastAsia" w:cs="宋体"/>
          <w:color w:val="auto"/>
          <w:sz w:val="21"/>
          <w:szCs w:val="21"/>
          <w:highlight w:val="none"/>
        </w:rPr>
        <w:t>，</w:t>
      </w:r>
      <w:r>
        <w:rPr>
          <w:rFonts w:hint="eastAsia" w:eastAsia="宋体" w:cs="宋体"/>
          <w:color w:val="auto"/>
          <w:sz w:val="21"/>
          <w:szCs w:val="21"/>
          <w:highlight w:val="none"/>
        </w:rPr>
        <w:t>质保期为24个月（若投标人承诺质保期优于24个月的，则以投标人承诺质保期为准）；质保期限自车辆及随车设备经招标人在验收证明上签字确认验收合格之日起计算。”</w:t>
      </w:r>
    </w:p>
    <w:p w14:paraId="3BBE96F1">
      <w:pPr>
        <w:pStyle w:val="5"/>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（3）质保责任：</w:t>
      </w:r>
      <w:r>
        <w:rPr>
          <w:rFonts w:hint="eastAsia" w:ascii="宋体" w:hAnsi="宋体" w:eastAsia="宋体" w:cs="宋体"/>
          <w:color w:val="auto"/>
          <w:kern w:val="0"/>
          <w:sz w:val="21"/>
          <w:szCs w:val="21"/>
          <w:highlight w:val="none"/>
        </w:rPr>
        <w:t>按照国家规定的要求，在质保期内免费（包括但不限于为完成质保产生的拖车费、配件购置费、测试费、人工等各项费用）解决非</w:t>
      </w:r>
      <w:r>
        <w:rPr>
          <w:rFonts w:hint="eastAsia"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原因造成的质量问题，</w:t>
      </w:r>
      <w:r>
        <w:rPr>
          <w:rFonts w:hint="eastAsia"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lang w:eastAsia="zh-CN"/>
        </w:rPr>
        <w:t>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应进行免费维修、保修或更换配件，</w:t>
      </w:r>
      <w:r>
        <w:rPr>
          <w:rFonts w:hint="eastAsia"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免费提供维护、维修以及其它售后服务，不再收取任何费用。</w:t>
      </w:r>
    </w:p>
    <w:p w14:paraId="1A4B838A">
      <w:pPr>
        <w:pStyle w:val="3"/>
        <w:widowControl/>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color w:val="auto"/>
          <w:kern w:val="0"/>
          <w:sz w:val="21"/>
          <w:szCs w:val="21"/>
          <w:highlight w:val="none"/>
          <w:lang w:bidi="ar-SA"/>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14:paraId="132003C7">
      <w:pPr>
        <w:pStyle w:val="5"/>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（二）售后及保养：</w:t>
      </w:r>
    </w:p>
    <w:p w14:paraId="1D9F87D9">
      <w:pPr>
        <w:pStyle w:val="5"/>
        <w:spacing w:before="0" w:beforeAutospacing="0" w:after="0" w:afterAutospacing="0" w:line="360" w:lineRule="auto"/>
        <w:ind w:firstLine="422" w:firstLineChars="200"/>
        <w:jc w:val="both"/>
        <w:rPr>
          <w:rFonts w:eastAsia="宋体" w:cs="宋体"/>
          <w:color w:val="auto"/>
          <w:sz w:val="21"/>
          <w:szCs w:val="21"/>
          <w:highlight w:val="none"/>
        </w:rPr>
      </w:pPr>
      <w:r>
        <w:rPr>
          <w:rFonts w:hint="eastAsia" w:eastAsia="宋体" w:cs="宋体"/>
          <w:b/>
          <w:bCs/>
          <w:color w:val="auto"/>
          <w:sz w:val="21"/>
          <w:szCs w:val="21"/>
          <w:highlight w:val="none"/>
          <w:lang w:val="zh-CN"/>
        </w:rPr>
        <w:t>★</w:t>
      </w:r>
      <w:r>
        <w:rPr>
          <w:rFonts w:hint="eastAsia" w:eastAsia="宋体" w:cs="宋体"/>
          <w:color w:val="auto"/>
          <w:sz w:val="21"/>
          <w:szCs w:val="21"/>
          <w:highlight w:val="none"/>
        </w:rPr>
        <w:t>（1）</w:t>
      </w:r>
      <w:r>
        <w:rPr>
          <w:rFonts w:hint="eastAsia" w:eastAsia="宋体" w:cs="宋体"/>
          <w:b/>
          <w:bCs/>
          <w:color w:val="auto"/>
          <w:sz w:val="21"/>
          <w:szCs w:val="21"/>
          <w:highlight w:val="none"/>
        </w:rPr>
        <w:t>质保期内，中标人须根据车辆使用说明书或用户使用手册（中文）要求的频率及次数提供免费的整车保养及整体检查（机油、冷却液、刹车油以及车辆上装部分的润滑油脂等耗材均免费）。质保期内招标人对车辆及设备质保和保养、售后服务方式提出需要中标人上门服务的，中标人需无条件配合，派员到招标人指定现场维修，由此产生一切费用均由中标人承担。</w:t>
      </w:r>
    </w:p>
    <w:p w14:paraId="5CC8FB69">
      <w:pPr>
        <w:pStyle w:val="5"/>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2）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05EF1A08">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0746B231">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4）在质保期内，非人为原因造成车辆出现严重故障、影响正常运行的情况下，应进行免费修复。如发现故障5天内无法修复，或一个故障累计出现超过三次（含三次），或累计经三次维修后仍无法正常运行的，招标人有权收取罚款10000元/次。</w:t>
      </w:r>
    </w:p>
    <w:p w14:paraId="23A8416A">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5）质保期内全部服务费（含更换零部件，达到用户需求书及合同约定条件的更换货物）和维修费及中标人技术服务人员的一切费用由中标人自理，包括但不限于为完成质保期的工作而产生的运费、购置费、测试费、人工等各项费用（包括进口关税和增值税等）。</w:t>
      </w:r>
    </w:p>
    <w:p w14:paraId="69340B12">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（6）车辆下装部分，中标人须根据招标人要求，在东莞市范围内提供不少于一个售后服务点，且须满足提供全部售后服务，否则按违反承诺处理。</w:t>
      </w:r>
    </w:p>
    <w:p w14:paraId="6844F094">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九、知识产权</w:t>
      </w:r>
    </w:p>
    <w:p w14:paraId="660F8BEA">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2370C0A2">
      <w:pPr>
        <w:pStyle w:val="5"/>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（二）招标价格已包括所有应支付的专利权和版权、设计或其他知识产权的使用费和版税。</w:t>
      </w:r>
    </w:p>
    <w:p w14:paraId="02838842">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十、违约责任</w:t>
      </w:r>
    </w:p>
    <w:p w14:paraId="477C48F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包括但不限于因查验、验收不合格等导致的逾期供货），招标人有权要求中标人限期整改，并按照5000元/日的标准支付违约金（最高不超过合同含税总价的5%），若三次整改不通过导致逾期超过供货及验收所约定时限的30个</w:t>
      </w:r>
      <w:r>
        <w:rPr>
          <w:rFonts w:hint="eastAsia" w:ascii="宋体" w:hAnsi="宋体" w:eastAsia="宋体" w:cs="宋体"/>
          <w:color w:val="auto"/>
          <w:sz w:val="21"/>
          <w:szCs w:val="21"/>
          <w:highlight w:val="none"/>
          <w:lang w:eastAsia="zh-CN"/>
        </w:rPr>
        <w:t>自然日</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除支付上述违约金外，招标人有权直接解除合同，同时要求中标人支付合同总价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%的违约金。</w:t>
      </w:r>
    </w:p>
    <w:p w14:paraId="134F187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经招标人1次书面警告后，5个自然日内无法完成整改的，招标人有权要求中标人支付违约金3000元/辆，并有权直接委托第三方对车辆进行喷涂，相关喷涂费用由中标人承担。</w:t>
      </w:r>
    </w:p>
    <w:p w14:paraId="524FA51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宋体"/>
          <w:color w:val="auto"/>
          <w:sz w:val="21"/>
          <w:szCs w:val="21"/>
          <w:highlight w:val="none"/>
          <w:lang w:val="en-US" w:eastAsia="zh-CN"/>
        </w:rPr>
        <w:t>中标人按照</w:t>
      </w:r>
      <w:r>
        <w:rPr>
          <w:rFonts w:hint="eastAsia" w:ascii="宋体" w:hAnsi="宋体" w:eastAsia="宋体" w:cs="宋体"/>
          <w:color w:val="auto"/>
          <w:szCs w:val="21"/>
          <w:highlight w:val="none"/>
        </w:rPr>
        <w:t>本条第1款承担违约责任，所造成的损失由中标人承担。</w:t>
      </w:r>
    </w:p>
    <w:p w14:paraId="0450E5E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w:t>
      </w:r>
      <w:r>
        <w:rPr>
          <w:rFonts w:hint="default" w:ascii="宋体" w:hAnsi="宋体" w:eastAsia="宋体" w:cs="宋体"/>
          <w:color w:val="auto"/>
          <w:sz w:val="21"/>
          <w:szCs w:val="21"/>
          <w:highlight w:val="none"/>
          <w:lang w:val="en-US"/>
        </w:rPr>
        <w:t>本需求</w:t>
      </w:r>
      <w:r>
        <w:rPr>
          <w:rFonts w:hint="eastAsia" w:ascii="宋体" w:hAnsi="宋体" w:eastAsia="宋体" w:cs="宋体"/>
          <w:color w:val="auto"/>
          <w:sz w:val="21"/>
          <w:szCs w:val="21"/>
          <w:highlight w:val="none"/>
        </w:rPr>
        <w:t>配合完成车辆查验或验收的，经招标人1次书面警告后，5个自然日内无法完成整改的，招标人有权要求中标人支付违约金20000元/次（最高不超过合同含税总价的5%）。逾期超过10个自然日未按要求完成整改的，招标人有权单方解除合同。</w:t>
      </w:r>
    </w:p>
    <w:p w14:paraId="32E54F2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发警告函，第三次（含第三次）以后，招标人有权要求中标人支付违约金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000元/次（最高不超过合同含税总价的5%）。</w:t>
      </w:r>
    </w:p>
    <w:p w14:paraId="6EDA31B9">
      <w:pPr>
        <w:spacing w:line="360" w:lineRule="auto"/>
        <w:ind w:firstLine="420" w:firstLineChars="200"/>
        <w:contextualSpacing/>
        <w:jc w:val="both"/>
        <w:rPr>
          <w:rFonts w:hint="eastAsia" w:ascii="宋体" w:hAnsi="宋体" w:eastAsia="宋体" w:cs="宋体"/>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提供与约定不符的货物、服务或其他与投标文件承诺不符的服务、货物或存在虚假承诺的，</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需严格按照</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要求进行整改直至满足合同及</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要求，如</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5个自然日内未完成整改工作，</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应每日按合同含税总价的2‰向</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支付违约金（最高不超过合同含税总价的5%），同时</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应当承担由此给</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造成的全部损失，包括但不限于律师费、诉讼费、保全费、执行费、差旅费、赔偿金等。</w:t>
      </w:r>
    </w:p>
    <w:p w14:paraId="377A4BF7">
      <w:pPr>
        <w:autoSpaceDE w:val="0"/>
        <w:autoSpaceDN w:val="0"/>
        <w:adjustRightInd w:val="0"/>
        <w:spacing w:line="360" w:lineRule="auto"/>
        <w:ind w:firstLine="420" w:firstLineChars="200"/>
        <w:rPr>
          <w:rFonts w:eastAsia="宋体" w:cs="宋体"/>
          <w:color w:val="auto"/>
          <w:szCs w:val="21"/>
          <w:highlight w:val="none"/>
        </w:rPr>
      </w:pPr>
      <w:r>
        <w:rPr>
          <w:rFonts w:eastAsia="宋体" w:cs="宋体"/>
          <w:color w:val="auto"/>
          <w:szCs w:val="21"/>
          <w:highlight w:val="none"/>
        </w:rPr>
        <w:br w:type="page"/>
      </w:r>
    </w:p>
    <w:p w14:paraId="7EBF9437">
      <w:pPr>
        <w:widowControl/>
        <w:jc w:val="left"/>
        <w:textAlignment w:val="center"/>
        <w:rPr>
          <w:rFonts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附件1：查验单</w:t>
      </w:r>
    </w:p>
    <w:tbl>
      <w:tblPr>
        <w:tblStyle w:val="7"/>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190"/>
        <w:gridCol w:w="4375"/>
        <w:gridCol w:w="1459"/>
        <w:gridCol w:w="1100"/>
      </w:tblGrid>
      <w:tr w14:paraId="6C10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7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A5CC">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查验单</w:t>
            </w:r>
          </w:p>
        </w:tc>
      </w:tr>
      <w:tr w14:paraId="4CCD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7B8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合同名称：</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6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5B3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222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采购单位：</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3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54A9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7C0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供货单位：</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664C">
            <w:pPr>
              <w:jc w:val="center"/>
              <w:rPr>
                <w:rFonts w:hint="eastAsia" w:ascii="宋体" w:hAnsi="宋体" w:eastAsia="宋体" w:cs="宋体"/>
                <w:i w:val="0"/>
                <w:iCs w:val="0"/>
                <w:color w:val="000000"/>
                <w:sz w:val="22"/>
                <w:szCs w:val="22"/>
                <w:highlight w:val="none"/>
                <w:u w:val="none"/>
              </w:rPr>
            </w:pPr>
          </w:p>
        </w:tc>
      </w:tr>
      <w:tr w14:paraId="3BC8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69E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设备名称：</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F2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4A0A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D67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车架号</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BD72">
            <w:pPr>
              <w:jc w:val="center"/>
              <w:rPr>
                <w:rFonts w:hint="eastAsia" w:ascii="宋体" w:hAnsi="宋体" w:eastAsia="宋体" w:cs="宋体"/>
                <w:i w:val="0"/>
                <w:iCs w:val="0"/>
                <w:color w:val="000000"/>
                <w:sz w:val="22"/>
                <w:szCs w:val="22"/>
                <w:highlight w:val="none"/>
                <w:u w:val="none"/>
              </w:rPr>
            </w:pPr>
          </w:p>
        </w:tc>
      </w:tr>
      <w:tr w14:paraId="44CB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AE0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5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162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投标文件参数要求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FB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是否</w:t>
            </w:r>
          </w:p>
          <w:p w14:paraId="62C5868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符合要求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729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60C5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61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3B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81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E4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0ECF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4F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9B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C3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1E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5C30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3B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6B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9C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35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55E6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03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25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68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34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1A5A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46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CC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B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51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F91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36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参加查收单位和代表：</w:t>
            </w:r>
          </w:p>
        </w:tc>
      </w:tr>
      <w:tr w14:paraId="59BD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71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采购单位查验意见</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DC461">
            <w:pPr>
              <w:jc w:val="center"/>
              <w:rPr>
                <w:rFonts w:hint="eastAsia" w:ascii="宋体" w:hAnsi="宋体" w:eastAsia="宋体" w:cs="宋体"/>
                <w:i w:val="0"/>
                <w:iCs w:val="0"/>
                <w:color w:val="000000"/>
                <w:sz w:val="22"/>
                <w:szCs w:val="22"/>
                <w:highlight w:val="none"/>
                <w:u w:val="none"/>
              </w:rPr>
            </w:pPr>
          </w:p>
        </w:tc>
      </w:tr>
      <w:tr w14:paraId="307A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B4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供货单位验查验意见</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C871">
            <w:pPr>
              <w:jc w:val="center"/>
              <w:rPr>
                <w:rFonts w:hint="eastAsia" w:ascii="宋体" w:hAnsi="宋体" w:eastAsia="宋体" w:cs="宋体"/>
                <w:i w:val="0"/>
                <w:iCs w:val="0"/>
                <w:color w:val="000000"/>
                <w:sz w:val="24"/>
                <w:szCs w:val="24"/>
                <w:highlight w:val="none"/>
                <w:u w:val="none"/>
              </w:rPr>
            </w:pPr>
          </w:p>
        </w:tc>
      </w:tr>
      <w:tr w14:paraId="66C9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1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第三方单位查验意见</w:t>
            </w:r>
          </w:p>
        </w:tc>
        <w:tc>
          <w:tcPr>
            <w:tcW w:w="6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E863">
            <w:pPr>
              <w:jc w:val="center"/>
              <w:rPr>
                <w:rFonts w:hint="eastAsia" w:ascii="宋体" w:hAnsi="宋体" w:eastAsia="宋体" w:cs="宋体"/>
                <w:i w:val="0"/>
                <w:iCs w:val="0"/>
                <w:color w:val="000000"/>
                <w:sz w:val="24"/>
                <w:szCs w:val="24"/>
                <w:highlight w:val="none"/>
                <w:u w:val="none"/>
              </w:rPr>
            </w:pPr>
          </w:p>
        </w:tc>
      </w:tr>
    </w:tbl>
    <w:p w14:paraId="09526DC8">
      <w:pPr>
        <w:autoSpaceDE w:val="0"/>
        <w:autoSpaceDN w:val="0"/>
        <w:adjustRightInd w:val="0"/>
        <w:spacing w:line="360" w:lineRule="auto"/>
        <w:rPr>
          <w:rFonts w:eastAsia="宋体" w:cs="宋体"/>
          <w:color w:val="auto"/>
          <w:szCs w:val="21"/>
          <w:highlight w:val="none"/>
        </w:rPr>
      </w:pPr>
    </w:p>
    <w:p w14:paraId="60BB01C3">
      <w:pPr>
        <w:autoSpaceDE w:val="0"/>
        <w:autoSpaceDN w:val="0"/>
        <w:adjustRightInd w:val="0"/>
        <w:spacing w:line="360" w:lineRule="auto"/>
        <w:rPr>
          <w:rFonts w:eastAsia="宋体" w:cs="宋体"/>
          <w:color w:val="auto"/>
          <w:szCs w:val="21"/>
          <w:highlight w:val="none"/>
        </w:rPr>
      </w:pPr>
      <w:r>
        <w:rPr>
          <w:rFonts w:eastAsia="宋体" w:cs="宋体"/>
          <w:color w:val="auto"/>
          <w:szCs w:val="21"/>
          <w:highlight w:val="none"/>
        </w:rPr>
        <w:br w:type="page"/>
      </w:r>
    </w:p>
    <w:p w14:paraId="68A17ECB">
      <w:pPr>
        <w:pStyle w:val="5"/>
        <w:widowControl w:val="0"/>
        <w:autoSpaceDE w:val="0"/>
        <w:autoSpaceDN w:val="0"/>
        <w:adjustRightInd w:val="0"/>
        <w:spacing w:before="0" w:beforeAutospacing="0" w:after="0" w:afterAutospacing="0" w:line="360" w:lineRule="auto"/>
        <w:rPr>
          <w:rFonts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附件2：验收单</w:t>
      </w:r>
    </w:p>
    <w:tbl>
      <w:tblPr>
        <w:tblStyle w:val="7"/>
        <w:tblW w:w="5285" w:type="pct"/>
        <w:tblInd w:w="0" w:type="dxa"/>
        <w:tblLayout w:type="autofit"/>
        <w:tblCellMar>
          <w:top w:w="0" w:type="dxa"/>
          <w:left w:w="108" w:type="dxa"/>
          <w:bottom w:w="0" w:type="dxa"/>
          <w:right w:w="108" w:type="dxa"/>
        </w:tblCellMar>
      </w:tblPr>
      <w:tblGrid>
        <w:gridCol w:w="831"/>
        <w:gridCol w:w="1459"/>
        <w:gridCol w:w="1949"/>
        <w:gridCol w:w="1836"/>
        <w:gridCol w:w="2081"/>
        <w:gridCol w:w="852"/>
      </w:tblGrid>
      <w:tr w14:paraId="19E32ED9">
        <w:tblPrEx>
          <w:tblCellMar>
            <w:top w:w="0" w:type="dxa"/>
            <w:left w:w="108" w:type="dxa"/>
            <w:bottom w:w="0" w:type="dxa"/>
            <w:right w:w="108" w:type="dxa"/>
          </w:tblCellMar>
        </w:tblPrEx>
        <w:trPr>
          <w:trHeight w:val="699"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105AC3E">
            <w:pPr>
              <w:widowControl/>
              <w:jc w:val="center"/>
              <w:textAlignment w:val="center"/>
              <w:rPr>
                <w:rFonts w:ascii="宋体" w:hAnsi="宋体" w:eastAsia="宋体" w:cs="宋体"/>
                <w:b/>
                <w:bCs/>
                <w:color w:val="auto"/>
                <w:sz w:val="40"/>
                <w:szCs w:val="40"/>
                <w:highlight w:val="none"/>
              </w:rPr>
            </w:pPr>
            <w:r>
              <w:rPr>
                <w:rFonts w:hint="eastAsia" w:ascii="宋体" w:hAnsi="宋体" w:eastAsia="宋体" w:cs="宋体"/>
                <w:b/>
                <w:bCs/>
                <w:color w:val="auto"/>
                <w:kern w:val="0"/>
                <w:sz w:val="40"/>
                <w:szCs w:val="40"/>
                <w:highlight w:val="none"/>
                <w:lang w:bidi="ar"/>
              </w:rPr>
              <w:t>验收单</w:t>
            </w:r>
          </w:p>
        </w:tc>
      </w:tr>
      <w:tr w14:paraId="7ED24ED5">
        <w:tblPrEx>
          <w:tblCellMar>
            <w:top w:w="0" w:type="dxa"/>
            <w:left w:w="108" w:type="dxa"/>
            <w:bottom w:w="0" w:type="dxa"/>
            <w:right w:w="108" w:type="dxa"/>
          </w:tblCellMar>
        </w:tblPrEx>
        <w:trPr>
          <w:trHeight w:val="515" w:hRule="atLeast"/>
        </w:trPr>
        <w:tc>
          <w:tcPr>
            <w:tcW w:w="1271" w:type="pct"/>
            <w:gridSpan w:val="2"/>
            <w:tcBorders>
              <w:top w:val="single" w:color="000000" w:sz="4" w:space="0"/>
              <w:left w:val="single" w:color="000000" w:sz="4" w:space="0"/>
              <w:bottom w:val="single" w:color="000000" w:sz="4" w:space="0"/>
              <w:right w:val="single" w:color="000000" w:sz="4" w:space="0"/>
            </w:tcBorders>
            <w:noWrap/>
            <w:vAlign w:val="center"/>
          </w:tcPr>
          <w:p w14:paraId="6B791C88">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合同名称：</w:t>
            </w:r>
          </w:p>
        </w:tc>
        <w:tc>
          <w:tcPr>
            <w:tcW w:w="3728" w:type="pct"/>
            <w:gridSpan w:val="4"/>
            <w:tcBorders>
              <w:top w:val="single" w:color="000000" w:sz="4" w:space="0"/>
              <w:left w:val="single" w:color="000000" w:sz="4" w:space="0"/>
              <w:bottom w:val="single" w:color="000000" w:sz="4" w:space="0"/>
              <w:right w:val="single" w:color="000000" w:sz="4" w:space="0"/>
            </w:tcBorders>
            <w:noWrap/>
            <w:vAlign w:val="center"/>
          </w:tcPr>
          <w:p w14:paraId="3AE4AF01">
            <w:pPr>
              <w:widowControl/>
              <w:jc w:val="center"/>
              <w:textAlignment w:val="center"/>
              <w:rPr>
                <w:rFonts w:ascii="宋体" w:hAnsi="宋体" w:eastAsia="宋体" w:cs="宋体"/>
                <w:color w:val="auto"/>
                <w:sz w:val="22"/>
                <w:highlight w:val="none"/>
              </w:rPr>
            </w:pPr>
          </w:p>
        </w:tc>
      </w:tr>
      <w:tr w14:paraId="6758BDFB">
        <w:tblPrEx>
          <w:tblCellMar>
            <w:top w:w="0" w:type="dxa"/>
            <w:left w:w="108" w:type="dxa"/>
            <w:bottom w:w="0" w:type="dxa"/>
            <w:right w:w="108" w:type="dxa"/>
          </w:tblCellMar>
        </w:tblPrEx>
        <w:trPr>
          <w:trHeight w:val="515" w:hRule="atLeast"/>
        </w:trPr>
        <w:tc>
          <w:tcPr>
            <w:tcW w:w="1271" w:type="pct"/>
            <w:gridSpan w:val="2"/>
            <w:tcBorders>
              <w:top w:val="single" w:color="000000" w:sz="4" w:space="0"/>
              <w:left w:val="single" w:color="000000" w:sz="4" w:space="0"/>
              <w:bottom w:val="single" w:color="000000" w:sz="4" w:space="0"/>
              <w:right w:val="single" w:color="000000" w:sz="4" w:space="0"/>
            </w:tcBorders>
            <w:noWrap/>
            <w:vAlign w:val="center"/>
          </w:tcPr>
          <w:p w14:paraId="052D0259">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采购单位：</w:t>
            </w:r>
          </w:p>
        </w:tc>
        <w:tc>
          <w:tcPr>
            <w:tcW w:w="3728" w:type="pct"/>
            <w:gridSpan w:val="4"/>
            <w:tcBorders>
              <w:top w:val="single" w:color="000000" w:sz="4" w:space="0"/>
              <w:left w:val="single" w:color="000000" w:sz="4" w:space="0"/>
              <w:bottom w:val="single" w:color="000000" w:sz="4" w:space="0"/>
              <w:right w:val="single" w:color="000000" w:sz="4" w:space="0"/>
            </w:tcBorders>
            <w:noWrap/>
            <w:vAlign w:val="center"/>
          </w:tcPr>
          <w:p w14:paraId="57F6C12B">
            <w:pPr>
              <w:widowControl/>
              <w:jc w:val="center"/>
              <w:textAlignment w:val="center"/>
              <w:rPr>
                <w:rFonts w:ascii="宋体" w:hAnsi="宋体" w:eastAsia="宋体" w:cs="宋体"/>
                <w:color w:val="auto"/>
                <w:sz w:val="22"/>
                <w:highlight w:val="none"/>
              </w:rPr>
            </w:pPr>
          </w:p>
        </w:tc>
      </w:tr>
      <w:tr w14:paraId="038A08C6">
        <w:tblPrEx>
          <w:tblCellMar>
            <w:top w:w="0" w:type="dxa"/>
            <w:left w:w="108" w:type="dxa"/>
            <w:bottom w:w="0" w:type="dxa"/>
            <w:right w:w="108" w:type="dxa"/>
          </w:tblCellMar>
        </w:tblPrEx>
        <w:trPr>
          <w:trHeight w:val="515" w:hRule="atLeast"/>
        </w:trPr>
        <w:tc>
          <w:tcPr>
            <w:tcW w:w="1271" w:type="pct"/>
            <w:gridSpan w:val="2"/>
            <w:tcBorders>
              <w:top w:val="single" w:color="000000" w:sz="4" w:space="0"/>
              <w:left w:val="single" w:color="000000" w:sz="4" w:space="0"/>
              <w:bottom w:val="single" w:color="000000" w:sz="4" w:space="0"/>
              <w:right w:val="single" w:color="000000" w:sz="4" w:space="0"/>
            </w:tcBorders>
            <w:noWrap/>
            <w:vAlign w:val="center"/>
          </w:tcPr>
          <w:p w14:paraId="756AC29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供货单位：</w:t>
            </w:r>
          </w:p>
        </w:tc>
        <w:tc>
          <w:tcPr>
            <w:tcW w:w="3728" w:type="pct"/>
            <w:gridSpan w:val="4"/>
            <w:tcBorders>
              <w:top w:val="single" w:color="000000" w:sz="4" w:space="0"/>
              <w:left w:val="single" w:color="000000" w:sz="4" w:space="0"/>
              <w:bottom w:val="single" w:color="000000" w:sz="4" w:space="0"/>
              <w:right w:val="single" w:color="000000" w:sz="4" w:space="0"/>
            </w:tcBorders>
            <w:noWrap/>
            <w:vAlign w:val="center"/>
          </w:tcPr>
          <w:p w14:paraId="161C8BBF">
            <w:pPr>
              <w:jc w:val="center"/>
              <w:rPr>
                <w:rFonts w:ascii="宋体" w:hAnsi="宋体" w:eastAsia="宋体" w:cs="宋体"/>
                <w:color w:val="auto"/>
                <w:sz w:val="22"/>
                <w:highlight w:val="none"/>
              </w:rPr>
            </w:pPr>
          </w:p>
        </w:tc>
      </w:tr>
      <w:tr w14:paraId="10F7F728">
        <w:tblPrEx>
          <w:tblCellMar>
            <w:top w:w="0" w:type="dxa"/>
            <w:left w:w="108" w:type="dxa"/>
            <w:bottom w:w="0" w:type="dxa"/>
            <w:right w:w="108" w:type="dxa"/>
          </w:tblCellMar>
        </w:tblPrEx>
        <w:trPr>
          <w:trHeight w:val="515" w:hRule="atLeast"/>
        </w:trPr>
        <w:tc>
          <w:tcPr>
            <w:tcW w:w="1271" w:type="pct"/>
            <w:gridSpan w:val="2"/>
            <w:tcBorders>
              <w:top w:val="single" w:color="000000" w:sz="4" w:space="0"/>
              <w:left w:val="single" w:color="000000" w:sz="4" w:space="0"/>
              <w:bottom w:val="single" w:color="000000" w:sz="4" w:space="0"/>
              <w:right w:val="single" w:color="000000" w:sz="4" w:space="0"/>
            </w:tcBorders>
            <w:noWrap/>
            <w:vAlign w:val="center"/>
          </w:tcPr>
          <w:p w14:paraId="42A19613">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设备名称：</w:t>
            </w:r>
          </w:p>
        </w:tc>
        <w:tc>
          <w:tcPr>
            <w:tcW w:w="3728" w:type="pct"/>
            <w:gridSpan w:val="4"/>
            <w:tcBorders>
              <w:top w:val="single" w:color="000000" w:sz="4" w:space="0"/>
              <w:left w:val="single" w:color="000000" w:sz="4" w:space="0"/>
              <w:bottom w:val="single" w:color="000000" w:sz="4" w:space="0"/>
              <w:right w:val="single" w:color="000000" w:sz="4" w:space="0"/>
            </w:tcBorders>
            <w:noWrap/>
            <w:vAlign w:val="center"/>
          </w:tcPr>
          <w:p w14:paraId="72DC240F">
            <w:pPr>
              <w:widowControl/>
              <w:jc w:val="center"/>
              <w:textAlignment w:val="center"/>
              <w:rPr>
                <w:rFonts w:ascii="宋体" w:hAnsi="宋体" w:eastAsia="宋体" w:cs="宋体"/>
                <w:color w:val="auto"/>
                <w:sz w:val="22"/>
                <w:highlight w:val="none"/>
              </w:rPr>
            </w:pPr>
          </w:p>
        </w:tc>
      </w:tr>
      <w:tr w14:paraId="78C49E26">
        <w:tblPrEx>
          <w:tblCellMar>
            <w:top w:w="0" w:type="dxa"/>
            <w:left w:w="108" w:type="dxa"/>
            <w:bottom w:w="0" w:type="dxa"/>
            <w:right w:w="108" w:type="dxa"/>
          </w:tblCellMar>
        </w:tblPrEx>
        <w:trPr>
          <w:trHeight w:val="515" w:hRule="atLeast"/>
        </w:trPr>
        <w:tc>
          <w:tcPr>
            <w:tcW w:w="1271" w:type="pct"/>
            <w:gridSpan w:val="2"/>
            <w:tcBorders>
              <w:top w:val="single" w:color="000000" w:sz="4" w:space="0"/>
              <w:left w:val="single" w:color="000000" w:sz="4" w:space="0"/>
              <w:bottom w:val="single" w:color="000000" w:sz="4" w:space="0"/>
              <w:right w:val="single" w:color="000000" w:sz="4" w:space="0"/>
            </w:tcBorders>
            <w:noWrap/>
            <w:vAlign w:val="center"/>
          </w:tcPr>
          <w:p w14:paraId="142D37D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车架号</w:t>
            </w:r>
          </w:p>
        </w:tc>
        <w:tc>
          <w:tcPr>
            <w:tcW w:w="3728" w:type="pct"/>
            <w:gridSpan w:val="4"/>
            <w:tcBorders>
              <w:top w:val="single" w:color="000000" w:sz="4" w:space="0"/>
              <w:left w:val="single" w:color="000000" w:sz="4" w:space="0"/>
              <w:bottom w:val="single" w:color="000000" w:sz="4" w:space="0"/>
              <w:right w:val="single" w:color="000000" w:sz="4" w:space="0"/>
            </w:tcBorders>
            <w:noWrap/>
            <w:vAlign w:val="center"/>
          </w:tcPr>
          <w:p w14:paraId="6CE4AC7F">
            <w:pPr>
              <w:jc w:val="center"/>
              <w:rPr>
                <w:rFonts w:ascii="宋体" w:hAnsi="宋体" w:eastAsia="宋体" w:cs="宋体"/>
                <w:color w:val="auto"/>
                <w:sz w:val="22"/>
                <w:highlight w:val="none"/>
              </w:rPr>
            </w:pPr>
          </w:p>
        </w:tc>
      </w:tr>
      <w:tr w14:paraId="4C925971">
        <w:tblPrEx>
          <w:tblCellMar>
            <w:top w:w="0" w:type="dxa"/>
            <w:left w:w="108" w:type="dxa"/>
            <w:bottom w:w="0" w:type="dxa"/>
            <w:right w:w="108" w:type="dxa"/>
          </w:tblCellMar>
        </w:tblPrEx>
        <w:trPr>
          <w:trHeight w:val="1038"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113E147F">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892" w:type="pct"/>
            <w:gridSpan w:val="2"/>
            <w:tcBorders>
              <w:top w:val="single" w:color="000000" w:sz="4" w:space="0"/>
              <w:left w:val="single" w:color="000000" w:sz="4" w:space="0"/>
              <w:bottom w:val="single" w:color="000000" w:sz="4" w:space="0"/>
              <w:right w:val="single" w:color="000000" w:sz="4" w:space="0"/>
            </w:tcBorders>
            <w:noWrap/>
            <w:vAlign w:val="center"/>
          </w:tcPr>
          <w:p w14:paraId="66C041F1">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投标文件参数要求</w:t>
            </w: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2857A984">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现场验收情况</w:t>
            </w:r>
          </w:p>
        </w:tc>
        <w:tc>
          <w:tcPr>
            <w:tcW w:w="1155" w:type="pct"/>
            <w:tcBorders>
              <w:top w:val="single" w:color="000000" w:sz="4" w:space="0"/>
              <w:left w:val="single" w:color="000000" w:sz="4" w:space="0"/>
              <w:bottom w:val="single" w:color="000000" w:sz="4" w:space="0"/>
              <w:right w:val="single" w:color="000000" w:sz="4" w:space="0"/>
            </w:tcBorders>
            <w:noWrap w:val="0"/>
            <w:vAlign w:val="center"/>
          </w:tcPr>
          <w:p w14:paraId="5ABC27B3">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w:t>
            </w:r>
            <w:r>
              <w:rPr>
                <w:rFonts w:hint="eastAsia" w:ascii="宋体" w:hAnsi="宋体" w:eastAsia="宋体" w:cs="宋体"/>
                <w:b/>
                <w:bCs/>
                <w:color w:val="auto"/>
                <w:kern w:val="0"/>
                <w:sz w:val="24"/>
                <w:szCs w:val="24"/>
                <w:highlight w:val="none"/>
                <w:lang w:bidi="ar"/>
              </w:rPr>
              <w:br w:type="textWrapping"/>
            </w:r>
            <w:r>
              <w:rPr>
                <w:rFonts w:hint="eastAsia" w:ascii="宋体" w:hAnsi="宋体" w:eastAsia="宋体" w:cs="宋体"/>
                <w:b/>
                <w:bCs/>
                <w:color w:val="auto"/>
                <w:kern w:val="0"/>
                <w:sz w:val="24"/>
                <w:szCs w:val="24"/>
                <w:highlight w:val="none"/>
                <w:lang w:bidi="ar"/>
              </w:rPr>
              <w:t>符合要求</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B2991FB">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3330995F">
        <w:tblPrEx>
          <w:tblCellMar>
            <w:top w:w="0" w:type="dxa"/>
            <w:left w:w="108" w:type="dxa"/>
            <w:bottom w:w="0" w:type="dxa"/>
            <w:right w:w="108" w:type="dxa"/>
          </w:tblCellMar>
        </w:tblPrEx>
        <w:trPr>
          <w:trHeight w:val="515"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762A2B7B">
            <w:pPr>
              <w:widowControl/>
              <w:jc w:val="center"/>
              <w:textAlignment w:val="center"/>
              <w:rPr>
                <w:rFonts w:hint="eastAsia" w:ascii="宋体" w:hAnsi="宋体" w:eastAsia="宋体" w:cs="宋体"/>
                <w:b/>
                <w:bCs/>
                <w:color w:val="auto"/>
                <w:kern w:val="0"/>
                <w:sz w:val="24"/>
                <w:szCs w:val="24"/>
                <w:highlight w:val="none"/>
                <w:lang w:bidi="ar"/>
              </w:rPr>
            </w:pPr>
          </w:p>
        </w:tc>
        <w:tc>
          <w:tcPr>
            <w:tcW w:w="1892" w:type="pct"/>
            <w:gridSpan w:val="2"/>
            <w:tcBorders>
              <w:top w:val="single" w:color="000000" w:sz="4" w:space="0"/>
              <w:left w:val="single" w:color="000000" w:sz="4" w:space="0"/>
              <w:bottom w:val="single" w:color="000000" w:sz="4" w:space="0"/>
              <w:right w:val="single" w:color="000000" w:sz="4" w:space="0"/>
            </w:tcBorders>
            <w:noWrap/>
            <w:vAlign w:val="center"/>
          </w:tcPr>
          <w:p w14:paraId="19E78A6B">
            <w:pPr>
              <w:widowControl/>
              <w:jc w:val="center"/>
              <w:textAlignment w:val="center"/>
              <w:rPr>
                <w:rFonts w:hint="eastAsia" w:ascii="宋体" w:hAnsi="宋体" w:eastAsia="宋体" w:cs="宋体"/>
                <w:b/>
                <w:bCs/>
                <w:color w:val="auto"/>
                <w:kern w:val="0"/>
                <w:sz w:val="24"/>
                <w:szCs w:val="24"/>
                <w:highlight w:val="none"/>
                <w:lang w:bidi="ar"/>
              </w:rPr>
            </w:pP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7B00D681">
            <w:pPr>
              <w:widowControl/>
              <w:jc w:val="center"/>
              <w:textAlignment w:val="center"/>
              <w:rPr>
                <w:rFonts w:hint="eastAsia" w:ascii="宋体" w:hAnsi="宋体" w:eastAsia="宋体" w:cs="宋体"/>
                <w:b/>
                <w:bCs/>
                <w:color w:val="auto"/>
                <w:kern w:val="0"/>
                <w:sz w:val="24"/>
                <w:szCs w:val="24"/>
                <w:highlight w:val="none"/>
                <w:lang w:bidi="ar"/>
              </w:rPr>
            </w:pPr>
          </w:p>
        </w:tc>
        <w:tc>
          <w:tcPr>
            <w:tcW w:w="1155" w:type="pct"/>
            <w:tcBorders>
              <w:top w:val="single" w:color="000000" w:sz="4" w:space="0"/>
              <w:left w:val="single" w:color="000000" w:sz="4" w:space="0"/>
              <w:bottom w:val="single" w:color="000000" w:sz="4" w:space="0"/>
              <w:right w:val="single" w:color="000000" w:sz="4" w:space="0"/>
            </w:tcBorders>
            <w:noWrap w:val="0"/>
            <w:vAlign w:val="center"/>
          </w:tcPr>
          <w:p w14:paraId="1BFAF8A8">
            <w:pPr>
              <w:widowControl/>
              <w:jc w:val="center"/>
              <w:textAlignment w:val="center"/>
              <w:rPr>
                <w:rFonts w:hint="eastAsia" w:ascii="宋体" w:hAnsi="宋体" w:eastAsia="宋体" w:cs="宋体"/>
                <w:b/>
                <w:bCs/>
                <w:color w:val="auto"/>
                <w:kern w:val="0"/>
                <w:sz w:val="24"/>
                <w:szCs w:val="24"/>
                <w:highlight w:val="none"/>
                <w:lang w:bidi="ar"/>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3481C02">
            <w:pPr>
              <w:widowControl/>
              <w:jc w:val="center"/>
              <w:textAlignment w:val="center"/>
              <w:rPr>
                <w:rFonts w:hint="eastAsia" w:ascii="宋体" w:hAnsi="宋体" w:eastAsia="宋体" w:cs="宋体"/>
                <w:b/>
                <w:bCs/>
                <w:color w:val="auto"/>
                <w:kern w:val="0"/>
                <w:sz w:val="24"/>
                <w:szCs w:val="24"/>
                <w:highlight w:val="none"/>
                <w:lang w:bidi="ar"/>
              </w:rPr>
            </w:pPr>
          </w:p>
        </w:tc>
      </w:tr>
      <w:tr w14:paraId="3483C4AE">
        <w:tblPrEx>
          <w:tblCellMar>
            <w:top w:w="0" w:type="dxa"/>
            <w:left w:w="108" w:type="dxa"/>
            <w:bottom w:w="0" w:type="dxa"/>
            <w:right w:w="108" w:type="dxa"/>
          </w:tblCellMar>
        </w:tblPrEx>
        <w:trPr>
          <w:trHeight w:val="515"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4143A07D">
            <w:pPr>
              <w:widowControl/>
              <w:jc w:val="center"/>
              <w:textAlignment w:val="center"/>
              <w:rPr>
                <w:rFonts w:hint="eastAsia" w:ascii="宋体" w:hAnsi="宋体" w:eastAsia="宋体" w:cs="宋体"/>
                <w:b/>
                <w:bCs/>
                <w:color w:val="auto"/>
                <w:kern w:val="0"/>
                <w:sz w:val="24"/>
                <w:szCs w:val="24"/>
                <w:highlight w:val="none"/>
                <w:lang w:bidi="ar"/>
              </w:rPr>
            </w:pPr>
          </w:p>
        </w:tc>
        <w:tc>
          <w:tcPr>
            <w:tcW w:w="1892" w:type="pct"/>
            <w:gridSpan w:val="2"/>
            <w:tcBorders>
              <w:top w:val="single" w:color="000000" w:sz="4" w:space="0"/>
              <w:left w:val="single" w:color="000000" w:sz="4" w:space="0"/>
              <w:bottom w:val="single" w:color="000000" w:sz="4" w:space="0"/>
              <w:right w:val="single" w:color="000000" w:sz="4" w:space="0"/>
            </w:tcBorders>
            <w:noWrap/>
            <w:vAlign w:val="center"/>
          </w:tcPr>
          <w:p w14:paraId="7CF901FA">
            <w:pPr>
              <w:widowControl/>
              <w:jc w:val="center"/>
              <w:textAlignment w:val="center"/>
              <w:rPr>
                <w:rFonts w:hint="eastAsia" w:ascii="宋体" w:hAnsi="宋体" w:eastAsia="宋体" w:cs="宋体"/>
                <w:b/>
                <w:bCs/>
                <w:color w:val="auto"/>
                <w:kern w:val="0"/>
                <w:sz w:val="24"/>
                <w:szCs w:val="24"/>
                <w:highlight w:val="none"/>
                <w:lang w:bidi="ar"/>
              </w:rPr>
            </w:pP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518D6A72">
            <w:pPr>
              <w:widowControl/>
              <w:jc w:val="center"/>
              <w:textAlignment w:val="center"/>
              <w:rPr>
                <w:rFonts w:hint="eastAsia" w:ascii="宋体" w:hAnsi="宋体" w:eastAsia="宋体" w:cs="宋体"/>
                <w:b/>
                <w:bCs/>
                <w:color w:val="auto"/>
                <w:kern w:val="0"/>
                <w:sz w:val="24"/>
                <w:szCs w:val="24"/>
                <w:highlight w:val="none"/>
                <w:lang w:bidi="ar"/>
              </w:rPr>
            </w:pPr>
          </w:p>
        </w:tc>
        <w:tc>
          <w:tcPr>
            <w:tcW w:w="1155" w:type="pct"/>
            <w:tcBorders>
              <w:top w:val="single" w:color="000000" w:sz="4" w:space="0"/>
              <w:left w:val="single" w:color="000000" w:sz="4" w:space="0"/>
              <w:bottom w:val="single" w:color="000000" w:sz="4" w:space="0"/>
              <w:right w:val="single" w:color="000000" w:sz="4" w:space="0"/>
            </w:tcBorders>
            <w:noWrap w:val="0"/>
            <w:vAlign w:val="center"/>
          </w:tcPr>
          <w:p w14:paraId="2EF1EAF0">
            <w:pPr>
              <w:widowControl/>
              <w:jc w:val="center"/>
              <w:textAlignment w:val="center"/>
              <w:rPr>
                <w:rFonts w:hint="eastAsia" w:ascii="宋体" w:hAnsi="宋体" w:eastAsia="宋体" w:cs="宋体"/>
                <w:b/>
                <w:bCs/>
                <w:color w:val="auto"/>
                <w:kern w:val="0"/>
                <w:sz w:val="24"/>
                <w:szCs w:val="24"/>
                <w:highlight w:val="none"/>
                <w:lang w:bidi="ar"/>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21E9270">
            <w:pPr>
              <w:widowControl/>
              <w:jc w:val="center"/>
              <w:textAlignment w:val="center"/>
              <w:rPr>
                <w:rFonts w:hint="eastAsia" w:ascii="宋体" w:hAnsi="宋体" w:eastAsia="宋体" w:cs="宋体"/>
                <w:b/>
                <w:bCs/>
                <w:color w:val="auto"/>
                <w:kern w:val="0"/>
                <w:sz w:val="24"/>
                <w:szCs w:val="24"/>
                <w:highlight w:val="none"/>
                <w:lang w:bidi="ar"/>
              </w:rPr>
            </w:pPr>
          </w:p>
        </w:tc>
      </w:tr>
      <w:tr w14:paraId="11C8C47C">
        <w:tblPrEx>
          <w:tblCellMar>
            <w:top w:w="0" w:type="dxa"/>
            <w:left w:w="108" w:type="dxa"/>
            <w:bottom w:w="0" w:type="dxa"/>
            <w:right w:w="108" w:type="dxa"/>
          </w:tblCellMar>
        </w:tblPrEx>
        <w:trPr>
          <w:trHeight w:val="515"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239CE845">
            <w:pPr>
              <w:widowControl/>
              <w:jc w:val="center"/>
              <w:textAlignment w:val="center"/>
              <w:rPr>
                <w:rFonts w:hint="eastAsia" w:ascii="宋体" w:hAnsi="宋体" w:eastAsia="宋体" w:cs="宋体"/>
                <w:b/>
                <w:bCs/>
                <w:color w:val="auto"/>
                <w:kern w:val="0"/>
                <w:sz w:val="24"/>
                <w:szCs w:val="24"/>
                <w:highlight w:val="none"/>
                <w:lang w:bidi="ar"/>
              </w:rPr>
            </w:pPr>
          </w:p>
        </w:tc>
        <w:tc>
          <w:tcPr>
            <w:tcW w:w="1892" w:type="pct"/>
            <w:gridSpan w:val="2"/>
            <w:tcBorders>
              <w:top w:val="single" w:color="000000" w:sz="4" w:space="0"/>
              <w:left w:val="single" w:color="000000" w:sz="4" w:space="0"/>
              <w:bottom w:val="single" w:color="000000" w:sz="4" w:space="0"/>
              <w:right w:val="single" w:color="000000" w:sz="4" w:space="0"/>
            </w:tcBorders>
            <w:noWrap/>
            <w:vAlign w:val="center"/>
          </w:tcPr>
          <w:p w14:paraId="6D639535">
            <w:pPr>
              <w:widowControl/>
              <w:jc w:val="center"/>
              <w:textAlignment w:val="center"/>
              <w:rPr>
                <w:rFonts w:hint="eastAsia" w:ascii="宋体" w:hAnsi="宋体" w:eastAsia="宋体" w:cs="宋体"/>
                <w:b/>
                <w:bCs/>
                <w:color w:val="auto"/>
                <w:kern w:val="0"/>
                <w:sz w:val="24"/>
                <w:szCs w:val="24"/>
                <w:highlight w:val="none"/>
                <w:lang w:bidi="ar"/>
              </w:rPr>
            </w:pP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7AFE8283">
            <w:pPr>
              <w:widowControl/>
              <w:jc w:val="center"/>
              <w:textAlignment w:val="center"/>
              <w:rPr>
                <w:rFonts w:hint="eastAsia" w:ascii="宋体" w:hAnsi="宋体" w:eastAsia="宋体" w:cs="宋体"/>
                <w:b/>
                <w:bCs/>
                <w:color w:val="auto"/>
                <w:kern w:val="0"/>
                <w:sz w:val="24"/>
                <w:szCs w:val="24"/>
                <w:highlight w:val="none"/>
                <w:lang w:bidi="ar"/>
              </w:rPr>
            </w:pPr>
          </w:p>
        </w:tc>
        <w:tc>
          <w:tcPr>
            <w:tcW w:w="1155" w:type="pct"/>
            <w:tcBorders>
              <w:top w:val="single" w:color="000000" w:sz="4" w:space="0"/>
              <w:left w:val="single" w:color="000000" w:sz="4" w:space="0"/>
              <w:bottom w:val="single" w:color="000000" w:sz="4" w:space="0"/>
              <w:right w:val="single" w:color="000000" w:sz="4" w:space="0"/>
            </w:tcBorders>
            <w:noWrap w:val="0"/>
            <w:vAlign w:val="center"/>
          </w:tcPr>
          <w:p w14:paraId="0D54A76B">
            <w:pPr>
              <w:widowControl/>
              <w:jc w:val="center"/>
              <w:textAlignment w:val="center"/>
              <w:rPr>
                <w:rFonts w:hint="eastAsia" w:ascii="宋体" w:hAnsi="宋体" w:eastAsia="宋体" w:cs="宋体"/>
                <w:b/>
                <w:bCs/>
                <w:color w:val="auto"/>
                <w:kern w:val="0"/>
                <w:sz w:val="24"/>
                <w:szCs w:val="24"/>
                <w:highlight w:val="none"/>
                <w:lang w:bidi="ar"/>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D586A2A">
            <w:pPr>
              <w:widowControl/>
              <w:jc w:val="center"/>
              <w:textAlignment w:val="center"/>
              <w:rPr>
                <w:rFonts w:hint="eastAsia" w:ascii="宋体" w:hAnsi="宋体" w:eastAsia="宋体" w:cs="宋体"/>
                <w:b/>
                <w:bCs/>
                <w:color w:val="auto"/>
                <w:kern w:val="0"/>
                <w:sz w:val="24"/>
                <w:szCs w:val="24"/>
                <w:highlight w:val="none"/>
                <w:lang w:bidi="ar"/>
              </w:rPr>
            </w:pPr>
          </w:p>
        </w:tc>
      </w:tr>
      <w:tr w14:paraId="21344631">
        <w:tblPrEx>
          <w:tblCellMar>
            <w:top w:w="0" w:type="dxa"/>
            <w:left w:w="108" w:type="dxa"/>
            <w:bottom w:w="0" w:type="dxa"/>
            <w:right w:w="108" w:type="dxa"/>
          </w:tblCellMar>
        </w:tblPrEx>
        <w:trPr>
          <w:trHeight w:val="515"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53CC143B">
            <w:pPr>
              <w:widowControl/>
              <w:jc w:val="center"/>
              <w:textAlignment w:val="center"/>
              <w:rPr>
                <w:rFonts w:hint="eastAsia" w:ascii="宋体" w:hAnsi="宋体" w:eastAsia="宋体" w:cs="宋体"/>
                <w:b/>
                <w:bCs/>
                <w:color w:val="auto"/>
                <w:kern w:val="0"/>
                <w:sz w:val="24"/>
                <w:szCs w:val="24"/>
                <w:highlight w:val="none"/>
                <w:lang w:bidi="ar"/>
              </w:rPr>
            </w:pPr>
          </w:p>
        </w:tc>
        <w:tc>
          <w:tcPr>
            <w:tcW w:w="1892" w:type="pct"/>
            <w:gridSpan w:val="2"/>
            <w:tcBorders>
              <w:top w:val="single" w:color="000000" w:sz="4" w:space="0"/>
              <w:left w:val="single" w:color="000000" w:sz="4" w:space="0"/>
              <w:bottom w:val="single" w:color="000000" w:sz="4" w:space="0"/>
              <w:right w:val="single" w:color="000000" w:sz="4" w:space="0"/>
            </w:tcBorders>
            <w:noWrap/>
            <w:vAlign w:val="center"/>
          </w:tcPr>
          <w:p w14:paraId="4C6A2AD4">
            <w:pPr>
              <w:widowControl/>
              <w:jc w:val="center"/>
              <w:textAlignment w:val="center"/>
              <w:rPr>
                <w:rFonts w:hint="eastAsia" w:ascii="宋体" w:hAnsi="宋体" w:eastAsia="宋体" w:cs="宋体"/>
                <w:b/>
                <w:bCs/>
                <w:color w:val="auto"/>
                <w:kern w:val="0"/>
                <w:sz w:val="24"/>
                <w:szCs w:val="24"/>
                <w:highlight w:val="none"/>
                <w:lang w:bidi="ar"/>
              </w:rPr>
            </w:pP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3D72F4E1">
            <w:pPr>
              <w:widowControl/>
              <w:jc w:val="center"/>
              <w:textAlignment w:val="center"/>
              <w:rPr>
                <w:rFonts w:hint="eastAsia" w:ascii="宋体" w:hAnsi="宋体" w:eastAsia="宋体" w:cs="宋体"/>
                <w:b/>
                <w:bCs/>
                <w:color w:val="auto"/>
                <w:kern w:val="0"/>
                <w:sz w:val="24"/>
                <w:szCs w:val="24"/>
                <w:highlight w:val="none"/>
                <w:lang w:bidi="ar"/>
              </w:rPr>
            </w:pPr>
          </w:p>
        </w:tc>
        <w:tc>
          <w:tcPr>
            <w:tcW w:w="1155" w:type="pct"/>
            <w:tcBorders>
              <w:top w:val="single" w:color="000000" w:sz="4" w:space="0"/>
              <w:left w:val="single" w:color="000000" w:sz="4" w:space="0"/>
              <w:bottom w:val="single" w:color="000000" w:sz="4" w:space="0"/>
              <w:right w:val="single" w:color="000000" w:sz="4" w:space="0"/>
            </w:tcBorders>
            <w:noWrap w:val="0"/>
            <w:vAlign w:val="center"/>
          </w:tcPr>
          <w:p w14:paraId="3F4AFCFA">
            <w:pPr>
              <w:widowControl/>
              <w:jc w:val="center"/>
              <w:textAlignment w:val="center"/>
              <w:rPr>
                <w:rFonts w:hint="eastAsia" w:ascii="宋体" w:hAnsi="宋体" w:eastAsia="宋体" w:cs="宋体"/>
                <w:b/>
                <w:bCs/>
                <w:color w:val="auto"/>
                <w:kern w:val="0"/>
                <w:sz w:val="24"/>
                <w:szCs w:val="24"/>
                <w:highlight w:val="none"/>
                <w:lang w:bidi="ar"/>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BDB88D8">
            <w:pPr>
              <w:widowControl/>
              <w:jc w:val="center"/>
              <w:textAlignment w:val="center"/>
              <w:rPr>
                <w:rFonts w:hint="eastAsia" w:ascii="宋体" w:hAnsi="宋体" w:eastAsia="宋体" w:cs="宋体"/>
                <w:b/>
                <w:bCs/>
                <w:color w:val="auto"/>
                <w:kern w:val="0"/>
                <w:sz w:val="24"/>
                <w:szCs w:val="24"/>
                <w:highlight w:val="none"/>
                <w:lang w:bidi="ar"/>
              </w:rPr>
            </w:pPr>
          </w:p>
        </w:tc>
      </w:tr>
      <w:tr w14:paraId="5417C038">
        <w:tblPrEx>
          <w:tblCellMar>
            <w:top w:w="0" w:type="dxa"/>
            <w:left w:w="108" w:type="dxa"/>
            <w:bottom w:w="0" w:type="dxa"/>
            <w:right w:w="108" w:type="dxa"/>
          </w:tblCellMar>
        </w:tblPrEx>
        <w:trPr>
          <w:trHeight w:val="515" w:hRule="atLeast"/>
        </w:trPr>
        <w:tc>
          <w:tcPr>
            <w:tcW w:w="461" w:type="pct"/>
            <w:tcBorders>
              <w:top w:val="single" w:color="000000" w:sz="4" w:space="0"/>
              <w:left w:val="single" w:color="000000" w:sz="4" w:space="0"/>
              <w:bottom w:val="single" w:color="000000" w:sz="4" w:space="0"/>
              <w:right w:val="single" w:color="000000" w:sz="4" w:space="0"/>
            </w:tcBorders>
            <w:noWrap/>
            <w:vAlign w:val="center"/>
          </w:tcPr>
          <w:p w14:paraId="5F93E9F3">
            <w:pPr>
              <w:widowControl/>
              <w:jc w:val="center"/>
              <w:textAlignment w:val="center"/>
              <w:rPr>
                <w:rFonts w:hint="eastAsia" w:ascii="宋体" w:hAnsi="宋体" w:eastAsia="宋体" w:cs="宋体"/>
                <w:b/>
                <w:bCs/>
                <w:color w:val="auto"/>
                <w:kern w:val="0"/>
                <w:sz w:val="24"/>
                <w:szCs w:val="24"/>
                <w:highlight w:val="none"/>
                <w:lang w:bidi="ar"/>
              </w:rPr>
            </w:pPr>
          </w:p>
        </w:tc>
        <w:tc>
          <w:tcPr>
            <w:tcW w:w="1892" w:type="pct"/>
            <w:gridSpan w:val="2"/>
            <w:tcBorders>
              <w:top w:val="single" w:color="000000" w:sz="4" w:space="0"/>
              <w:left w:val="single" w:color="000000" w:sz="4" w:space="0"/>
              <w:bottom w:val="single" w:color="000000" w:sz="4" w:space="0"/>
              <w:right w:val="single" w:color="000000" w:sz="4" w:space="0"/>
            </w:tcBorders>
            <w:noWrap/>
            <w:vAlign w:val="center"/>
          </w:tcPr>
          <w:p w14:paraId="23E3A94C">
            <w:pPr>
              <w:widowControl/>
              <w:jc w:val="center"/>
              <w:textAlignment w:val="center"/>
              <w:rPr>
                <w:rFonts w:hint="eastAsia" w:ascii="宋体" w:hAnsi="宋体" w:eastAsia="宋体" w:cs="宋体"/>
                <w:b/>
                <w:bCs/>
                <w:color w:val="auto"/>
                <w:kern w:val="0"/>
                <w:sz w:val="24"/>
                <w:szCs w:val="24"/>
                <w:highlight w:val="none"/>
                <w:lang w:bidi="ar"/>
              </w:rPr>
            </w:pP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3424420F">
            <w:pPr>
              <w:widowControl/>
              <w:jc w:val="center"/>
              <w:textAlignment w:val="center"/>
              <w:rPr>
                <w:rFonts w:hint="eastAsia" w:ascii="宋体" w:hAnsi="宋体" w:eastAsia="宋体" w:cs="宋体"/>
                <w:b/>
                <w:bCs/>
                <w:color w:val="auto"/>
                <w:kern w:val="0"/>
                <w:sz w:val="24"/>
                <w:szCs w:val="24"/>
                <w:highlight w:val="none"/>
                <w:lang w:bidi="ar"/>
              </w:rPr>
            </w:pPr>
          </w:p>
        </w:tc>
        <w:tc>
          <w:tcPr>
            <w:tcW w:w="1155" w:type="pct"/>
            <w:tcBorders>
              <w:top w:val="single" w:color="000000" w:sz="4" w:space="0"/>
              <w:left w:val="single" w:color="000000" w:sz="4" w:space="0"/>
              <w:bottom w:val="single" w:color="000000" w:sz="4" w:space="0"/>
              <w:right w:val="single" w:color="000000" w:sz="4" w:space="0"/>
            </w:tcBorders>
            <w:noWrap w:val="0"/>
            <w:vAlign w:val="center"/>
          </w:tcPr>
          <w:p w14:paraId="5470C14B">
            <w:pPr>
              <w:widowControl/>
              <w:jc w:val="center"/>
              <w:textAlignment w:val="center"/>
              <w:rPr>
                <w:rFonts w:hint="eastAsia" w:ascii="宋体" w:hAnsi="宋体" w:eastAsia="宋体" w:cs="宋体"/>
                <w:b/>
                <w:bCs/>
                <w:color w:val="auto"/>
                <w:kern w:val="0"/>
                <w:sz w:val="24"/>
                <w:szCs w:val="24"/>
                <w:highlight w:val="none"/>
                <w:lang w:bidi="ar"/>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A6A690F">
            <w:pPr>
              <w:widowControl/>
              <w:jc w:val="center"/>
              <w:textAlignment w:val="center"/>
              <w:rPr>
                <w:rFonts w:hint="eastAsia" w:ascii="宋体" w:hAnsi="宋体" w:eastAsia="宋体" w:cs="宋体"/>
                <w:b/>
                <w:bCs/>
                <w:color w:val="auto"/>
                <w:kern w:val="0"/>
                <w:sz w:val="24"/>
                <w:szCs w:val="24"/>
                <w:highlight w:val="none"/>
                <w:lang w:bidi="ar"/>
              </w:rPr>
            </w:pPr>
          </w:p>
        </w:tc>
      </w:tr>
      <w:tr w14:paraId="3ACD9D03">
        <w:tblPrEx>
          <w:tblCellMar>
            <w:top w:w="0" w:type="dxa"/>
            <w:left w:w="108" w:type="dxa"/>
            <w:bottom w:w="0" w:type="dxa"/>
            <w:right w:w="108" w:type="dxa"/>
          </w:tblCellMar>
        </w:tblPrEx>
        <w:trPr>
          <w:trHeight w:val="51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FF90C08">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参加查收单位和代表：</w:t>
            </w:r>
          </w:p>
        </w:tc>
      </w:tr>
      <w:tr w14:paraId="687FB8CE">
        <w:tblPrEx>
          <w:tblCellMar>
            <w:top w:w="0" w:type="dxa"/>
            <w:left w:w="108" w:type="dxa"/>
            <w:bottom w:w="0" w:type="dxa"/>
            <w:right w:w="108" w:type="dxa"/>
          </w:tblCellMar>
        </w:tblPrEx>
        <w:trPr>
          <w:trHeight w:val="515" w:hRule="atLeast"/>
        </w:trPr>
        <w:tc>
          <w:tcPr>
            <w:tcW w:w="1271" w:type="pct"/>
            <w:gridSpan w:val="2"/>
            <w:tcBorders>
              <w:top w:val="single" w:color="000000" w:sz="4" w:space="0"/>
              <w:left w:val="single" w:color="000000" w:sz="4" w:space="0"/>
              <w:bottom w:val="single" w:color="000000" w:sz="4" w:space="0"/>
              <w:right w:val="single" w:color="000000" w:sz="4" w:space="0"/>
            </w:tcBorders>
            <w:noWrap w:val="0"/>
            <w:vAlign w:val="center"/>
          </w:tcPr>
          <w:p w14:paraId="26DFAE8C">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采购单位验收意见</w:t>
            </w:r>
          </w:p>
        </w:tc>
        <w:tc>
          <w:tcPr>
            <w:tcW w:w="3728" w:type="pct"/>
            <w:gridSpan w:val="4"/>
            <w:tcBorders>
              <w:top w:val="single" w:color="000000" w:sz="4" w:space="0"/>
              <w:left w:val="single" w:color="000000" w:sz="4" w:space="0"/>
              <w:bottom w:val="single" w:color="000000" w:sz="4" w:space="0"/>
              <w:right w:val="single" w:color="000000" w:sz="4" w:space="0"/>
            </w:tcBorders>
            <w:noWrap w:val="0"/>
            <w:vAlign w:val="center"/>
          </w:tcPr>
          <w:p w14:paraId="1791306B">
            <w:pPr>
              <w:jc w:val="center"/>
              <w:rPr>
                <w:rFonts w:ascii="宋体" w:hAnsi="宋体" w:eastAsia="宋体" w:cs="宋体"/>
                <w:color w:val="auto"/>
                <w:sz w:val="22"/>
                <w:highlight w:val="none"/>
              </w:rPr>
            </w:pPr>
          </w:p>
        </w:tc>
      </w:tr>
      <w:tr w14:paraId="35EFCD3E">
        <w:tblPrEx>
          <w:tblCellMar>
            <w:top w:w="0" w:type="dxa"/>
            <w:left w:w="108" w:type="dxa"/>
            <w:bottom w:w="0" w:type="dxa"/>
            <w:right w:w="108" w:type="dxa"/>
          </w:tblCellMar>
        </w:tblPrEx>
        <w:trPr>
          <w:trHeight w:val="515" w:hRule="atLeast"/>
        </w:trPr>
        <w:tc>
          <w:tcPr>
            <w:tcW w:w="1271" w:type="pct"/>
            <w:gridSpan w:val="2"/>
            <w:tcBorders>
              <w:top w:val="single" w:color="000000" w:sz="4" w:space="0"/>
              <w:left w:val="single" w:color="000000" w:sz="4" w:space="0"/>
              <w:bottom w:val="single" w:color="000000" w:sz="4" w:space="0"/>
              <w:right w:val="single" w:color="000000" w:sz="4" w:space="0"/>
            </w:tcBorders>
            <w:noWrap/>
            <w:vAlign w:val="center"/>
          </w:tcPr>
          <w:p w14:paraId="756D1775">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供货单位验收意见</w:t>
            </w:r>
          </w:p>
        </w:tc>
        <w:tc>
          <w:tcPr>
            <w:tcW w:w="3728" w:type="pct"/>
            <w:gridSpan w:val="4"/>
            <w:tcBorders>
              <w:top w:val="single" w:color="000000" w:sz="4" w:space="0"/>
              <w:left w:val="single" w:color="000000" w:sz="4" w:space="0"/>
              <w:bottom w:val="single" w:color="000000" w:sz="4" w:space="0"/>
              <w:right w:val="single" w:color="000000" w:sz="4" w:space="0"/>
            </w:tcBorders>
            <w:noWrap/>
            <w:vAlign w:val="center"/>
          </w:tcPr>
          <w:p w14:paraId="1950C3DB">
            <w:pPr>
              <w:jc w:val="center"/>
              <w:rPr>
                <w:rFonts w:ascii="宋体" w:hAnsi="宋体" w:eastAsia="宋体" w:cs="宋体"/>
                <w:color w:val="auto"/>
                <w:sz w:val="24"/>
                <w:szCs w:val="24"/>
                <w:highlight w:val="none"/>
              </w:rPr>
            </w:pPr>
          </w:p>
        </w:tc>
      </w:tr>
      <w:tr w14:paraId="73B0BBAE">
        <w:tblPrEx>
          <w:tblCellMar>
            <w:top w:w="0" w:type="dxa"/>
            <w:left w:w="108" w:type="dxa"/>
            <w:bottom w:w="0" w:type="dxa"/>
            <w:right w:w="108" w:type="dxa"/>
          </w:tblCellMar>
        </w:tblPrEx>
        <w:trPr>
          <w:trHeight w:val="535" w:hRule="atLeast"/>
        </w:trPr>
        <w:tc>
          <w:tcPr>
            <w:tcW w:w="1271" w:type="pct"/>
            <w:gridSpan w:val="2"/>
            <w:tcBorders>
              <w:top w:val="single" w:color="000000" w:sz="4" w:space="0"/>
              <w:left w:val="single" w:color="000000" w:sz="4" w:space="0"/>
              <w:bottom w:val="single" w:color="000000" w:sz="4" w:space="0"/>
              <w:right w:val="single" w:color="000000" w:sz="4" w:space="0"/>
            </w:tcBorders>
            <w:noWrap/>
            <w:vAlign w:val="center"/>
          </w:tcPr>
          <w:p w14:paraId="2C3F9E8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第三方单位验收意见</w:t>
            </w:r>
          </w:p>
        </w:tc>
        <w:tc>
          <w:tcPr>
            <w:tcW w:w="3728" w:type="pct"/>
            <w:gridSpan w:val="4"/>
            <w:tcBorders>
              <w:top w:val="single" w:color="000000" w:sz="4" w:space="0"/>
              <w:left w:val="single" w:color="000000" w:sz="4" w:space="0"/>
              <w:bottom w:val="single" w:color="000000" w:sz="4" w:space="0"/>
              <w:right w:val="single" w:color="000000" w:sz="4" w:space="0"/>
            </w:tcBorders>
            <w:noWrap/>
            <w:vAlign w:val="center"/>
          </w:tcPr>
          <w:p w14:paraId="29191AD3">
            <w:pPr>
              <w:jc w:val="center"/>
              <w:rPr>
                <w:rFonts w:ascii="宋体" w:hAnsi="宋体" w:eastAsia="宋体" w:cs="宋体"/>
                <w:color w:val="auto"/>
                <w:sz w:val="24"/>
                <w:szCs w:val="24"/>
                <w:highlight w:val="none"/>
              </w:rPr>
            </w:pPr>
          </w:p>
        </w:tc>
      </w:tr>
    </w:tbl>
    <w:p w14:paraId="779038B4">
      <w:pPr>
        <w:pStyle w:val="5"/>
        <w:widowControl w:val="0"/>
        <w:autoSpaceDE w:val="0"/>
        <w:autoSpaceDN w:val="0"/>
        <w:adjustRightInd w:val="0"/>
        <w:spacing w:before="0" w:beforeAutospacing="0" w:after="0" w:afterAutospacing="0" w:line="360" w:lineRule="auto"/>
        <w:rPr>
          <w:rFonts w:eastAsia="宋体" w:cs="宋体"/>
          <w:b/>
          <w:bCs/>
          <w:color w:val="auto"/>
          <w:kern w:val="0"/>
          <w:sz w:val="28"/>
          <w:szCs w:val="28"/>
          <w:highlight w:val="none"/>
          <w:lang w:bidi="ar"/>
        </w:rPr>
      </w:pPr>
    </w:p>
    <w:p w14:paraId="71E0707F">
      <w:pPr>
        <w:widowControl/>
        <w:jc w:val="left"/>
        <w:rPr>
          <w:rFonts w:ascii="宋体" w:hAnsi="宋体" w:eastAsia="宋体" w:cs="宋体"/>
          <w:b/>
          <w:bCs/>
          <w:color w:val="auto"/>
          <w:kern w:val="0"/>
          <w:sz w:val="28"/>
          <w:szCs w:val="28"/>
          <w:highlight w:val="none"/>
          <w:lang w:bidi="ar"/>
        </w:rPr>
      </w:pPr>
      <w:r>
        <w:rPr>
          <w:rFonts w:eastAsia="宋体" w:cs="宋体"/>
          <w:b/>
          <w:bCs/>
          <w:color w:val="auto"/>
          <w:kern w:val="0"/>
          <w:sz w:val="28"/>
          <w:szCs w:val="28"/>
          <w:highlight w:val="none"/>
          <w:lang w:bidi="ar"/>
        </w:rPr>
        <w:br w:type="page"/>
      </w:r>
    </w:p>
    <w:p w14:paraId="209D4BE8">
      <w:pPr>
        <w:pStyle w:val="5"/>
        <w:widowControl w:val="0"/>
        <w:autoSpaceDE w:val="0"/>
        <w:autoSpaceDN w:val="0"/>
        <w:adjustRightInd w:val="0"/>
        <w:spacing w:line="360" w:lineRule="auto"/>
        <w:jc w:val="left"/>
        <w:textAlignment w:val="center"/>
        <w:rPr>
          <w:rFonts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附件3：易损易耗零部件保修期限表</w:t>
      </w:r>
    </w:p>
    <w:tbl>
      <w:tblPr>
        <w:tblStyle w:val="7"/>
        <w:tblW w:w="5000" w:type="pct"/>
        <w:tblInd w:w="0" w:type="dxa"/>
        <w:tblLayout w:type="autofit"/>
        <w:tblCellMar>
          <w:top w:w="0" w:type="dxa"/>
          <w:left w:w="108" w:type="dxa"/>
          <w:bottom w:w="0" w:type="dxa"/>
          <w:right w:w="108" w:type="dxa"/>
        </w:tblCellMar>
      </w:tblPr>
      <w:tblGrid>
        <w:gridCol w:w="759"/>
        <w:gridCol w:w="2152"/>
        <w:gridCol w:w="2972"/>
        <w:gridCol w:w="2639"/>
      </w:tblGrid>
      <w:tr w14:paraId="0D9D1B99">
        <w:tblPrEx>
          <w:tblCellMar>
            <w:top w:w="0" w:type="dxa"/>
            <w:left w:w="108" w:type="dxa"/>
            <w:bottom w:w="0" w:type="dxa"/>
            <w:right w:w="108" w:type="dxa"/>
          </w:tblCellMar>
        </w:tblPrEx>
        <w:trPr>
          <w:trHeight w:val="58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0F652F62">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62603581">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分类</w:t>
            </w:r>
          </w:p>
        </w:tc>
        <w:tc>
          <w:tcPr>
            <w:tcW w:w="1743" w:type="pct"/>
            <w:tcBorders>
              <w:top w:val="single" w:color="000000" w:sz="4" w:space="0"/>
              <w:left w:val="single" w:color="000000" w:sz="4" w:space="0"/>
              <w:bottom w:val="single" w:color="000000" w:sz="4" w:space="0"/>
              <w:right w:val="single" w:color="000000" w:sz="4" w:space="0"/>
            </w:tcBorders>
            <w:noWrap w:val="0"/>
            <w:vAlign w:val="center"/>
          </w:tcPr>
          <w:p w14:paraId="58821FC5">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易损易耗件名称</w:t>
            </w:r>
          </w:p>
        </w:tc>
        <w:tc>
          <w:tcPr>
            <w:tcW w:w="1548" w:type="pct"/>
            <w:tcBorders>
              <w:top w:val="single" w:color="000000" w:sz="4" w:space="0"/>
              <w:left w:val="single" w:color="000000" w:sz="4" w:space="0"/>
              <w:bottom w:val="single" w:color="000000" w:sz="4" w:space="0"/>
              <w:right w:val="single" w:color="000000" w:sz="4" w:space="0"/>
            </w:tcBorders>
            <w:noWrap w:val="0"/>
            <w:vAlign w:val="center"/>
          </w:tcPr>
          <w:p w14:paraId="26077AB4">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质保期限</w:t>
            </w:r>
          </w:p>
        </w:tc>
      </w:tr>
      <w:tr w14:paraId="336F865C">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51A60F66">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262" w:type="pct"/>
            <w:vMerge w:val="restart"/>
            <w:tcBorders>
              <w:top w:val="single" w:color="000000" w:sz="4" w:space="0"/>
              <w:left w:val="single" w:color="000000" w:sz="4" w:space="0"/>
              <w:bottom w:val="nil"/>
              <w:right w:val="single" w:color="000000" w:sz="4" w:space="0"/>
            </w:tcBorders>
            <w:noWrap w:val="0"/>
            <w:vAlign w:val="center"/>
          </w:tcPr>
          <w:p w14:paraId="3F0DAC5C">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承诺质保配置</w:t>
            </w: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510BB175">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离合器摩擦片</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7FC97656">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14:paraId="49F593F2">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0C3C3149">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262" w:type="pct"/>
            <w:vMerge w:val="continue"/>
            <w:tcBorders>
              <w:top w:val="single" w:color="000000" w:sz="4" w:space="0"/>
              <w:left w:val="single" w:color="000000" w:sz="4" w:space="0"/>
              <w:bottom w:val="nil"/>
              <w:right w:val="single" w:color="000000" w:sz="4" w:space="0"/>
            </w:tcBorders>
            <w:noWrap w:val="0"/>
            <w:vAlign w:val="center"/>
          </w:tcPr>
          <w:p w14:paraId="28C74597">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196D35FF">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制动摩擦片</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4BF771C4">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14:paraId="37B5FA7C">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26066550">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262" w:type="pct"/>
            <w:vMerge w:val="continue"/>
            <w:tcBorders>
              <w:top w:val="single" w:color="000000" w:sz="4" w:space="0"/>
              <w:left w:val="single" w:color="000000" w:sz="4" w:space="0"/>
              <w:bottom w:val="nil"/>
              <w:right w:val="single" w:color="000000" w:sz="4" w:space="0"/>
            </w:tcBorders>
            <w:noWrap w:val="0"/>
            <w:vAlign w:val="center"/>
          </w:tcPr>
          <w:p w14:paraId="53B4A77C">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4C6AD342">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启动电瓶</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57F47152">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14:paraId="38D51472">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1600B833">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262" w:type="pct"/>
            <w:vMerge w:val="continue"/>
            <w:tcBorders>
              <w:top w:val="single" w:color="000000" w:sz="4" w:space="0"/>
              <w:left w:val="single" w:color="000000" w:sz="4" w:space="0"/>
              <w:bottom w:val="nil"/>
              <w:right w:val="single" w:color="000000" w:sz="4" w:space="0"/>
            </w:tcBorders>
            <w:noWrap w:val="0"/>
            <w:vAlign w:val="center"/>
          </w:tcPr>
          <w:p w14:paraId="06C2C802">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0"/>
            <w:vAlign w:val="center"/>
          </w:tcPr>
          <w:p w14:paraId="19A003FB">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各项照明灯泡部件</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51ADE792">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14:paraId="14CCD9CB">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377D93C4">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262" w:type="pct"/>
            <w:vMerge w:val="continue"/>
            <w:tcBorders>
              <w:top w:val="single" w:color="000000" w:sz="4" w:space="0"/>
              <w:left w:val="single" w:color="000000" w:sz="4" w:space="0"/>
              <w:bottom w:val="nil"/>
              <w:right w:val="single" w:color="000000" w:sz="4" w:space="0"/>
            </w:tcBorders>
            <w:noWrap w:val="0"/>
            <w:vAlign w:val="center"/>
          </w:tcPr>
          <w:p w14:paraId="363FEA28">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0A7D651B">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轮胎（含备胎）</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6CF945AD">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6个月</w:t>
            </w:r>
          </w:p>
        </w:tc>
      </w:tr>
      <w:tr w14:paraId="38AADA25">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2ADB458D">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262" w:type="pct"/>
            <w:vMerge w:val="continue"/>
            <w:tcBorders>
              <w:top w:val="single" w:color="000000" w:sz="4" w:space="0"/>
              <w:left w:val="single" w:color="000000" w:sz="4" w:space="0"/>
              <w:bottom w:val="nil"/>
              <w:right w:val="single" w:color="000000" w:sz="4" w:space="0"/>
            </w:tcBorders>
            <w:noWrap w:val="0"/>
            <w:vAlign w:val="center"/>
          </w:tcPr>
          <w:p w14:paraId="13F2A9DA">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6716DC8E">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雨刮片</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5D0B648B">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6个月</w:t>
            </w:r>
          </w:p>
        </w:tc>
      </w:tr>
      <w:tr w14:paraId="3872F246">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797860A6">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4543264F">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加装配置</w:t>
            </w: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23DD14B4">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倒车影像</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788F173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14:paraId="414EE23B">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543556CB">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C3D1C">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0AC72F91">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行车记录仪</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56B807B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14:paraId="59B855EB">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3824AA05">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7C1C8">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63275A70">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尾部箭头警示灯</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61B8B629">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14:paraId="1F37700E">
        <w:tblPrEx>
          <w:tblCellMar>
            <w:top w:w="0" w:type="dxa"/>
            <w:left w:w="108" w:type="dxa"/>
            <w:bottom w:w="0" w:type="dxa"/>
            <w:right w:w="108" w:type="dxa"/>
          </w:tblCellMar>
        </w:tblPrEx>
        <w:trPr>
          <w:trHeight w:val="400"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14:paraId="5419CDA0">
            <w:pPr>
              <w:widowControl/>
              <w:autoSpaceDE w:val="0"/>
              <w:autoSpaceDN w:val="0"/>
              <w:adjustRightInd w:val="0"/>
              <w:spacing w:line="360" w:lineRule="auto"/>
              <w:jc w:val="center"/>
              <w:textAlignment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10</w:t>
            </w:r>
          </w:p>
        </w:tc>
        <w:tc>
          <w:tcPr>
            <w:tcW w:w="1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BCD812">
            <w:pPr>
              <w:spacing w:line="360" w:lineRule="auto"/>
              <w:rPr>
                <w:rFonts w:ascii="宋体" w:hAnsi="宋体" w:eastAsia="宋体" w:cs="宋体"/>
                <w:color w:val="auto"/>
                <w:sz w:val="20"/>
                <w:szCs w:val="20"/>
                <w:highlight w:val="none"/>
              </w:rPr>
            </w:pPr>
          </w:p>
        </w:tc>
        <w:tc>
          <w:tcPr>
            <w:tcW w:w="1743" w:type="pct"/>
            <w:tcBorders>
              <w:top w:val="single" w:color="000000" w:sz="4" w:space="0"/>
              <w:left w:val="single" w:color="000000" w:sz="4" w:space="0"/>
              <w:bottom w:val="single" w:color="000000" w:sz="4" w:space="0"/>
              <w:right w:val="single" w:color="000000" w:sz="4" w:space="0"/>
            </w:tcBorders>
            <w:noWrap/>
            <w:vAlign w:val="center"/>
          </w:tcPr>
          <w:p w14:paraId="20C33A62">
            <w:pPr>
              <w:widowControl/>
              <w:autoSpaceDE w:val="0"/>
              <w:autoSpaceDN w:val="0"/>
              <w:adjustRightInd w:val="0"/>
              <w:spacing w:line="360" w:lineRule="auto"/>
              <w:jc w:val="center"/>
              <w:textAlignment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val="en-US" w:eastAsia="zh-CN" w:bidi="ar"/>
              </w:rPr>
              <w:t>吸污</w:t>
            </w:r>
            <w:r>
              <w:rPr>
                <w:rFonts w:hint="eastAsia" w:ascii="宋体" w:hAnsi="宋体" w:eastAsia="宋体" w:cs="宋体"/>
                <w:color w:val="auto"/>
                <w:kern w:val="0"/>
                <w:szCs w:val="21"/>
                <w:highlight w:val="none"/>
                <w:lang w:bidi="ar"/>
              </w:rPr>
              <w:t>管</w:t>
            </w:r>
          </w:p>
        </w:tc>
        <w:tc>
          <w:tcPr>
            <w:tcW w:w="1548" w:type="pct"/>
            <w:tcBorders>
              <w:top w:val="single" w:color="000000" w:sz="4" w:space="0"/>
              <w:left w:val="single" w:color="000000" w:sz="4" w:space="0"/>
              <w:bottom w:val="single" w:color="000000" w:sz="4" w:space="0"/>
              <w:right w:val="single" w:color="000000" w:sz="4" w:space="0"/>
            </w:tcBorders>
            <w:noWrap/>
            <w:vAlign w:val="center"/>
          </w:tcPr>
          <w:p w14:paraId="6B71C9DC">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6个月</w:t>
            </w:r>
          </w:p>
        </w:tc>
      </w:tr>
    </w:tbl>
    <w:p w14:paraId="3FD0DAC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6BE96"/>
    <w:multiLevelType w:val="singleLevel"/>
    <w:tmpl w:val="D176BE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2648D"/>
    <w:rsid w:val="2B7B3A0B"/>
    <w:rsid w:val="2DDF4725"/>
    <w:rsid w:val="32036508"/>
    <w:rsid w:val="386C546E"/>
    <w:rsid w:val="3D0C4E0B"/>
    <w:rsid w:val="3F6F4585"/>
    <w:rsid w:val="3FA71C76"/>
    <w:rsid w:val="440E76BA"/>
    <w:rsid w:val="4A0B01F8"/>
    <w:rsid w:val="4B814C16"/>
    <w:rsid w:val="4C235CCD"/>
    <w:rsid w:val="4DDF5EF6"/>
    <w:rsid w:val="56C00F78"/>
    <w:rsid w:val="59D3622B"/>
    <w:rsid w:val="5D1635CC"/>
    <w:rsid w:val="68C2648D"/>
    <w:rsid w:val="6FAF0E8C"/>
    <w:rsid w:val="741F514F"/>
    <w:rsid w:val="9F5C7C31"/>
    <w:rsid w:val="FBBF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annotation text"/>
    <w:basedOn w:val="1"/>
    <w:unhideWhenUsed/>
    <w:qFormat/>
    <w:uiPriority w:val="99"/>
    <w:pPr>
      <w:jc w:val="left"/>
    </w:pPr>
  </w:style>
  <w:style w:type="paragraph" w:styleId="4">
    <w:name w:val="Body Text"/>
    <w:basedOn w:val="1"/>
    <w:next w:val="1"/>
    <w:qFormat/>
    <w:uiPriority w:val="99"/>
    <w:pPr>
      <w:autoSpaceDE w:val="0"/>
      <w:autoSpaceDN w:val="0"/>
      <w:adjustRightInd w:val="0"/>
      <w:ind w:right="-26"/>
      <w:jc w:val="center"/>
    </w:pPr>
    <w:rPr>
      <w:rFonts w:ascii="宋体" w:eastAsia="宋体"/>
      <w:b/>
      <w:bCs/>
      <w:sz w:val="84"/>
      <w:szCs w:val="84"/>
      <w:lang w:val="zh-CN"/>
    </w:rPr>
  </w:style>
  <w:style w:type="paragraph" w:styleId="5">
    <w:name w:val="Normal (Web)"/>
    <w:basedOn w:val="1"/>
    <w:qFormat/>
    <w:uiPriority w:val="0"/>
    <w:pPr>
      <w:widowControl/>
      <w:spacing w:before="100" w:beforeAutospacing="1" w:after="100" w:afterAutospacing="1"/>
      <w:jc w:val="left"/>
    </w:pPr>
    <w:rPr>
      <w:rFonts w:ascii="宋体" w:hAnsi="宋体"/>
      <w:sz w:val="15"/>
      <w:szCs w:val="15"/>
    </w:rPr>
  </w:style>
  <w:style w:type="paragraph" w:styleId="6">
    <w:name w:val="Body Text First Indent"/>
    <w:basedOn w:val="4"/>
    <w:unhideWhenUsed/>
    <w:qFormat/>
    <w:uiPriority w:val="99"/>
    <w:pPr>
      <w:autoSpaceDE/>
      <w:autoSpaceDN/>
      <w:adjustRightInd/>
      <w:spacing w:after="120"/>
      <w:ind w:right="0" w:firstLine="420" w:firstLineChars="100"/>
      <w:jc w:val="both"/>
    </w:pPr>
    <w:rPr>
      <w:rFonts w:ascii="等线" w:eastAsia="等线"/>
      <w:b w:val="0"/>
      <w:bCs w:val="0"/>
      <w:sz w:val="21"/>
      <w:szCs w:val="22"/>
      <w:lang w:val="en-US"/>
    </w:rPr>
  </w:style>
  <w:style w:type="character" w:styleId="9">
    <w:name w:val="annotation reference"/>
    <w:qFormat/>
    <w:uiPriority w:val="99"/>
    <w:rPr>
      <w:sz w:val="21"/>
      <w:szCs w:val="21"/>
    </w:rPr>
  </w:style>
  <w:style w:type="character" w:customStyle="1" w:styleId="10">
    <w:name w:val="font11"/>
    <w:basedOn w:val="8"/>
    <w:qFormat/>
    <w:uiPriority w:val="0"/>
    <w:rPr>
      <w:rFonts w:hint="eastAsia" w:ascii="宋体" w:hAnsi="宋体" w:eastAsia="宋体" w:cs="宋体"/>
      <w:color w:val="000000"/>
      <w:sz w:val="21"/>
      <w:szCs w:val="21"/>
      <w:u w:val="none"/>
    </w:rPr>
  </w:style>
  <w:style w:type="character" w:customStyle="1" w:styleId="11">
    <w:name w:val="font3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2773</Words>
  <Characters>2855</Characters>
  <Lines>0</Lines>
  <Paragraphs>0</Paragraphs>
  <TotalTime>0</TotalTime>
  <ScaleCrop>false</ScaleCrop>
  <LinksUpToDate>false</LinksUpToDate>
  <CharactersWithSpaces>2856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2026-01-28T14:21:00Z</dcterms:created>
  <dc:creator>许丽明</dc:creator>
  <cp:lastModifiedBy>晓华</cp:lastModifiedBy>
  <dcterms:modified xsi:type="dcterms:W3CDTF">2026-02-11T02:16:23Z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0DB03A17E95B414CB5CC2B9570C4A2AF_11</vt:lpwstr>
  </property>
  <property fmtid="{D5CDD505-2E9C-101B-9397-08002B2CF9AE}" pid="4" name="KSOTemplateDocerSaveRecord">
    <vt:lpwstr>eyJoZGlkIjoiMTg5ZjkyNmJlYmZlMjgwZjE5OWE3OWMxMjIwNGM4NjEiLCJ1c2VySWQiOiIxNTg5Nzc1MzM4In0=</vt:lpwstr>
  </property>
</Properties>
</file>