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E8A10">
      <w:pPr>
        <w:spacing w:line="360" w:lineRule="auto"/>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lang w:val="en-US" w:eastAsia="zh-CN"/>
        </w:rPr>
        <w:t>用户</w:t>
      </w:r>
      <w:r>
        <w:rPr>
          <w:rFonts w:hint="default" w:ascii="Times New Roman" w:hAnsi="Times New Roman" w:cs="Times New Roman"/>
          <w:b/>
          <w:bCs/>
          <w:color w:val="auto"/>
          <w:sz w:val="32"/>
          <w:szCs w:val="32"/>
          <w:highlight w:val="none"/>
        </w:rPr>
        <w:t>需求书</w:t>
      </w:r>
    </w:p>
    <w:p w14:paraId="39D1B3AD">
      <w:pPr>
        <w:spacing w:line="360" w:lineRule="auto"/>
        <w:jc w:val="center"/>
        <w:rPr>
          <w:rFonts w:hint="default" w:ascii="Times New Roman" w:hAnsi="Times New Roman" w:eastAsia="仿宋_GB2312" w:cs="Times New Roman"/>
          <w:color w:val="auto"/>
          <w:sz w:val="32"/>
          <w:szCs w:val="32"/>
          <w:highlight w:val="none"/>
        </w:rPr>
      </w:pPr>
    </w:p>
    <w:p w14:paraId="2D26C503">
      <w:pPr>
        <w:pStyle w:val="33"/>
        <w:numPr>
          <w:ilvl w:val="0"/>
          <w:numId w:val="1"/>
        </w:numPr>
        <w:spacing w:line="360" w:lineRule="auto"/>
        <w:ind w:left="0" w:leftChars="0" w:firstLine="4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基本情况</w:t>
      </w:r>
    </w:p>
    <w:p w14:paraId="2D981E9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由</w:t>
      </w:r>
      <w:r>
        <w:rPr>
          <w:rFonts w:hint="default" w:ascii="Times New Roman" w:hAnsi="Times New Roman" w:eastAsia="宋体" w:cs="Times New Roman"/>
          <w:color w:val="auto"/>
          <w:szCs w:val="21"/>
          <w:highlight w:val="none"/>
          <w:lang w:val="zh-CN"/>
        </w:rPr>
        <w:t>东莞市</w:t>
      </w:r>
      <w:r>
        <w:rPr>
          <w:rFonts w:hint="default" w:ascii="Times New Roman" w:hAnsi="Times New Roman" w:eastAsia="宋体" w:cs="Times New Roman"/>
          <w:color w:val="auto"/>
          <w:szCs w:val="21"/>
          <w:highlight w:val="none"/>
        </w:rPr>
        <w:t>尚源环能科技有限公司负责投资建设的东莞市污泥集中处理处置项目（下称“污泥项目”，地址是广东省东莞市沙田镇立沙中路（东莞市丰业固体废物处理中心北面）），计划于2026年</w:t>
      </w:r>
      <w:r>
        <w:rPr>
          <w:rFonts w:hint="default" w:ascii="Times New Roman" w:hAnsi="Times New Roman" w:cs="Times New Roman"/>
          <w:color w:val="auto"/>
          <w:szCs w:val="21"/>
          <w:highlight w:val="none"/>
        </w:rPr>
        <w:t>6月投产运营，需要</w:t>
      </w:r>
      <w:r>
        <w:rPr>
          <w:rFonts w:hint="eastAsia" w:ascii="Times New Roman" w:hAnsi="Times New Roman" w:cs="Times New Roman"/>
          <w:color w:val="auto"/>
          <w:szCs w:val="21"/>
          <w:highlight w:val="none"/>
          <w:lang w:val="en-US" w:eastAsia="zh-CN"/>
        </w:rPr>
        <w:t>将全</w:t>
      </w:r>
      <w:r>
        <w:rPr>
          <w:rFonts w:hint="default" w:ascii="Times New Roman" w:hAnsi="Times New Roman" w:cs="Times New Roman"/>
          <w:color w:val="auto"/>
          <w:szCs w:val="21"/>
          <w:highlight w:val="none"/>
        </w:rPr>
        <w:t>市生活污水处理厂产生的污泥</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含水率</w:t>
      </w:r>
      <w:r>
        <w:rPr>
          <w:rFonts w:hint="eastAsia" w:ascii="Times New Roman" w:hAnsi="Times New Roman" w:cs="Times New Roman"/>
          <w:color w:val="auto"/>
          <w:szCs w:val="21"/>
          <w:highlight w:val="none"/>
          <w:lang w:val="en-US" w:eastAsia="zh-CN"/>
        </w:rPr>
        <w:t>不高于</w:t>
      </w:r>
      <w:r>
        <w:rPr>
          <w:rFonts w:hint="default" w:ascii="Times New Roman" w:hAnsi="Times New Roman" w:cs="Times New Roman"/>
          <w:color w:val="auto"/>
          <w:szCs w:val="21"/>
          <w:highlight w:val="none"/>
        </w:rPr>
        <w:t>60%</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除非特殊说明，本用户需求书的污泥均已折算成含水率60%</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转运至污泥项目，以保障污泥妥善处理处置</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因此，开展污泥运输管理服务采购项目（下称“运输项目”或“本项目”）</w:t>
      </w:r>
      <w:r>
        <w:rPr>
          <w:rFonts w:hint="default" w:ascii="Times New Roman" w:hAnsi="Times New Roman" w:cs="Times New Roman"/>
          <w:color w:val="auto"/>
          <w:szCs w:val="21"/>
          <w:highlight w:val="none"/>
        </w:rPr>
        <w:t>。</w:t>
      </w:r>
    </w:p>
    <w:p w14:paraId="73A3BA3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eastAsia"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目前东莞市共有69家生活污水处理厂，预计污泥项目运营期</w:t>
      </w:r>
      <w:r>
        <w:rPr>
          <w:rFonts w:hint="eastAsia" w:ascii="Times New Roman" w:hAnsi="Times New Roman" w:cs="Times New Roman"/>
          <w:color w:val="auto"/>
          <w:szCs w:val="21"/>
          <w:highlight w:val="none"/>
          <w:lang w:val="en-US" w:eastAsia="zh-CN"/>
        </w:rPr>
        <w:t>第一、二</w:t>
      </w:r>
      <w:r>
        <w:rPr>
          <w:rFonts w:hint="default" w:ascii="Times New Roman" w:hAnsi="Times New Roman" w:cs="Times New Roman"/>
          <w:color w:val="auto"/>
          <w:szCs w:val="21"/>
          <w:highlight w:val="none"/>
        </w:rPr>
        <w:t>年的</w:t>
      </w:r>
      <w:r>
        <w:rPr>
          <w:rFonts w:hint="eastAsia" w:ascii="Times New Roman" w:hAnsi="Times New Roman" w:cs="Times New Roman"/>
          <w:color w:val="auto"/>
          <w:szCs w:val="21"/>
          <w:highlight w:val="none"/>
          <w:lang w:val="en-US" w:eastAsia="zh-CN"/>
        </w:rPr>
        <w:t>负荷率</w:t>
      </w:r>
      <w:r>
        <w:rPr>
          <w:rFonts w:hint="default" w:ascii="Times New Roman" w:hAnsi="Times New Roman" w:cs="Times New Roman"/>
          <w:color w:val="auto"/>
          <w:szCs w:val="21"/>
          <w:highlight w:val="none"/>
        </w:rPr>
        <w:t>平均值为1400吨/日，满负荷状态下可达2000吨/日</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eastAsia="zh-CN"/>
        </w:rPr>
        <w:t>招标人</w:t>
      </w:r>
      <w:r>
        <w:rPr>
          <w:rFonts w:hint="eastAsia" w:ascii="Times New Roman" w:hAnsi="Times New Roman" w:cs="Times New Roman"/>
          <w:color w:val="auto"/>
          <w:szCs w:val="21"/>
          <w:highlight w:val="none"/>
          <w:lang w:val="en-US" w:eastAsia="zh-CN"/>
        </w:rPr>
        <w:t>计划提供</w:t>
      </w:r>
      <w:r>
        <w:rPr>
          <w:rFonts w:hint="default" w:ascii="Times New Roman" w:hAnsi="Times New Roman" w:cs="Times New Roman"/>
          <w:color w:val="auto"/>
          <w:szCs w:val="21"/>
          <w:highlight w:val="none"/>
        </w:rPr>
        <w:t>20台载重30吨的纯电污泥运输车和5台载重20吨的纯电污泥运输车</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具体数量以合同约定为准</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，需要</w:t>
      </w: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提供</w:t>
      </w:r>
      <w:r>
        <w:rPr>
          <w:rFonts w:hint="default" w:ascii="Times New Roman" w:hAnsi="Times New Roman" w:cs="Times New Roman"/>
          <w:color w:val="auto"/>
          <w:szCs w:val="21"/>
          <w:highlight w:val="none"/>
          <w:lang w:val="en-US" w:eastAsia="zh-CN"/>
        </w:rPr>
        <w:t>运输车队管理服务</w:t>
      </w:r>
      <w:r>
        <w:rPr>
          <w:rFonts w:hint="default" w:ascii="Times New Roman" w:hAnsi="Times New Roman" w:cs="Times New Roman"/>
          <w:color w:val="auto"/>
          <w:szCs w:val="21"/>
          <w:highlight w:val="none"/>
        </w:rPr>
        <w:t>，各污水</w:t>
      </w:r>
      <w:r>
        <w:rPr>
          <w:rFonts w:hint="eastAsia" w:ascii="Times New Roman" w:hAnsi="Times New Roman" w:cs="Times New Roman"/>
          <w:color w:val="auto"/>
          <w:szCs w:val="21"/>
          <w:highlight w:val="none"/>
          <w:lang w:val="en-US" w:eastAsia="zh-CN"/>
        </w:rPr>
        <w:t>处理</w:t>
      </w:r>
      <w:r>
        <w:rPr>
          <w:rFonts w:hint="default" w:ascii="Times New Roman" w:hAnsi="Times New Roman" w:cs="Times New Roman"/>
          <w:color w:val="auto"/>
          <w:szCs w:val="21"/>
          <w:highlight w:val="none"/>
        </w:rPr>
        <w:t>厂清单如下：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780"/>
        <w:gridCol w:w="2211"/>
        <w:gridCol w:w="1750"/>
        <w:gridCol w:w="2126"/>
      </w:tblGrid>
      <w:tr w14:paraId="34DD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84" w:type="pct"/>
            <w:noWrap/>
            <w:vAlign w:val="center"/>
          </w:tcPr>
          <w:p w14:paraId="2C9EFFF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序号</w:t>
            </w:r>
          </w:p>
        </w:tc>
        <w:tc>
          <w:tcPr>
            <w:tcW w:w="1044" w:type="pct"/>
            <w:vAlign w:val="center"/>
          </w:tcPr>
          <w:p w14:paraId="6ACD8A3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所在片区</w:t>
            </w:r>
            <w:r>
              <w:rPr>
                <w:rFonts w:hint="default" w:ascii="Times New Roman" w:hAnsi="Times New Roman" w:eastAsia="宋体" w:cs="Times New Roman"/>
                <w:color w:val="auto"/>
                <w:kern w:val="0"/>
                <w:sz w:val="21"/>
                <w:szCs w:val="21"/>
                <w:highlight w:val="none"/>
              </w:rPr>
              <w:br w:type="textWrapping"/>
            </w:r>
            <w:r>
              <w:rPr>
                <w:rFonts w:hint="default" w:ascii="Times New Roman" w:hAnsi="Times New Roman" w:eastAsia="宋体" w:cs="Times New Roman"/>
                <w:color w:val="auto"/>
                <w:kern w:val="0"/>
                <w:sz w:val="21"/>
                <w:szCs w:val="21"/>
                <w:highlight w:val="none"/>
              </w:rPr>
              <w:t>（按流域划分）</w:t>
            </w:r>
          </w:p>
        </w:tc>
        <w:tc>
          <w:tcPr>
            <w:tcW w:w="1297" w:type="pct"/>
            <w:noWrap/>
            <w:vAlign w:val="center"/>
          </w:tcPr>
          <w:p w14:paraId="6A3BDBEF">
            <w:pPr>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污水厂简称</w:t>
            </w:r>
          </w:p>
        </w:tc>
        <w:tc>
          <w:tcPr>
            <w:tcW w:w="1026" w:type="pct"/>
            <w:vAlign w:val="center"/>
          </w:tcPr>
          <w:p w14:paraId="15714129">
            <w:pPr>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单程运输距离（km）</w:t>
            </w:r>
          </w:p>
        </w:tc>
        <w:tc>
          <w:tcPr>
            <w:tcW w:w="1247" w:type="pct"/>
            <w:vAlign w:val="center"/>
          </w:tcPr>
          <w:p w14:paraId="28D14DE6">
            <w:pPr>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产泥量（t/d）</w:t>
            </w:r>
          </w:p>
        </w:tc>
      </w:tr>
      <w:tr w14:paraId="0FD6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617AFA6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1044" w:type="pct"/>
            <w:noWrap/>
            <w:vAlign w:val="center"/>
          </w:tcPr>
          <w:p w14:paraId="45E4FFF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7D3D33B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茶山厂</w:t>
            </w:r>
          </w:p>
        </w:tc>
        <w:tc>
          <w:tcPr>
            <w:tcW w:w="1026" w:type="pct"/>
            <w:noWrap/>
            <w:vAlign w:val="center"/>
          </w:tcPr>
          <w:p w14:paraId="2FF61D7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38.90 </w:t>
            </w:r>
          </w:p>
        </w:tc>
        <w:tc>
          <w:tcPr>
            <w:tcW w:w="1247" w:type="pct"/>
            <w:vAlign w:val="center"/>
          </w:tcPr>
          <w:p w14:paraId="0298835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21.34 </w:t>
            </w:r>
          </w:p>
        </w:tc>
      </w:tr>
      <w:tr w14:paraId="4E62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AE7C32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1044" w:type="pct"/>
            <w:noWrap/>
            <w:vAlign w:val="center"/>
          </w:tcPr>
          <w:p w14:paraId="1835F10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686D69A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常平东厂二期</w:t>
            </w:r>
          </w:p>
        </w:tc>
        <w:tc>
          <w:tcPr>
            <w:tcW w:w="1026" w:type="pct"/>
            <w:noWrap/>
            <w:vAlign w:val="center"/>
          </w:tcPr>
          <w:p w14:paraId="487BBF2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58.70 </w:t>
            </w:r>
          </w:p>
        </w:tc>
        <w:tc>
          <w:tcPr>
            <w:tcW w:w="1247" w:type="pct"/>
            <w:vAlign w:val="center"/>
          </w:tcPr>
          <w:p w14:paraId="550D9C8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11.03 </w:t>
            </w:r>
          </w:p>
        </w:tc>
      </w:tr>
      <w:tr w14:paraId="0BB9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50FD70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1044" w:type="pct"/>
            <w:noWrap/>
            <w:vAlign w:val="center"/>
          </w:tcPr>
          <w:p w14:paraId="6BB83D9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161FD03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常平东厂一期</w:t>
            </w:r>
          </w:p>
        </w:tc>
        <w:tc>
          <w:tcPr>
            <w:tcW w:w="1026" w:type="pct"/>
            <w:noWrap/>
            <w:vAlign w:val="center"/>
          </w:tcPr>
          <w:p w14:paraId="5D83289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58.70 </w:t>
            </w:r>
          </w:p>
        </w:tc>
        <w:tc>
          <w:tcPr>
            <w:tcW w:w="1247" w:type="pct"/>
            <w:vAlign w:val="center"/>
          </w:tcPr>
          <w:p w14:paraId="7C5A12F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18.88 </w:t>
            </w:r>
          </w:p>
        </w:tc>
      </w:tr>
      <w:tr w14:paraId="6E8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55BD006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1044" w:type="pct"/>
            <w:noWrap/>
            <w:vAlign w:val="center"/>
          </w:tcPr>
          <w:p w14:paraId="4EC59A6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0DC14E9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常平西厂二期</w:t>
            </w:r>
          </w:p>
        </w:tc>
        <w:tc>
          <w:tcPr>
            <w:tcW w:w="1026" w:type="pct"/>
            <w:noWrap/>
            <w:vAlign w:val="center"/>
          </w:tcPr>
          <w:p w14:paraId="4BF0C34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51.80 </w:t>
            </w:r>
          </w:p>
        </w:tc>
        <w:tc>
          <w:tcPr>
            <w:tcW w:w="1247" w:type="pct"/>
            <w:vAlign w:val="center"/>
          </w:tcPr>
          <w:p w14:paraId="5C84217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27.99 </w:t>
            </w:r>
          </w:p>
        </w:tc>
      </w:tr>
      <w:tr w14:paraId="7B78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538DC83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1044" w:type="pct"/>
            <w:noWrap/>
            <w:vAlign w:val="center"/>
          </w:tcPr>
          <w:p w14:paraId="01464AE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00B576B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常平西厂一期</w:t>
            </w:r>
          </w:p>
        </w:tc>
        <w:tc>
          <w:tcPr>
            <w:tcW w:w="1026" w:type="pct"/>
            <w:noWrap/>
            <w:vAlign w:val="center"/>
          </w:tcPr>
          <w:p w14:paraId="4C97ED5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51.80 </w:t>
            </w:r>
          </w:p>
        </w:tc>
        <w:tc>
          <w:tcPr>
            <w:tcW w:w="1247" w:type="pct"/>
            <w:vAlign w:val="center"/>
          </w:tcPr>
          <w:p w14:paraId="5D0EA43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36.01 </w:t>
            </w:r>
          </w:p>
        </w:tc>
      </w:tr>
      <w:tr w14:paraId="0F0B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531D24B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1044" w:type="pct"/>
            <w:noWrap/>
            <w:vAlign w:val="center"/>
          </w:tcPr>
          <w:p w14:paraId="2015823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7431C26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大岭山连马厂一期</w:t>
            </w:r>
          </w:p>
        </w:tc>
        <w:tc>
          <w:tcPr>
            <w:tcW w:w="1026" w:type="pct"/>
            <w:noWrap/>
            <w:vAlign w:val="center"/>
          </w:tcPr>
          <w:p w14:paraId="33FD149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37.70 </w:t>
            </w:r>
          </w:p>
        </w:tc>
        <w:tc>
          <w:tcPr>
            <w:tcW w:w="1247" w:type="pct"/>
            <w:vAlign w:val="center"/>
          </w:tcPr>
          <w:p w14:paraId="26691A6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25.16 </w:t>
            </w:r>
          </w:p>
        </w:tc>
      </w:tr>
      <w:tr w14:paraId="1EAA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4833A55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1044" w:type="pct"/>
            <w:noWrap/>
            <w:vAlign w:val="center"/>
          </w:tcPr>
          <w:p w14:paraId="005A76A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29860D0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道滘厂</w:t>
            </w:r>
          </w:p>
        </w:tc>
        <w:tc>
          <w:tcPr>
            <w:tcW w:w="1026" w:type="pct"/>
            <w:noWrap/>
            <w:vAlign w:val="center"/>
          </w:tcPr>
          <w:p w14:paraId="16ADA54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15.40 </w:t>
            </w:r>
          </w:p>
        </w:tc>
        <w:tc>
          <w:tcPr>
            <w:tcW w:w="1247" w:type="pct"/>
            <w:vAlign w:val="center"/>
          </w:tcPr>
          <w:p w14:paraId="515D1CF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9.19 </w:t>
            </w:r>
          </w:p>
        </w:tc>
      </w:tr>
      <w:tr w14:paraId="1A6A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4C03AF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1044" w:type="pct"/>
            <w:noWrap/>
            <w:vAlign w:val="center"/>
          </w:tcPr>
          <w:p w14:paraId="5DA28EB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4048CCE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东城牛山厂二期</w:t>
            </w:r>
          </w:p>
        </w:tc>
        <w:tc>
          <w:tcPr>
            <w:tcW w:w="1026" w:type="pct"/>
            <w:noWrap/>
            <w:vAlign w:val="center"/>
          </w:tcPr>
          <w:p w14:paraId="43EA9BE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28.70 </w:t>
            </w:r>
          </w:p>
        </w:tc>
        <w:tc>
          <w:tcPr>
            <w:tcW w:w="1247" w:type="pct"/>
            <w:vAlign w:val="center"/>
          </w:tcPr>
          <w:p w14:paraId="4A24A22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5.24 </w:t>
            </w:r>
          </w:p>
        </w:tc>
      </w:tr>
      <w:tr w14:paraId="3633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119DDAC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1044" w:type="pct"/>
            <w:noWrap/>
            <w:vAlign w:val="center"/>
          </w:tcPr>
          <w:p w14:paraId="6FDF092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5A6E85C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东城牛山厂一期</w:t>
            </w:r>
          </w:p>
        </w:tc>
        <w:tc>
          <w:tcPr>
            <w:tcW w:w="1026" w:type="pct"/>
            <w:noWrap/>
            <w:vAlign w:val="center"/>
          </w:tcPr>
          <w:p w14:paraId="5D0F7CC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28.70 </w:t>
            </w:r>
          </w:p>
        </w:tc>
        <w:tc>
          <w:tcPr>
            <w:tcW w:w="1247" w:type="pct"/>
            <w:vAlign w:val="center"/>
          </w:tcPr>
          <w:p w14:paraId="433CE54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6.69 </w:t>
            </w:r>
          </w:p>
        </w:tc>
      </w:tr>
      <w:tr w14:paraId="503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28A3C4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1044" w:type="pct"/>
            <w:noWrap/>
            <w:vAlign w:val="center"/>
          </w:tcPr>
          <w:p w14:paraId="0C3696C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2543323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东城温塘厂一期</w:t>
            </w:r>
          </w:p>
        </w:tc>
        <w:tc>
          <w:tcPr>
            <w:tcW w:w="1026" w:type="pct"/>
            <w:noWrap/>
            <w:vAlign w:val="center"/>
          </w:tcPr>
          <w:p w14:paraId="1DEAB50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35.10 </w:t>
            </w:r>
          </w:p>
        </w:tc>
        <w:tc>
          <w:tcPr>
            <w:tcW w:w="1247" w:type="pct"/>
            <w:vAlign w:val="center"/>
          </w:tcPr>
          <w:p w14:paraId="6805572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14.40 </w:t>
            </w:r>
          </w:p>
        </w:tc>
      </w:tr>
      <w:tr w14:paraId="5E83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047FF5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1044" w:type="pct"/>
            <w:noWrap/>
            <w:vAlign w:val="center"/>
          </w:tcPr>
          <w:p w14:paraId="151BAFB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62316DF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凤岗雁田厂一二期</w:t>
            </w:r>
          </w:p>
        </w:tc>
        <w:tc>
          <w:tcPr>
            <w:tcW w:w="1026" w:type="pct"/>
            <w:noWrap/>
            <w:vAlign w:val="center"/>
          </w:tcPr>
          <w:p w14:paraId="1D54EFE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83.30 </w:t>
            </w:r>
          </w:p>
        </w:tc>
        <w:tc>
          <w:tcPr>
            <w:tcW w:w="1247" w:type="pct"/>
            <w:vAlign w:val="center"/>
          </w:tcPr>
          <w:p w14:paraId="44220D2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16.98 </w:t>
            </w:r>
          </w:p>
        </w:tc>
      </w:tr>
      <w:tr w14:paraId="6DC4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0ED1C7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1044" w:type="pct"/>
            <w:noWrap/>
            <w:vAlign w:val="center"/>
          </w:tcPr>
          <w:p w14:paraId="536AD4B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446FE45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凤岗竹塘厂二期</w:t>
            </w:r>
          </w:p>
        </w:tc>
        <w:tc>
          <w:tcPr>
            <w:tcW w:w="1026" w:type="pct"/>
            <w:noWrap/>
            <w:vAlign w:val="center"/>
          </w:tcPr>
          <w:p w14:paraId="1398F39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78.60 </w:t>
            </w:r>
          </w:p>
        </w:tc>
        <w:tc>
          <w:tcPr>
            <w:tcW w:w="1247" w:type="pct"/>
            <w:vAlign w:val="center"/>
          </w:tcPr>
          <w:p w14:paraId="1FBB210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20.33 </w:t>
            </w:r>
          </w:p>
        </w:tc>
      </w:tr>
      <w:tr w14:paraId="6FE5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4E3E01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1044" w:type="pct"/>
            <w:noWrap/>
            <w:vAlign w:val="center"/>
          </w:tcPr>
          <w:p w14:paraId="2518A84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3DFD529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凤岗竹塘厂一期</w:t>
            </w:r>
          </w:p>
        </w:tc>
        <w:tc>
          <w:tcPr>
            <w:tcW w:w="1026" w:type="pct"/>
            <w:noWrap/>
            <w:vAlign w:val="center"/>
          </w:tcPr>
          <w:p w14:paraId="3A5527D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78.60 </w:t>
            </w:r>
          </w:p>
        </w:tc>
        <w:tc>
          <w:tcPr>
            <w:tcW w:w="1247" w:type="pct"/>
            <w:vAlign w:val="center"/>
          </w:tcPr>
          <w:p w14:paraId="2F3FBC2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11.58 </w:t>
            </w:r>
          </w:p>
        </w:tc>
      </w:tr>
      <w:tr w14:paraId="0FA8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4D55425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1044" w:type="pct"/>
            <w:noWrap/>
            <w:vAlign w:val="center"/>
          </w:tcPr>
          <w:p w14:paraId="5ADE803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24EA50F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高埗厂二期</w:t>
            </w:r>
          </w:p>
        </w:tc>
        <w:tc>
          <w:tcPr>
            <w:tcW w:w="1026" w:type="pct"/>
            <w:noWrap/>
            <w:vAlign w:val="center"/>
          </w:tcPr>
          <w:p w14:paraId="4C31056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28.70 </w:t>
            </w:r>
          </w:p>
        </w:tc>
        <w:tc>
          <w:tcPr>
            <w:tcW w:w="1247" w:type="pct"/>
            <w:vAlign w:val="center"/>
          </w:tcPr>
          <w:p w14:paraId="2350D66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6.97 </w:t>
            </w:r>
          </w:p>
        </w:tc>
      </w:tr>
      <w:tr w14:paraId="0641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5D0967B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1044" w:type="pct"/>
            <w:noWrap/>
            <w:vAlign w:val="center"/>
          </w:tcPr>
          <w:p w14:paraId="4CDD8FE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6AE7883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高埗厂一期</w:t>
            </w:r>
          </w:p>
        </w:tc>
        <w:tc>
          <w:tcPr>
            <w:tcW w:w="1026" w:type="pct"/>
            <w:noWrap/>
            <w:vAlign w:val="center"/>
          </w:tcPr>
          <w:p w14:paraId="4F62396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28.70 </w:t>
            </w:r>
          </w:p>
        </w:tc>
        <w:tc>
          <w:tcPr>
            <w:tcW w:w="1247" w:type="pct"/>
            <w:vAlign w:val="center"/>
          </w:tcPr>
          <w:p w14:paraId="6420978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12.31 </w:t>
            </w:r>
          </w:p>
        </w:tc>
      </w:tr>
      <w:tr w14:paraId="4C14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1BBC85E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1044" w:type="pct"/>
            <w:noWrap/>
            <w:vAlign w:val="center"/>
          </w:tcPr>
          <w:p w14:paraId="2A6AD0F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5EDF042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横沥东坑厂一期</w:t>
            </w:r>
          </w:p>
        </w:tc>
        <w:tc>
          <w:tcPr>
            <w:tcW w:w="1026" w:type="pct"/>
            <w:noWrap/>
            <w:vAlign w:val="center"/>
          </w:tcPr>
          <w:p w14:paraId="2CAEE1A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46.80 </w:t>
            </w:r>
          </w:p>
        </w:tc>
        <w:tc>
          <w:tcPr>
            <w:tcW w:w="1247" w:type="pct"/>
            <w:vAlign w:val="center"/>
          </w:tcPr>
          <w:p w14:paraId="44DDCEC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30.31 </w:t>
            </w:r>
          </w:p>
        </w:tc>
      </w:tr>
      <w:tr w14:paraId="34EC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450DA22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1044" w:type="pct"/>
            <w:noWrap/>
            <w:vAlign w:val="center"/>
          </w:tcPr>
          <w:p w14:paraId="3712D0B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67DDE3C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厚街沙塘厂二期</w:t>
            </w:r>
          </w:p>
        </w:tc>
        <w:tc>
          <w:tcPr>
            <w:tcW w:w="1026" w:type="pct"/>
            <w:noWrap/>
            <w:vAlign w:val="center"/>
          </w:tcPr>
          <w:p w14:paraId="4679422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17.00 </w:t>
            </w:r>
          </w:p>
        </w:tc>
        <w:tc>
          <w:tcPr>
            <w:tcW w:w="1247" w:type="pct"/>
            <w:vAlign w:val="center"/>
          </w:tcPr>
          <w:p w14:paraId="2EB9954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31.05 </w:t>
            </w:r>
          </w:p>
        </w:tc>
      </w:tr>
      <w:tr w14:paraId="5494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C30DFB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1044" w:type="pct"/>
            <w:noWrap/>
            <w:vAlign w:val="center"/>
          </w:tcPr>
          <w:p w14:paraId="7A02B40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54C2A22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厚街沙塘厂一期</w:t>
            </w:r>
          </w:p>
        </w:tc>
        <w:tc>
          <w:tcPr>
            <w:tcW w:w="1026" w:type="pct"/>
            <w:noWrap/>
            <w:vAlign w:val="center"/>
          </w:tcPr>
          <w:p w14:paraId="49D3920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17.00 </w:t>
            </w:r>
          </w:p>
        </w:tc>
        <w:tc>
          <w:tcPr>
            <w:tcW w:w="1247" w:type="pct"/>
            <w:vAlign w:val="center"/>
          </w:tcPr>
          <w:p w14:paraId="3AD8CEF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32.42 </w:t>
            </w:r>
          </w:p>
        </w:tc>
      </w:tr>
      <w:tr w14:paraId="0EC3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0CA0BB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1044" w:type="pct"/>
            <w:noWrap/>
            <w:vAlign w:val="center"/>
          </w:tcPr>
          <w:p w14:paraId="122F97D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46E1B7D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虎门海岛厂一期</w:t>
            </w:r>
          </w:p>
        </w:tc>
        <w:tc>
          <w:tcPr>
            <w:tcW w:w="1026" w:type="pct"/>
            <w:noWrap/>
            <w:vAlign w:val="center"/>
          </w:tcPr>
          <w:p w14:paraId="5C56F35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20.60 </w:t>
            </w:r>
          </w:p>
        </w:tc>
        <w:tc>
          <w:tcPr>
            <w:tcW w:w="1247" w:type="pct"/>
            <w:vAlign w:val="center"/>
          </w:tcPr>
          <w:p w14:paraId="083BDDE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2.11 </w:t>
            </w:r>
          </w:p>
        </w:tc>
      </w:tr>
      <w:tr w14:paraId="3E99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865516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1044" w:type="pct"/>
            <w:noWrap/>
            <w:vAlign w:val="center"/>
          </w:tcPr>
          <w:p w14:paraId="61F1518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01D0C7C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虎门宁洲厂二期</w:t>
            </w:r>
          </w:p>
        </w:tc>
        <w:tc>
          <w:tcPr>
            <w:tcW w:w="1026" w:type="pct"/>
            <w:noWrap/>
            <w:vAlign w:val="center"/>
          </w:tcPr>
          <w:p w14:paraId="418C4E0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30.40 </w:t>
            </w:r>
          </w:p>
        </w:tc>
        <w:tc>
          <w:tcPr>
            <w:tcW w:w="1247" w:type="pct"/>
            <w:vAlign w:val="center"/>
          </w:tcPr>
          <w:p w14:paraId="16BC7BC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34.32 </w:t>
            </w:r>
          </w:p>
        </w:tc>
      </w:tr>
      <w:tr w14:paraId="68FF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189345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1044" w:type="pct"/>
            <w:noWrap/>
            <w:vAlign w:val="center"/>
          </w:tcPr>
          <w:p w14:paraId="77A9FDE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4F7EF41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虎门宁洲厂三期</w:t>
            </w:r>
          </w:p>
        </w:tc>
        <w:tc>
          <w:tcPr>
            <w:tcW w:w="1026" w:type="pct"/>
            <w:noWrap/>
            <w:vAlign w:val="center"/>
          </w:tcPr>
          <w:p w14:paraId="546605F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30.40 </w:t>
            </w:r>
          </w:p>
        </w:tc>
        <w:tc>
          <w:tcPr>
            <w:tcW w:w="1247" w:type="pct"/>
            <w:vAlign w:val="center"/>
          </w:tcPr>
          <w:p w14:paraId="34620E6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18.37 </w:t>
            </w:r>
          </w:p>
        </w:tc>
      </w:tr>
      <w:tr w14:paraId="3FA3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97907E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1044" w:type="pct"/>
            <w:noWrap/>
            <w:vAlign w:val="center"/>
          </w:tcPr>
          <w:p w14:paraId="7331A2B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523CAA0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虎门宁洲厂一期</w:t>
            </w:r>
          </w:p>
        </w:tc>
        <w:tc>
          <w:tcPr>
            <w:tcW w:w="1026" w:type="pct"/>
            <w:noWrap/>
            <w:vAlign w:val="center"/>
          </w:tcPr>
          <w:p w14:paraId="7C540DD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30.40 </w:t>
            </w:r>
          </w:p>
        </w:tc>
        <w:tc>
          <w:tcPr>
            <w:tcW w:w="1247" w:type="pct"/>
            <w:vAlign w:val="center"/>
          </w:tcPr>
          <w:p w14:paraId="11BF0BD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35.16 </w:t>
            </w:r>
          </w:p>
        </w:tc>
      </w:tr>
      <w:tr w14:paraId="5AEA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25E2BC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1044" w:type="pct"/>
            <w:noWrap/>
            <w:vAlign w:val="center"/>
          </w:tcPr>
          <w:p w14:paraId="71C2480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45534E5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黄江厂二期</w:t>
            </w:r>
          </w:p>
        </w:tc>
        <w:tc>
          <w:tcPr>
            <w:tcW w:w="1026" w:type="pct"/>
            <w:noWrap/>
            <w:vAlign w:val="center"/>
          </w:tcPr>
          <w:p w14:paraId="27F0C60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54.50 </w:t>
            </w:r>
          </w:p>
        </w:tc>
        <w:tc>
          <w:tcPr>
            <w:tcW w:w="1247" w:type="pct"/>
            <w:vAlign w:val="center"/>
          </w:tcPr>
          <w:p w14:paraId="3ECF212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20.33 </w:t>
            </w:r>
          </w:p>
        </w:tc>
      </w:tr>
      <w:tr w14:paraId="5A9F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01CD1C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w:t>
            </w:r>
          </w:p>
        </w:tc>
        <w:tc>
          <w:tcPr>
            <w:tcW w:w="1044" w:type="pct"/>
            <w:noWrap/>
            <w:vAlign w:val="center"/>
          </w:tcPr>
          <w:p w14:paraId="6CA7F29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02117E8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黄江厂一期</w:t>
            </w:r>
          </w:p>
        </w:tc>
        <w:tc>
          <w:tcPr>
            <w:tcW w:w="1026" w:type="pct"/>
            <w:noWrap/>
            <w:vAlign w:val="center"/>
          </w:tcPr>
          <w:p w14:paraId="742F6E1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54.50 </w:t>
            </w:r>
          </w:p>
        </w:tc>
        <w:tc>
          <w:tcPr>
            <w:tcW w:w="1247" w:type="pct"/>
            <w:vAlign w:val="center"/>
          </w:tcPr>
          <w:p w14:paraId="0192319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16.22 </w:t>
            </w:r>
          </w:p>
        </w:tc>
      </w:tr>
      <w:tr w14:paraId="1592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53DC02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w:t>
            </w:r>
          </w:p>
        </w:tc>
        <w:tc>
          <w:tcPr>
            <w:tcW w:w="1044" w:type="pct"/>
            <w:noWrap/>
            <w:vAlign w:val="center"/>
          </w:tcPr>
          <w:p w14:paraId="4D0183C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4E28C9B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寮步竹园厂二期</w:t>
            </w:r>
          </w:p>
        </w:tc>
        <w:tc>
          <w:tcPr>
            <w:tcW w:w="1026" w:type="pct"/>
            <w:noWrap/>
            <w:vAlign w:val="center"/>
          </w:tcPr>
          <w:p w14:paraId="0DD0928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33.40 </w:t>
            </w:r>
          </w:p>
        </w:tc>
        <w:tc>
          <w:tcPr>
            <w:tcW w:w="1247" w:type="pct"/>
            <w:vAlign w:val="center"/>
          </w:tcPr>
          <w:p w14:paraId="60A9A95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4.81 </w:t>
            </w:r>
          </w:p>
        </w:tc>
      </w:tr>
      <w:tr w14:paraId="02D7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78892C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w:t>
            </w:r>
          </w:p>
        </w:tc>
        <w:tc>
          <w:tcPr>
            <w:tcW w:w="1044" w:type="pct"/>
            <w:noWrap/>
            <w:vAlign w:val="center"/>
          </w:tcPr>
          <w:p w14:paraId="3D73E9A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22D8AF0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寮步竹园厂三期</w:t>
            </w:r>
          </w:p>
        </w:tc>
        <w:tc>
          <w:tcPr>
            <w:tcW w:w="1026" w:type="pct"/>
            <w:noWrap/>
            <w:vAlign w:val="center"/>
          </w:tcPr>
          <w:p w14:paraId="6DC03C5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33.40 </w:t>
            </w:r>
          </w:p>
        </w:tc>
        <w:tc>
          <w:tcPr>
            <w:tcW w:w="1247" w:type="pct"/>
            <w:vAlign w:val="center"/>
          </w:tcPr>
          <w:p w14:paraId="79E9DF1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23.19 </w:t>
            </w:r>
          </w:p>
        </w:tc>
      </w:tr>
      <w:tr w14:paraId="5D69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F967C5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w:t>
            </w:r>
          </w:p>
        </w:tc>
        <w:tc>
          <w:tcPr>
            <w:tcW w:w="1044" w:type="pct"/>
            <w:noWrap/>
            <w:vAlign w:val="center"/>
          </w:tcPr>
          <w:p w14:paraId="3B2C5A1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2F89F2D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寮步竹园厂一期</w:t>
            </w:r>
          </w:p>
        </w:tc>
        <w:tc>
          <w:tcPr>
            <w:tcW w:w="1026" w:type="pct"/>
            <w:noWrap/>
            <w:vAlign w:val="center"/>
          </w:tcPr>
          <w:p w14:paraId="5A35CF9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33.40 </w:t>
            </w:r>
          </w:p>
        </w:tc>
        <w:tc>
          <w:tcPr>
            <w:tcW w:w="1247" w:type="pct"/>
            <w:vAlign w:val="center"/>
          </w:tcPr>
          <w:p w14:paraId="2B2151D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30.08 </w:t>
            </w:r>
          </w:p>
        </w:tc>
      </w:tr>
      <w:tr w14:paraId="748A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5F2289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w:t>
            </w:r>
          </w:p>
        </w:tc>
        <w:tc>
          <w:tcPr>
            <w:tcW w:w="1044" w:type="pct"/>
            <w:noWrap/>
            <w:vAlign w:val="center"/>
          </w:tcPr>
          <w:p w14:paraId="260CBF4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521352D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麻涌厂二期</w:t>
            </w:r>
          </w:p>
        </w:tc>
        <w:tc>
          <w:tcPr>
            <w:tcW w:w="1026" w:type="pct"/>
            <w:noWrap/>
            <w:vAlign w:val="center"/>
          </w:tcPr>
          <w:p w14:paraId="4A5D336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16.90 </w:t>
            </w:r>
          </w:p>
        </w:tc>
        <w:tc>
          <w:tcPr>
            <w:tcW w:w="1247" w:type="pct"/>
            <w:vAlign w:val="center"/>
          </w:tcPr>
          <w:p w14:paraId="300F0AE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4.92 </w:t>
            </w:r>
          </w:p>
        </w:tc>
      </w:tr>
      <w:tr w14:paraId="0520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FDDA3C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w:t>
            </w:r>
          </w:p>
        </w:tc>
        <w:tc>
          <w:tcPr>
            <w:tcW w:w="1044" w:type="pct"/>
            <w:noWrap/>
            <w:vAlign w:val="center"/>
          </w:tcPr>
          <w:p w14:paraId="44E0FF4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06AF306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麻涌厂一期</w:t>
            </w:r>
          </w:p>
        </w:tc>
        <w:tc>
          <w:tcPr>
            <w:tcW w:w="1026" w:type="pct"/>
            <w:noWrap/>
            <w:vAlign w:val="center"/>
          </w:tcPr>
          <w:p w14:paraId="09E0837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16.90 </w:t>
            </w:r>
          </w:p>
        </w:tc>
        <w:tc>
          <w:tcPr>
            <w:tcW w:w="1247" w:type="pct"/>
            <w:vAlign w:val="center"/>
          </w:tcPr>
          <w:p w14:paraId="2F34F86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7.48 </w:t>
            </w:r>
          </w:p>
        </w:tc>
      </w:tr>
      <w:tr w14:paraId="5C61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8CCBE3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30</w:t>
            </w:r>
          </w:p>
        </w:tc>
        <w:tc>
          <w:tcPr>
            <w:tcW w:w="1044" w:type="pct"/>
            <w:noWrap/>
            <w:vAlign w:val="center"/>
          </w:tcPr>
          <w:p w14:paraId="21A9784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7D7910A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南畲朗厂</w:t>
            </w:r>
          </w:p>
        </w:tc>
        <w:tc>
          <w:tcPr>
            <w:tcW w:w="1026" w:type="pct"/>
            <w:noWrap/>
            <w:vAlign w:val="center"/>
          </w:tcPr>
          <w:p w14:paraId="2880484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46.00 </w:t>
            </w:r>
          </w:p>
        </w:tc>
        <w:tc>
          <w:tcPr>
            <w:tcW w:w="1247" w:type="pct"/>
            <w:vAlign w:val="center"/>
          </w:tcPr>
          <w:p w14:paraId="6BAB514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62.87 </w:t>
            </w:r>
          </w:p>
        </w:tc>
      </w:tr>
      <w:tr w14:paraId="3597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F93BF0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w:t>
            </w:r>
          </w:p>
        </w:tc>
        <w:tc>
          <w:tcPr>
            <w:tcW w:w="1044" w:type="pct"/>
            <w:noWrap/>
            <w:vAlign w:val="center"/>
          </w:tcPr>
          <w:p w14:paraId="5214741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75B67C8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企石厂</w:t>
            </w:r>
          </w:p>
        </w:tc>
        <w:tc>
          <w:tcPr>
            <w:tcW w:w="1026" w:type="pct"/>
            <w:noWrap/>
            <w:vAlign w:val="center"/>
          </w:tcPr>
          <w:p w14:paraId="74D54A7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57.20 </w:t>
            </w:r>
          </w:p>
        </w:tc>
        <w:tc>
          <w:tcPr>
            <w:tcW w:w="1247" w:type="pct"/>
            <w:vAlign w:val="center"/>
          </w:tcPr>
          <w:p w14:paraId="0D0B110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12.78 </w:t>
            </w:r>
          </w:p>
        </w:tc>
      </w:tr>
      <w:tr w14:paraId="19A8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1BCD0DF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w:t>
            </w:r>
          </w:p>
        </w:tc>
        <w:tc>
          <w:tcPr>
            <w:tcW w:w="1044" w:type="pct"/>
            <w:noWrap/>
            <w:vAlign w:val="center"/>
          </w:tcPr>
          <w:p w14:paraId="249E1F2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611E64F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桥头厂二期</w:t>
            </w:r>
          </w:p>
        </w:tc>
        <w:tc>
          <w:tcPr>
            <w:tcW w:w="1026" w:type="pct"/>
            <w:noWrap/>
            <w:vAlign w:val="center"/>
          </w:tcPr>
          <w:p w14:paraId="66139E2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63.20 </w:t>
            </w:r>
          </w:p>
        </w:tc>
        <w:tc>
          <w:tcPr>
            <w:tcW w:w="1247" w:type="pct"/>
            <w:vAlign w:val="center"/>
          </w:tcPr>
          <w:p w14:paraId="1411303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11.47 </w:t>
            </w:r>
          </w:p>
        </w:tc>
      </w:tr>
      <w:tr w14:paraId="5EC5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6B2EA39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w:t>
            </w:r>
          </w:p>
        </w:tc>
        <w:tc>
          <w:tcPr>
            <w:tcW w:w="1044" w:type="pct"/>
            <w:noWrap/>
            <w:vAlign w:val="center"/>
          </w:tcPr>
          <w:p w14:paraId="7746049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542BB62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桥头厂一期</w:t>
            </w:r>
          </w:p>
        </w:tc>
        <w:tc>
          <w:tcPr>
            <w:tcW w:w="1026" w:type="pct"/>
            <w:noWrap/>
            <w:vAlign w:val="center"/>
          </w:tcPr>
          <w:p w14:paraId="2BF7DC2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63.20 </w:t>
            </w:r>
          </w:p>
        </w:tc>
        <w:tc>
          <w:tcPr>
            <w:tcW w:w="1247" w:type="pct"/>
            <w:vAlign w:val="center"/>
          </w:tcPr>
          <w:p w14:paraId="72FB3DB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11.25 </w:t>
            </w:r>
          </w:p>
        </w:tc>
      </w:tr>
      <w:tr w14:paraId="5C36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54055AB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w:t>
            </w:r>
          </w:p>
        </w:tc>
        <w:tc>
          <w:tcPr>
            <w:tcW w:w="1044" w:type="pct"/>
            <w:noWrap/>
            <w:vAlign w:val="center"/>
          </w:tcPr>
          <w:p w14:paraId="6C769C7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1D5E381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清溪厦坭厂二期</w:t>
            </w:r>
          </w:p>
        </w:tc>
        <w:tc>
          <w:tcPr>
            <w:tcW w:w="1026" w:type="pct"/>
            <w:noWrap/>
            <w:vAlign w:val="center"/>
          </w:tcPr>
          <w:p w14:paraId="429B55C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76.30 </w:t>
            </w:r>
          </w:p>
        </w:tc>
        <w:tc>
          <w:tcPr>
            <w:tcW w:w="1247" w:type="pct"/>
            <w:vAlign w:val="center"/>
          </w:tcPr>
          <w:p w14:paraId="4FC86CE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6.53 </w:t>
            </w:r>
          </w:p>
        </w:tc>
      </w:tr>
      <w:tr w14:paraId="6E6A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FA6B30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c>
          <w:tcPr>
            <w:tcW w:w="1044" w:type="pct"/>
            <w:noWrap/>
            <w:vAlign w:val="center"/>
          </w:tcPr>
          <w:p w14:paraId="292E012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64EE520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清溪厦坭厂一期</w:t>
            </w:r>
          </w:p>
        </w:tc>
        <w:tc>
          <w:tcPr>
            <w:tcW w:w="1026" w:type="pct"/>
            <w:noWrap/>
            <w:vAlign w:val="center"/>
          </w:tcPr>
          <w:p w14:paraId="25CE178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76.30 </w:t>
            </w:r>
          </w:p>
        </w:tc>
        <w:tc>
          <w:tcPr>
            <w:tcW w:w="1247" w:type="pct"/>
            <w:vAlign w:val="center"/>
          </w:tcPr>
          <w:p w14:paraId="4F3AF60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16.04 </w:t>
            </w:r>
          </w:p>
        </w:tc>
      </w:tr>
      <w:tr w14:paraId="485E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B69F74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1044" w:type="pct"/>
            <w:noWrap/>
            <w:vAlign w:val="center"/>
          </w:tcPr>
          <w:p w14:paraId="7B3FA4D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53A4EF8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清溪长山头厂一二期</w:t>
            </w:r>
          </w:p>
        </w:tc>
        <w:tc>
          <w:tcPr>
            <w:tcW w:w="1026" w:type="pct"/>
            <w:noWrap/>
            <w:vAlign w:val="center"/>
          </w:tcPr>
          <w:p w14:paraId="7986EDD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72.30 </w:t>
            </w:r>
          </w:p>
        </w:tc>
        <w:tc>
          <w:tcPr>
            <w:tcW w:w="1247" w:type="pct"/>
            <w:vAlign w:val="center"/>
          </w:tcPr>
          <w:p w14:paraId="2277B0E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22.82 </w:t>
            </w:r>
          </w:p>
        </w:tc>
      </w:tr>
      <w:tr w14:paraId="23E6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95D893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w:t>
            </w:r>
          </w:p>
        </w:tc>
        <w:tc>
          <w:tcPr>
            <w:tcW w:w="1044" w:type="pct"/>
            <w:noWrap/>
            <w:vAlign w:val="center"/>
          </w:tcPr>
          <w:p w14:paraId="146657A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353C822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沙田福禄沙厂二期</w:t>
            </w:r>
          </w:p>
        </w:tc>
        <w:tc>
          <w:tcPr>
            <w:tcW w:w="1026" w:type="pct"/>
            <w:noWrap/>
            <w:vAlign w:val="center"/>
          </w:tcPr>
          <w:p w14:paraId="6D59AA4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12.10 </w:t>
            </w:r>
          </w:p>
        </w:tc>
        <w:tc>
          <w:tcPr>
            <w:tcW w:w="1247" w:type="pct"/>
            <w:vAlign w:val="center"/>
          </w:tcPr>
          <w:p w14:paraId="5A78EC1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6.72 </w:t>
            </w:r>
          </w:p>
        </w:tc>
      </w:tr>
      <w:tr w14:paraId="7EF1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6CF1926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38</w:t>
            </w:r>
          </w:p>
        </w:tc>
        <w:tc>
          <w:tcPr>
            <w:tcW w:w="1044" w:type="pct"/>
            <w:noWrap/>
            <w:vAlign w:val="center"/>
          </w:tcPr>
          <w:p w14:paraId="0A8A85B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7F37659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沙田福禄沙厂一期</w:t>
            </w:r>
          </w:p>
        </w:tc>
        <w:tc>
          <w:tcPr>
            <w:tcW w:w="1026" w:type="pct"/>
            <w:noWrap/>
            <w:vAlign w:val="center"/>
          </w:tcPr>
          <w:p w14:paraId="0B42061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12.10 </w:t>
            </w:r>
          </w:p>
        </w:tc>
        <w:tc>
          <w:tcPr>
            <w:tcW w:w="1247" w:type="pct"/>
            <w:vAlign w:val="center"/>
          </w:tcPr>
          <w:p w14:paraId="5A2E588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10.92 </w:t>
            </w:r>
          </w:p>
        </w:tc>
      </w:tr>
      <w:tr w14:paraId="58D8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8DDC4A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39</w:t>
            </w:r>
          </w:p>
        </w:tc>
        <w:tc>
          <w:tcPr>
            <w:tcW w:w="1044" w:type="pct"/>
            <w:noWrap/>
            <w:vAlign w:val="center"/>
          </w:tcPr>
          <w:p w14:paraId="3ECE391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087051C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石碣沙腰厂二期</w:t>
            </w:r>
          </w:p>
        </w:tc>
        <w:tc>
          <w:tcPr>
            <w:tcW w:w="1026" w:type="pct"/>
            <w:noWrap/>
            <w:vAlign w:val="center"/>
          </w:tcPr>
          <w:p w14:paraId="57FE7B9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32.70 </w:t>
            </w:r>
          </w:p>
        </w:tc>
        <w:tc>
          <w:tcPr>
            <w:tcW w:w="1247" w:type="pct"/>
            <w:vAlign w:val="center"/>
          </w:tcPr>
          <w:p w14:paraId="10ECD91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15.57 </w:t>
            </w:r>
          </w:p>
        </w:tc>
      </w:tr>
      <w:tr w14:paraId="7BC8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4ADE6E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40</w:t>
            </w:r>
          </w:p>
        </w:tc>
        <w:tc>
          <w:tcPr>
            <w:tcW w:w="1044" w:type="pct"/>
            <w:noWrap/>
            <w:vAlign w:val="center"/>
          </w:tcPr>
          <w:p w14:paraId="4E7FF3B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1DB4F47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石碣沙腰厂一期</w:t>
            </w:r>
          </w:p>
        </w:tc>
        <w:tc>
          <w:tcPr>
            <w:tcW w:w="1026" w:type="pct"/>
            <w:noWrap/>
            <w:vAlign w:val="center"/>
          </w:tcPr>
          <w:p w14:paraId="42135C4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32.70 </w:t>
            </w:r>
          </w:p>
        </w:tc>
        <w:tc>
          <w:tcPr>
            <w:tcW w:w="1247" w:type="pct"/>
            <w:vAlign w:val="center"/>
          </w:tcPr>
          <w:p w14:paraId="5681DB7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16.07 </w:t>
            </w:r>
          </w:p>
        </w:tc>
      </w:tr>
      <w:tr w14:paraId="7687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4B97F08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w:t>
            </w:r>
          </w:p>
        </w:tc>
        <w:tc>
          <w:tcPr>
            <w:tcW w:w="1044" w:type="pct"/>
            <w:noWrap/>
            <w:vAlign w:val="center"/>
          </w:tcPr>
          <w:p w14:paraId="1EF473E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230ED8C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石龙新区厂</w:t>
            </w:r>
          </w:p>
        </w:tc>
        <w:tc>
          <w:tcPr>
            <w:tcW w:w="1026" w:type="pct"/>
            <w:noWrap/>
            <w:vAlign w:val="center"/>
          </w:tcPr>
          <w:p w14:paraId="0B9F3A2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42.20 </w:t>
            </w:r>
          </w:p>
        </w:tc>
        <w:tc>
          <w:tcPr>
            <w:tcW w:w="1247" w:type="pct"/>
            <w:vAlign w:val="center"/>
          </w:tcPr>
          <w:p w14:paraId="648B4D8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7.13 </w:t>
            </w:r>
          </w:p>
        </w:tc>
      </w:tr>
      <w:tr w14:paraId="5684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7B0A16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w:t>
            </w:r>
          </w:p>
        </w:tc>
        <w:tc>
          <w:tcPr>
            <w:tcW w:w="1044" w:type="pct"/>
            <w:noWrap/>
            <w:vAlign w:val="center"/>
          </w:tcPr>
          <w:p w14:paraId="0E2D9BF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06C4B2D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市区厂三期</w:t>
            </w:r>
          </w:p>
        </w:tc>
        <w:tc>
          <w:tcPr>
            <w:tcW w:w="1026" w:type="pct"/>
            <w:noWrap/>
            <w:vAlign w:val="center"/>
          </w:tcPr>
          <w:p w14:paraId="430CA0D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20.60 </w:t>
            </w:r>
          </w:p>
        </w:tc>
        <w:tc>
          <w:tcPr>
            <w:tcW w:w="1247" w:type="pct"/>
            <w:vAlign w:val="center"/>
          </w:tcPr>
          <w:p w14:paraId="457EC3C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88.46 </w:t>
            </w:r>
          </w:p>
        </w:tc>
      </w:tr>
      <w:tr w14:paraId="7560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7C610F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43</w:t>
            </w:r>
          </w:p>
        </w:tc>
        <w:tc>
          <w:tcPr>
            <w:tcW w:w="1044" w:type="pct"/>
            <w:noWrap/>
            <w:vAlign w:val="center"/>
          </w:tcPr>
          <w:p w14:paraId="7485594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3ABEBD3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市区厂一二期</w:t>
            </w:r>
          </w:p>
        </w:tc>
        <w:tc>
          <w:tcPr>
            <w:tcW w:w="1026" w:type="pct"/>
            <w:noWrap/>
            <w:vAlign w:val="center"/>
          </w:tcPr>
          <w:p w14:paraId="426D479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20.60 </w:t>
            </w:r>
          </w:p>
        </w:tc>
        <w:tc>
          <w:tcPr>
            <w:tcW w:w="1247" w:type="pct"/>
            <w:vAlign w:val="center"/>
          </w:tcPr>
          <w:p w14:paraId="15FCE96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28.35 </w:t>
            </w:r>
          </w:p>
        </w:tc>
      </w:tr>
      <w:tr w14:paraId="77E7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300B8A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44</w:t>
            </w:r>
          </w:p>
        </w:tc>
        <w:tc>
          <w:tcPr>
            <w:tcW w:w="1044" w:type="pct"/>
            <w:noWrap/>
            <w:vAlign w:val="center"/>
          </w:tcPr>
          <w:p w14:paraId="4DB927B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5334E4F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松北厂二期</w:t>
            </w:r>
          </w:p>
        </w:tc>
        <w:tc>
          <w:tcPr>
            <w:tcW w:w="1026" w:type="pct"/>
            <w:noWrap/>
            <w:vAlign w:val="center"/>
          </w:tcPr>
          <w:p w14:paraId="2F4151B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41.40 </w:t>
            </w:r>
          </w:p>
        </w:tc>
        <w:tc>
          <w:tcPr>
            <w:tcW w:w="1247" w:type="pct"/>
            <w:vAlign w:val="center"/>
          </w:tcPr>
          <w:p w14:paraId="6510DA6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14.68 </w:t>
            </w:r>
          </w:p>
        </w:tc>
      </w:tr>
      <w:tr w14:paraId="6915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1270B2D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45</w:t>
            </w:r>
          </w:p>
        </w:tc>
        <w:tc>
          <w:tcPr>
            <w:tcW w:w="1044" w:type="pct"/>
            <w:noWrap/>
            <w:vAlign w:val="center"/>
          </w:tcPr>
          <w:p w14:paraId="088A44E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3B82982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松北厂一期</w:t>
            </w:r>
          </w:p>
        </w:tc>
        <w:tc>
          <w:tcPr>
            <w:tcW w:w="1026" w:type="pct"/>
            <w:noWrap/>
            <w:vAlign w:val="center"/>
          </w:tcPr>
          <w:p w14:paraId="1C14E80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41.40 </w:t>
            </w:r>
          </w:p>
        </w:tc>
        <w:tc>
          <w:tcPr>
            <w:tcW w:w="1247" w:type="pct"/>
            <w:vAlign w:val="center"/>
          </w:tcPr>
          <w:p w14:paraId="7D4B1C9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10.00 </w:t>
            </w:r>
          </w:p>
        </w:tc>
      </w:tr>
      <w:tr w14:paraId="7C45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F26FBC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46</w:t>
            </w:r>
          </w:p>
        </w:tc>
        <w:tc>
          <w:tcPr>
            <w:tcW w:w="1044" w:type="pct"/>
            <w:noWrap/>
            <w:vAlign w:val="center"/>
          </w:tcPr>
          <w:p w14:paraId="15966D0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46E11D6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松南厂二期</w:t>
            </w:r>
          </w:p>
        </w:tc>
        <w:tc>
          <w:tcPr>
            <w:tcW w:w="1026" w:type="pct"/>
            <w:noWrap/>
            <w:vAlign w:val="center"/>
          </w:tcPr>
          <w:p w14:paraId="4530CD6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51.30 </w:t>
            </w:r>
          </w:p>
        </w:tc>
        <w:tc>
          <w:tcPr>
            <w:tcW w:w="1247" w:type="pct"/>
            <w:vAlign w:val="center"/>
          </w:tcPr>
          <w:p w14:paraId="67D08AE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34.04 </w:t>
            </w:r>
          </w:p>
        </w:tc>
      </w:tr>
      <w:tr w14:paraId="1FA7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1FF57F4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47</w:t>
            </w:r>
          </w:p>
        </w:tc>
        <w:tc>
          <w:tcPr>
            <w:tcW w:w="1044" w:type="pct"/>
            <w:noWrap/>
            <w:vAlign w:val="center"/>
          </w:tcPr>
          <w:p w14:paraId="2821551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21C9011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松南厂一期</w:t>
            </w:r>
          </w:p>
        </w:tc>
        <w:tc>
          <w:tcPr>
            <w:tcW w:w="1026" w:type="pct"/>
            <w:noWrap/>
            <w:vAlign w:val="center"/>
          </w:tcPr>
          <w:p w14:paraId="373C4EC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51.30 </w:t>
            </w:r>
          </w:p>
        </w:tc>
        <w:tc>
          <w:tcPr>
            <w:tcW w:w="1247" w:type="pct"/>
            <w:vAlign w:val="center"/>
          </w:tcPr>
          <w:p w14:paraId="65C190A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41.53 </w:t>
            </w:r>
          </w:p>
        </w:tc>
      </w:tr>
      <w:tr w14:paraId="2EC8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1C2717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48</w:t>
            </w:r>
          </w:p>
        </w:tc>
        <w:tc>
          <w:tcPr>
            <w:tcW w:w="1044" w:type="pct"/>
            <w:noWrap/>
            <w:vAlign w:val="center"/>
          </w:tcPr>
          <w:p w14:paraId="4B88F9B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60DFCC2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塘厦白泥湖厂</w:t>
            </w:r>
          </w:p>
        </w:tc>
        <w:tc>
          <w:tcPr>
            <w:tcW w:w="1026" w:type="pct"/>
            <w:noWrap/>
            <w:vAlign w:val="center"/>
          </w:tcPr>
          <w:p w14:paraId="04A7A74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70.90 </w:t>
            </w:r>
          </w:p>
        </w:tc>
        <w:tc>
          <w:tcPr>
            <w:tcW w:w="1247" w:type="pct"/>
            <w:vAlign w:val="center"/>
          </w:tcPr>
          <w:p w14:paraId="61563CA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9.26 </w:t>
            </w:r>
          </w:p>
        </w:tc>
      </w:tr>
      <w:tr w14:paraId="05B9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69F6ECF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49</w:t>
            </w:r>
          </w:p>
        </w:tc>
        <w:tc>
          <w:tcPr>
            <w:tcW w:w="1044" w:type="pct"/>
            <w:noWrap/>
            <w:vAlign w:val="center"/>
          </w:tcPr>
          <w:p w14:paraId="40EDD8C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7FA35A8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塘厦林村厂二期</w:t>
            </w:r>
          </w:p>
        </w:tc>
        <w:tc>
          <w:tcPr>
            <w:tcW w:w="1026" w:type="pct"/>
            <w:noWrap/>
            <w:vAlign w:val="center"/>
          </w:tcPr>
          <w:p w14:paraId="38D6063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70.10 </w:t>
            </w:r>
          </w:p>
        </w:tc>
        <w:tc>
          <w:tcPr>
            <w:tcW w:w="1247" w:type="pct"/>
            <w:vAlign w:val="center"/>
          </w:tcPr>
          <w:p w14:paraId="02C4E95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13.65 </w:t>
            </w:r>
          </w:p>
        </w:tc>
      </w:tr>
      <w:tr w14:paraId="6979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40A1583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50</w:t>
            </w:r>
          </w:p>
        </w:tc>
        <w:tc>
          <w:tcPr>
            <w:tcW w:w="1044" w:type="pct"/>
            <w:noWrap/>
            <w:vAlign w:val="center"/>
          </w:tcPr>
          <w:p w14:paraId="08C1581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7C5D7A1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塘厦林村厂一期</w:t>
            </w:r>
          </w:p>
        </w:tc>
        <w:tc>
          <w:tcPr>
            <w:tcW w:w="1026" w:type="pct"/>
            <w:noWrap/>
            <w:vAlign w:val="center"/>
          </w:tcPr>
          <w:p w14:paraId="2920C6D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70.10 </w:t>
            </w:r>
          </w:p>
        </w:tc>
        <w:tc>
          <w:tcPr>
            <w:tcW w:w="1247" w:type="pct"/>
            <w:vAlign w:val="center"/>
          </w:tcPr>
          <w:p w14:paraId="567D267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49.76 </w:t>
            </w:r>
          </w:p>
        </w:tc>
      </w:tr>
      <w:tr w14:paraId="7855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1D4C23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51</w:t>
            </w:r>
          </w:p>
        </w:tc>
        <w:tc>
          <w:tcPr>
            <w:tcW w:w="1044" w:type="pct"/>
            <w:noWrap/>
            <w:vAlign w:val="center"/>
          </w:tcPr>
          <w:p w14:paraId="0A2C65B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6447094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塘厦石桥头厂</w:t>
            </w:r>
          </w:p>
        </w:tc>
        <w:tc>
          <w:tcPr>
            <w:tcW w:w="1026" w:type="pct"/>
            <w:noWrap/>
            <w:vAlign w:val="center"/>
          </w:tcPr>
          <w:p w14:paraId="143CB76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73.50 </w:t>
            </w:r>
          </w:p>
        </w:tc>
        <w:tc>
          <w:tcPr>
            <w:tcW w:w="1247" w:type="pct"/>
            <w:vAlign w:val="center"/>
          </w:tcPr>
          <w:p w14:paraId="03DFAA1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15.95 </w:t>
            </w:r>
          </w:p>
        </w:tc>
      </w:tr>
      <w:tr w14:paraId="23C6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4E950D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52</w:t>
            </w:r>
          </w:p>
        </w:tc>
        <w:tc>
          <w:tcPr>
            <w:tcW w:w="1044" w:type="pct"/>
            <w:noWrap/>
            <w:vAlign w:val="center"/>
          </w:tcPr>
          <w:p w14:paraId="05D01F3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1C49DD7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万江厂二期</w:t>
            </w:r>
          </w:p>
        </w:tc>
        <w:tc>
          <w:tcPr>
            <w:tcW w:w="1026" w:type="pct"/>
            <w:noWrap/>
            <w:vAlign w:val="center"/>
          </w:tcPr>
          <w:p w14:paraId="58C1F45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19.30 </w:t>
            </w:r>
          </w:p>
        </w:tc>
        <w:tc>
          <w:tcPr>
            <w:tcW w:w="1247" w:type="pct"/>
            <w:vAlign w:val="center"/>
          </w:tcPr>
          <w:p w14:paraId="5F63036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9.47 </w:t>
            </w:r>
          </w:p>
        </w:tc>
      </w:tr>
      <w:tr w14:paraId="1F9F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1FF2EE7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53</w:t>
            </w:r>
          </w:p>
        </w:tc>
        <w:tc>
          <w:tcPr>
            <w:tcW w:w="1044" w:type="pct"/>
            <w:noWrap/>
            <w:vAlign w:val="center"/>
          </w:tcPr>
          <w:p w14:paraId="45B379D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115502F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万江厂一期</w:t>
            </w:r>
          </w:p>
        </w:tc>
        <w:tc>
          <w:tcPr>
            <w:tcW w:w="1026" w:type="pct"/>
            <w:noWrap/>
            <w:vAlign w:val="center"/>
          </w:tcPr>
          <w:p w14:paraId="055EC45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19.30 </w:t>
            </w:r>
          </w:p>
        </w:tc>
        <w:tc>
          <w:tcPr>
            <w:tcW w:w="1247" w:type="pct"/>
            <w:vAlign w:val="center"/>
          </w:tcPr>
          <w:p w14:paraId="1286E88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10.70 </w:t>
            </w:r>
          </w:p>
        </w:tc>
      </w:tr>
      <w:tr w14:paraId="1EA9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F574EB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54</w:t>
            </w:r>
          </w:p>
        </w:tc>
        <w:tc>
          <w:tcPr>
            <w:tcW w:w="1044" w:type="pct"/>
            <w:noWrap/>
            <w:vAlign w:val="center"/>
          </w:tcPr>
          <w:p w14:paraId="137415D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677735B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望洪厂</w:t>
            </w:r>
          </w:p>
        </w:tc>
        <w:tc>
          <w:tcPr>
            <w:tcW w:w="1026" w:type="pct"/>
            <w:noWrap/>
            <w:vAlign w:val="center"/>
          </w:tcPr>
          <w:p w14:paraId="6353BDE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13.00 </w:t>
            </w:r>
          </w:p>
        </w:tc>
        <w:tc>
          <w:tcPr>
            <w:tcW w:w="1247" w:type="pct"/>
            <w:vAlign w:val="center"/>
          </w:tcPr>
          <w:p w14:paraId="06A2162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7.41 </w:t>
            </w:r>
          </w:p>
        </w:tc>
      </w:tr>
      <w:tr w14:paraId="58BF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67F07C2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55</w:t>
            </w:r>
          </w:p>
        </w:tc>
        <w:tc>
          <w:tcPr>
            <w:tcW w:w="1044" w:type="pct"/>
            <w:noWrap/>
            <w:vAlign w:val="center"/>
          </w:tcPr>
          <w:p w14:paraId="0FD7CF2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653366C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虾公潭厂</w:t>
            </w:r>
          </w:p>
        </w:tc>
        <w:tc>
          <w:tcPr>
            <w:tcW w:w="1026" w:type="pct"/>
            <w:noWrap/>
            <w:vAlign w:val="center"/>
          </w:tcPr>
          <w:p w14:paraId="7FFAEF6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12.90 </w:t>
            </w:r>
          </w:p>
        </w:tc>
        <w:tc>
          <w:tcPr>
            <w:tcW w:w="1247" w:type="pct"/>
            <w:vAlign w:val="center"/>
          </w:tcPr>
          <w:p w14:paraId="7AC6137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5.25 </w:t>
            </w:r>
          </w:p>
        </w:tc>
      </w:tr>
      <w:tr w14:paraId="0B77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C09E3E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56</w:t>
            </w:r>
          </w:p>
        </w:tc>
        <w:tc>
          <w:tcPr>
            <w:tcW w:w="1044" w:type="pct"/>
            <w:noWrap/>
            <w:vAlign w:val="center"/>
          </w:tcPr>
          <w:p w14:paraId="62790E4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592683B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谢岗厂二期</w:t>
            </w:r>
          </w:p>
        </w:tc>
        <w:tc>
          <w:tcPr>
            <w:tcW w:w="1026" w:type="pct"/>
            <w:noWrap/>
            <w:vAlign w:val="center"/>
          </w:tcPr>
          <w:p w14:paraId="3597612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69.90 </w:t>
            </w:r>
          </w:p>
        </w:tc>
        <w:tc>
          <w:tcPr>
            <w:tcW w:w="1247" w:type="pct"/>
            <w:vAlign w:val="center"/>
          </w:tcPr>
          <w:p w14:paraId="4840EF7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8.54 </w:t>
            </w:r>
          </w:p>
        </w:tc>
      </w:tr>
      <w:tr w14:paraId="640D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CE1776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57</w:t>
            </w:r>
          </w:p>
        </w:tc>
        <w:tc>
          <w:tcPr>
            <w:tcW w:w="1044" w:type="pct"/>
            <w:noWrap/>
            <w:vAlign w:val="center"/>
          </w:tcPr>
          <w:p w14:paraId="70AF7E3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1789FA4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谢岗厂一期</w:t>
            </w:r>
          </w:p>
        </w:tc>
        <w:tc>
          <w:tcPr>
            <w:tcW w:w="1026" w:type="pct"/>
            <w:noWrap/>
            <w:vAlign w:val="center"/>
          </w:tcPr>
          <w:p w14:paraId="2353E1E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69.90 </w:t>
            </w:r>
          </w:p>
        </w:tc>
        <w:tc>
          <w:tcPr>
            <w:tcW w:w="1247" w:type="pct"/>
            <w:vAlign w:val="center"/>
          </w:tcPr>
          <w:p w14:paraId="566B38B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11.25 </w:t>
            </w:r>
          </w:p>
        </w:tc>
      </w:tr>
      <w:tr w14:paraId="46CA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00CE17A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58</w:t>
            </w:r>
          </w:p>
        </w:tc>
        <w:tc>
          <w:tcPr>
            <w:tcW w:w="1044" w:type="pct"/>
            <w:noWrap/>
            <w:vAlign w:val="center"/>
          </w:tcPr>
          <w:p w14:paraId="7D6DE59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7C0CB03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樟木头厂三期</w:t>
            </w:r>
          </w:p>
        </w:tc>
        <w:tc>
          <w:tcPr>
            <w:tcW w:w="1026" w:type="pct"/>
            <w:noWrap/>
            <w:vAlign w:val="center"/>
          </w:tcPr>
          <w:p w14:paraId="0DD1DAF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63.40 </w:t>
            </w:r>
          </w:p>
        </w:tc>
        <w:tc>
          <w:tcPr>
            <w:tcW w:w="1247" w:type="pct"/>
            <w:vAlign w:val="center"/>
          </w:tcPr>
          <w:p w14:paraId="32D83DE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7.30 </w:t>
            </w:r>
          </w:p>
        </w:tc>
      </w:tr>
      <w:tr w14:paraId="6688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54843A8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59</w:t>
            </w:r>
          </w:p>
        </w:tc>
        <w:tc>
          <w:tcPr>
            <w:tcW w:w="1044" w:type="pct"/>
            <w:noWrap/>
            <w:vAlign w:val="center"/>
          </w:tcPr>
          <w:p w14:paraId="6FC5B7F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0F303D2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樟木头厂一二期</w:t>
            </w:r>
          </w:p>
        </w:tc>
        <w:tc>
          <w:tcPr>
            <w:tcW w:w="1026" w:type="pct"/>
            <w:noWrap/>
            <w:vAlign w:val="center"/>
          </w:tcPr>
          <w:p w14:paraId="48A7C04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63.40 </w:t>
            </w:r>
          </w:p>
        </w:tc>
        <w:tc>
          <w:tcPr>
            <w:tcW w:w="1247" w:type="pct"/>
            <w:vAlign w:val="center"/>
          </w:tcPr>
          <w:p w14:paraId="6EC8002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15.94 </w:t>
            </w:r>
          </w:p>
        </w:tc>
      </w:tr>
      <w:tr w14:paraId="6A22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2AEB4E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60</w:t>
            </w:r>
          </w:p>
        </w:tc>
        <w:tc>
          <w:tcPr>
            <w:tcW w:w="1044" w:type="pct"/>
            <w:noWrap/>
            <w:vAlign w:val="center"/>
          </w:tcPr>
          <w:p w14:paraId="235DBF1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石马河片区</w:t>
            </w:r>
          </w:p>
        </w:tc>
        <w:tc>
          <w:tcPr>
            <w:tcW w:w="1297" w:type="pct"/>
            <w:noWrap/>
            <w:vAlign w:val="center"/>
          </w:tcPr>
          <w:p w14:paraId="5E793E7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樟木头裕丰厂</w:t>
            </w:r>
          </w:p>
        </w:tc>
        <w:tc>
          <w:tcPr>
            <w:tcW w:w="1026" w:type="pct"/>
            <w:noWrap/>
            <w:vAlign w:val="center"/>
          </w:tcPr>
          <w:p w14:paraId="6C5DEB9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63.20 </w:t>
            </w:r>
          </w:p>
        </w:tc>
        <w:tc>
          <w:tcPr>
            <w:tcW w:w="1247" w:type="pct"/>
            <w:vAlign w:val="center"/>
          </w:tcPr>
          <w:p w14:paraId="48B652F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0.41 </w:t>
            </w:r>
          </w:p>
        </w:tc>
      </w:tr>
      <w:tr w14:paraId="169E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5794BB5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61</w:t>
            </w:r>
          </w:p>
        </w:tc>
        <w:tc>
          <w:tcPr>
            <w:tcW w:w="1044" w:type="pct"/>
            <w:noWrap/>
            <w:vAlign w:val="center"/>
          </w:tcPr>
          <w:p w14:paraId="7FE3DDE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63C4FD4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长安三洲厂</w:t>
            </w:r>
          </w:p>
        </w:tc>
        <w:tc>
          <w:tcPr>
            <w:tcW w:w="1026" w:type="pct"/>
            <w:noWrap/>
            <w:vAlign w:val="center"/>
          </w:tcPr>
          <w:p w14:paraId="17363BB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39.80 </w:t>
            </w:r>
          </w:p>
        </w:tc>
        <w:tc>
          <w:tcPr>
            <w:tcW w:w="1247" w:type="pct"/>
            <w:vAlign w:val="center"/>
          </w:tcPr>
          <w:p w14:paraId="72FE11F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41.01 </w:t>
            </w:r>
          </w:p>
        </w:tc>
      </w:tr>
      <w:tr w14:paraId="181E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4EA61D1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62</w:t>
            </w:r>
          </w:p>
        </w:tc>
        <w:tc>
          <w:tcPr>
            <w:tcW w:w="1044" w:type="pct"/>
            <w:noWrap/>
            <w:vAlign w:val="center"/>
          </w:tcPr>
          <w:p w14:paraId="55B7CD6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滨海湾片区</w:t>
            </w:r>
          </w:p>
        </w:tc>
        <w:tc>
          <w:tcPr>
            <w:tcW w:w="1297" w:type="pct"/>
            <w:noWrap/>
            <w:vAlign w:val="center"/>
          </w:tcPr>
          <w:p w14:paraId="0750E46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长安新区厂</w:t>
            </w:r>
          </w:p>
        </w:tc>
        <w:tc>
          <w:tcPr>
            <w:tcW w:w="1026" w:type="pct"/>
            <w:noWrap/>
            <w:vAlign w:val="center"/>
          </w:tcPr>
          <w:p w14:paraId="45563AE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37.40 </w:t>
            </w:r>
          </w:p>
        </w:tc>
        <w:tc>
          <w:tcPr>
            <w:tcW w:w="1247" w:type="pct"/>
            <w:vAlign w:val="center"/>
          </w:tcPr>
          <w:p w14:paraId="1E5BC8E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67.82 </w:t>
            </w:r>
          </w:p>
        </w:tc>
      </w:tr>
      <w:tr w14:paraId="1084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6122A80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63</w:t>
            </w:r>
          </w:p>
        </w:tc>
        <w:tc>
          <w:tcPr>
            <w:tcW w:w="1044" w:type="pct"/>
            <w:noWrap/>
            <w:vAlign w:val="center"/>
          </w:tcPr>
          <w:p w14:paraId="0993E95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0A6B39D9">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中堂厂二期</w:t>
            </w:r>
          </w:p>
        </w:tc>
        <w:tc>
          <w:tcPr>
            <w:tcW w:w="1026" w:type="pct"/>
            <w:noWrap/>
            <w:vAlign w:val="center"/>
          </w:tcPr>
          <w:p w14:paraId="4E96F6C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23.40 </w:t>
            </w:r>
          </w:p>
        </w:tc>
        <w:tc>
          <w:tcPr>
            <w:tcW w:w="1247" w:type="pct"/>
            <w:vAlign w:val="center"/>
          </w:tcPr>
          <w:p w14:paraId="43ED2BE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8.17 </w:t>
            </w:r>
          </w:p>
        </w:tc>
      </w:tr>
      <w:tr w14:paraId="4BA1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57215120">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64</w:t>
            </w:r>
          </w:p>
        </w:tc>
        <w:tc>
          <w:tcPr>
            <w:tcW w:w="1044" w:type="pct"/>
            <w:noWrap/>
            <w:vAlign w:val="center"/>
          </w:tcPr>
          <w:p w14:paraId="34320FB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东江下游片区</w:t>
            </w:r>
          </w:p>
        </w:tc>
        <w:tc>
          <w:tcPr>
            <w:tcW w:w="1297" w:type="pct"/>
            <w:noWrap/>
            <w:vAlign w:val="center"/>
          </w:tcPr>
          <w:p w14:paraId="7F90D5A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中堂厂一期</w:t>
            </w:r>
          </w:p>
        </w:tc>
        <w:tc>
          <w:tcPr>
            <w:tcW w:w="1026" w:type="pct"/>
            <w:noWrap/>
            <w:vAlign w:val="center"/>
          </w:tcPr>
          <w:p w14:paraId="7262995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23.40 </w:t>
            </w:r>
          </w:p>
        </w:tc>
        <w:tc>
          <w:tcPr>
            <w:tcW w:w="1247" w:type="pct"/>
            <w:vAlign w:val="center"/>
          </w:tcPr>
          <w:p w14:paraId="2CA033B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7.79 </w:t>
            </w:r>
          </w:p>
        </w:tc>
      </w:tr>
      <w:tr w14:paraId="56AF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1FC4224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65</w:t>
            </w:r>
          </w:p>
        </w:tc>
        <w:tc>
          <w:tcPr>
            <w:tcW w:w="1044" w:type="pct"/>
            <w:noWrap/>
            <w:vAlign w:val="center"/>
          </w:tcPr>
          <w:p w14:paraId="4263A58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03D12A0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横沥东坑厂二期</w:t>
            </w:r>
          </w:p>
        </w:tc>
        <w:tc>
          <w:tcPr>
            <w:tcW w:w="1026" w:type="pct"/>
            <w:noWrap/>
            <w:vAlign w:val="center"/>
          </w:tcPr>
          <w:p w14:paraId="0A46BC3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51.00 </w:t>
            </w:r>
          </w:p>
        </w:tc>
        <w:tc>
          <w:tcPr>
            <w:tcW w:w="1247" w:type="pct"/>
            <w:vAlign w:val="center"/>
          </w:tcPr>
          <w:p w14:paraId="32F15DF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19.20 </w:t>
            </w:r>
          </w:p>
        </w:tc>
      </w:tr>
      <w:tr w14:paraId="5753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286B61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66</w:t>
            </w:r>
          </w:p>
        </w:tc>
        <w:tc>
          <w:tcPr>
            <w:tcW w:w="1044" w:type="pct"/>
            <w:noWrap/>
            <w:vAlign w:val="center"/>
          </w:tcPr>
          <w:p w14:paraId="2504B593">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40B68FB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大岭山连马厂二期</w:t>
            </w:r>
          </w:p>
        </w:tc>
        <w:tc>
          <w:tcPr>
            <w:tcW w:w="1026" w:type="pct"/>
            <w:noWrap/>
            <w:vAlign w:val="center"/>
          </w:tcPr>
          <w:p w14:paraId="36B4F62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40.00 </w:t>
            </w:r>
          </w:p>
        </w:tc>
        <w:tc>
          <w:tcPr>
            <w:tcW w:w="1247" w:type="pct"/>
            <w:vAlign w:val="center"/>
          </w:tcPr>
          <w:p w14:paraId="123D098E">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12.40 </w:t>
            </w:r>
          </w:p>
        </w:tc>
      </w:tr>
      <w:tr w14:paraId="25DC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3AF774BA">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67</w:t>
            </w:r>
          </w:p>
        </w:tc>
        <w:tc>
          <w:tcPr>
            <w:tcW w:w="1044" w:type="pct"/>
            <w:noWrap/>
            <w:vAlign w:val="center"/>
          </w:tcPr>
          <w:p w14:paraId="4245E92C">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0F0F2284">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松山湖高新厂</w:t>
            </w:r>
          </w:p>
        </w:tc>
        <w:tc>
          <w:tcPr>
            <w:tcW w:w="1026" w:type="pct"/>
            <w:noWrap/>
            <w:vAlign w:val="center"/>
          </w:tcPr>
          <w:p w14:paraId="52ABDA26">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65.00 </w:t>
            </w:r>
          </w:p>
        </w:tc>
        <w:tc>
          <w:tcPr>
            <w:tcW w:w="1247" w:type="pct"/>
            <w:vAlign w:val="center"/>
          </w:tcPr>
          <w:p w14:paraId="1D48544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2.60 </w:t>
            </w:r>
          </w:p>
        </w:tc>
      </w:tr>
      <w:tr w14:paraId="3045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21B7655B">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68</w:t>
            </w:r>
          </w:p>
        </w:tc>
        <w:tc>
          <w:tcPr>
            <w:tcW w:w="1044" w:type="pct"/>
            <w:noWrap/>
            <w:vAlign w:val="center"/>
          </w:tcPr>
          <w:p w14:paraId="13B81387">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17D1CFC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黄江梅塘南厂一期</w:t>
            </w:r>
          </w:p>
        </w:tc>
        <w:tc>
          <w:tcPr>
            <w:tcW w:w="1026" w:type="pct"/>
            <w:noWrap/>
            <w:vAlign w:val="center"/>
          </w:tcPr>
          <w:p w14:paraId="671BCAF2">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62.00 </w:t>
            </w:r>
          </w:p>
        </w:tc>
        <w:tc>
          <w:tcPr>
            <w:tcW w:w="1247" w:type="pct"/>
            <w:vAlign w:val="center"/>
          </w:tcPr>
          <w:p w14:paraId="2BB43311">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0.34 </w:t>
            </w:r>
          </w:p>
        </w:tc>
      </w:tr>
      <w:tr w14:paraId="6763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4" w:type="pct"/>
            <w:noWrap/>
            <w:vAlign w:val="center"/>
          </w:tcPr>
          <w:p w14:paraId="76C12F95">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69</w:t>
            </w:r>
          </w:p>
        </w:tc>
        <w:tc>
          <w:tcPr>
            <w:tcW w:w="1044" w:type="pct"/>
            <w:noWrap/>
            <w:vAlign w:val="center"/>
          </w:tcPr>
          <w:p w14:paraId="6C4B5BD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东引运河片区</w:t>
            </w:r>
          </w:p>
        </w:tc>
        <w:tc>
          <w:tcPr>
            <w:tcW w:w="1297" w:type="pct"/>
            <w:noWrap/>
            <w:vAlign w:val="center"/>
          </w:tcPr>
          <w:p w14:paraId="22102D7D">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松山湖科学城厂</w:t>
            </w:r>
          </w:p>
        </w:tc>
        <w:tc>
          <w:tcPr>
            <w:tcW w:w="1026" w:type="pct"/>
            <w:noWrap/>
            <w:vAlign w:val="center"/>
          </w:tcPr>
          <w:p w14:paraId="61ADE628">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65.00 </w:t>
            </w:r>
          </w:p>
        </w:tc>
        <w:tc>
          <w:tcPr>
            <w:tcW w:w="1247" w:type="pct"/>
            <w:vAlign w:val="center"/>
          </w:tcPr>
          <w:p w14:paraId="1DFE1A5F">
            <w:pPr>
              <w:widowControl/>
              <w:spacing w:line="36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color w:val="auto"/>
                <w:sz w:val="21"/>
                <w:szCs w:val="21"/>
                <w:highlight w:val="none"/>
              </w:rPr>
              <w:t xml:space="preserve">3.49 </w:t>
            </w:r>
          </w:p>
        </w:tc>
      </w:tr>
    </w:tbl>
    <w:p w14:paraId="64B251CB">
      <w:pPr>
        <w:pStyle w:val="40"/>
        <w:spacing w:line="360" w:lineRule="auto"/>
        <w:rPr>
          <w:rFonts w:hint="default" w:ascii="Times New Roman" w:hAnsi="Times New Roman" w:eastAsia="宋体" w:cs="Times New Roman"/>
          <w:b/>
          <w:bCs/>
          <w:color w:val="auto"/>
          <w:szCs w:val="21"/>
          <w:highlight w:val="none"/>
        </w:rPr>
      </w:pPr>
      <w:r>
        <w:rPr>
          <w:rFonts w:hint="default" w:ascii="Times New Roman" w:hAnsi="Times New Roman" w:cs="Times New Roman"/>
          <w:b/>
          <w:bCs/>
          <w:color w:val="auto"/>
          <w:szCs w:val="21"/>
          <w:highlight w:val="none"/>
        </w:rPr>
        <w:t xml:space="preserve"> </w:t>
      </w:r>
      <w:r>
        <w:rPr>
          <w:rFonts w:hint="default" w:ascii="Times New Roman" w:hAnsi="Times New Roman" w:eastAsia="宋体" w:cs="Times New Roman"/>
          <w:b/>
          <w:bCs/>
          <w:color w:val="auto"/>
          <w:szCs w:val="21"/>
          <w:highlight w:val="none"/>
        </w:rPr>
        <w:t>上述</w:t>
      </w:r>
      <w:r>
        <w:rPr>
          <w:rFonts w:hint="default" w:ascii="Times New Roman" w:hAnsi="Times New Roman" w:eastAsia="宋体" w:cs="Times New Roman"/>
          <w:b/>
          <w:bCs/>
          <w:color w:val="auto"/>
          <w:kern w:val="0"/>
          <w:sz w:val="21"/>
          <w:szCs w:val="21"/>
          <w:highlight w:val="none"/>
        </w:rPr>
        <w:t>单程运输距离</w:t>
      </w:r>
      <w:r>
        <w:rPr>
          <w:rFonts w:hint="eastAsia" w:ascii="Times New Roman" w:hAnsi="Times New Roman" w:eastAsia="宋体" w:cs="Times New Roman"/>
          <w:b/>
          <w:bCs/>
          <w:color w:val="auto"/>
          <w:kern w:val="0"/>
          <w:sz w:val="21"/>
          <w:szCs w:val="21"/>
          <w:highlight w:val="none"/>
          <w:lang w:val="en-US" w:eastAsia="zh-CN"/>
        </w:rPr>
        <w:t>和</w:t>
      </w:r>
      <w:r>
        <w:rPr>
          <w:rFonts w:hint="eastAsia" w:ascii="Times New Roman" w:hAnsi="Times New Roman" w:eastAsia="宋体" w:cs="Times New Roman"/>
          <w:b/>
          <w:bCs/>
          <w:color w:val="auto"/>
          <w:szCs w:val="21"/>
          <w:highlight w:val="none"/>
          <w:lang w:eastAsia="zh-CN"/>
        </w:rPr>
        <w:t>污泥</w:t>
      </w:r>
      <w:r>
        <w:rPr>
          <w:rFonts w:hint="default" w:ascii="Times New Roman" w:hAnsi="Times New Roman" w:eastAsia="宋体" w:cs="Times New Roman"/>
          <w:b/>
          <w:bCs/>
          <w:color w:val="auto"/>
          <w:szCs w:val="21"/>
          <w:highlight w:val="none"/>
        </w:rPr>
        <w:t>量</w:t>
      </w:r>
      <w:r>
        <w:rPr>
          <w:rFonts w:hint="eastAsia" w:ascii="Times New Roman" w:hAnsi="Times New Roman" w:eastAsia="宋体" w:cs="Times New Roman"/>
          <w:b/>
          <w:bCs/>
          <w:color w:val="auto"/>
          <w:szCs w:val="21"/>
          <w:highlight w:val="none"/>
          <w:lang w:val="en-US" w:eastAsia="zh-CN"/>
        </w:rPr>
        <w:t>均</w:t>
      </w:r>
      <w:r>
        <w:rPr>
          <w:rFonts w:hint="default" w:ascii="Times New Roman" w:hAnsi="Times New Roman" w:eastAsia="宋体" w:cs="Times New Roman"/>
          <w:b/>
          <w:bCs/>
          <w:color w:val="auto"/>
          <w:szCs w:val="21"/>
          <w:highlight w:val="none"/>
        </w:rPr>
        <w:t>为暂估值，不作为实际</w:t>
      </w:r>
      <w:r>
        <w:rPr>
          <w:rFonts w:hint="eastAsia" w:ascii="Times New Roman" w:hAnsi="Times New Roman" w:eastAsia="宋体" w:cs="Times New Roman"/>
          <w:b/>
          <w:bCs/>
          <w:color w:val="auto"/>
          <w:szCs w:val="21"/>
          <w:highlight w:val="none"/>
          <w:lang w:val="en-US" w:eastAsia="zh-CN"/>
        </w:rPr>
        <w:t>运输距离和运输</w:t>
      </w:r>
      <w:r>
        <w:rPr>
          <w:rFonts w:hint="default" w:ascii="Times New Roman" w:hAnsi="Times New Roman" w:eastAsia="宋体" w:cs="Times New Roman"/>
          <w:b/>
          <w:bCs/>
          <w:color w:val="auto"/>
          <w:szCs w:val="21"/>
          <w:highlight w:val="none"/>
        </w:rPr>
        <w:t>量，</w:t>
      </w:r>
      <w:r>
        <w:rPr>
          <w:rFonts w:hint="default" w:ascii="Times New Roman" w:hAnsi="Times New Roman" w:eastAsia="宋体" w:cs="Times New Roman"/>
          <w:b/>
          <w:bCs/>
          <w:color w:val="auto"/>
          <w:szCs w:val="21"/>
          <w:highlight w:val="none"/>
          <w:lang w:eastAsia="zh-CN"/>
        </w:rPr>
        <w:t>招标人</w:t>
      </w:r>
      <w:r>
        <w:rPr>
          <w:rFonts w:hint="default" w:ascii="Times New Roman" w:hAnsi="Times New Roman" w:eastAsia="宋体" w:cs="Times New Roman"/>
          <w:b/>
          <w:bCs/>
          <w:color w:val="auto"/>
          <w:szCs w:val="21"/>
          <w:highlight w:val="none"/>
        </w:rPr>
        <w:t>有权根据</w:t>
      </w:r>
      <w:r>
        <w:rPr>
          <w:rFonts w:hint="eastAsia" w:ascii="Times New Roman" w:hAnsi="Times New Roman" w:eastAsia="宋体" w:cs="Times New Roman"/>
          <w:b/>
          <w:bCs/>
          <w:color w:val="auto"/>
          <w:szCs w:val="21"/>
          <w:highlight w:val="none"/>
          <w:lang w:val="en-US" w:eastAsia="zh-CN"/>
        </w:rPr>
        <w:t>实际</w:t>
      </w:r>
      <w:r>
        <w:rPr>
          <w:rFonts w:hint="default" w:ascii="Times New Roman" w:hAnsi="Times New Roman" w:eastAsia="宋体" w:cs="Times New Roman"/>
          <w:b/>
          <w:bCs/>
          <w:color w:val="auto"/>
          <w:szCs w:val="21"/>
          <w:highlight w:val="none"/>
        </w:rPr>
        <w:t>需求进行调整，包括扩大污水处理厂</w:t>
      </w:r>
      <w:r>
        <w:rPr>
          <w:rFonts w:hint="eastAsia" w:ascii="Times New Roman" w:hAnsi="Times New Roman" w:eastAsia="宋体" w:cs="Times New Roman"/>
          <w:b/>
          <w:bCs/>
          <w:color w:val="auto"/>
          <w:szCs w:val="21"/>
          <w:highlight w:val="none"/>
          <w:lang w:val="en-US" w:eastAsia="zh-CN"/>
        </w:rPr>
        <w:t>的</w:t>
      </w:r>
      <w:r>
        <w:rPr>
          <w:rFonts w:hint="default" w:ascii="Times New Roman" w:hAnsi="Times New Roman" w:eastAsia="宋体" w:cs="Times New Roman"/>
          <w:b/>
          <w:bCs/>
          <w:color w:val="auto"/>
          <w:szCs w:val="21"/>
          <w:highlight w:val="none"/>
        </w:rPr>
        <w:t>范围。最终需要运输的污水处理厂以及每座污水处理厂需要运输的污泥量，以</w:t>
      </w:r>
      <w:r>
        <w:rPr>
          <w:rFonts w:hint="default" w:ascii="Times New Roman" w:hAnsi="Times New Roman" w:eastAsia="宋体" w:cs="Times New Roman"/>
          <w:b/>
          <w:bCs/>
          <w:color w:val="auto"/>
          <w:szCs w:val="21"/>
          <w:highlight w:val="none"/>
          <w:lang w:eastAsia="zh-CN"/>
        </w:rPr>
        <w:t>招标人</w:t>
      </w:r>
      <w:r>
        <w:rPr>
          <w:rFonts w:hint="eastAsia" w:ascii="Times New Roman" w:hAnsi="Times New Roman" w:eastAsia="宋体" w:cs="Times New Roman"/>
          <w:b/>
          <w:bCs/>
          <w:color w:val="auto"/>
          <w:szCs w:val="21"/>
          <w:highlight w:val="none"/>
          <w:lang w:val="en-US" w:eastAsia="zh-CN"/>
        </w:rPr>
        <w:t>现场</w:t>
      </w:r>
      <w:r>
        <w:rPr>
          <w:rFonts w:hint="default" w:ascii="Times New Roman" w:hAnsi="Times New Roman" w:eastAsia="宋体" w:cs="Times New Roman"/>
          <w:b/>
          <w:bCs/>
          <w:color w:val="auto"/>
          <w:szCs w:val="21"/>
          <w:highlight w:val="none"/>
        </w:rPr>
        <w:t>具体需求为准，</w:t>
      </w:r>
      <w:r>
        <w:rPr>
          <w:rFonts w:hint="eastAsia" w:ascii="Times New Roman" w:hAnsi="Times New Roman" w:eastAsia="宋体" w:cs="Times New Roman"/>
          <w:b/>
          <w:bCs/>
          <w:color w:val="auto"/>
          <w:szCs w:val="21"/>
          <w:highlight w:val="none"/>
          <w:lang w:eastAsia="zh-CN"/>
        </w:rPr>
        <w:t>中标人</w:t>
      </w:r>
      <w:r>
        <w:rPr>
          <w:rFonts w:hint="default" w:ascii="Times New Roman" w:hAnsi="Times New Roman" w:eastAsia="宋体" w:cs="Times New Roman"/>
          <w:b/>
          <w:bCs/>
          <w:color w:val="auto"/>
          <w:szCs w:val="21"/>
          <w:highlight w:val="none"/>
        </w:rPr>
        <w:t>应</w:t>
      </w:r>
      <w:r>
        <w:rPr>
          <w:rFonts w:hint="eastAsia" w:ascii="Times New Roman" w:hAnsi="Times New Roman" w:eastAsia="宋体" w:cs="Times New Roman"/>
          <w:b/>
          <w:bCs/>
          <w:color w:val="auto"/>
          <w:szCs w:val="21"/>
          <w:highlight w:val="none"/>
          <w:lang w:val="en-US" w:eastAsia="zh-CN"/>
        </w:rPr>
        <w:t>无条件</w:t>
      </w:r>
      <w:r>
        <w:rPr>
          <w:rFonts w:hint="default" w:ascii="Times New Roman" w:hAnsi="Times New Roman" w:eastAsia="宋体" w:cs="Times New Roman"/>
          <w:b/>
          <w:bCs/>
          <w:color w:val="auto"/>
          <w:szCs w:val="21"/>
          <w:highlight w:val="none"/>
        </w:rPr>
        <w:t>响应。</w:t>
      </w:r>
    </w:p>
    <w:p w14:paraId="4EA49163">
      <w:pPr>
        <w:pStyle w:val="33"/>
        <w:numPr>
          <w:ilvl w:val="0"/>
          <w:numId w:val="1"/>
        </w:numPr>
        <w:spacing w:line="360" w:lineRule="auto"/>
        <w:ind w:left="0" w:leftChars="0" w:firstLine="400"/>
        <w:rPr>
          <w:rFonts w:hint="default" w:ascii="Times New Roman" w:hAnsi="Times New Roman" w:cs="Times New Roman" w:eastAsiaTheme="minorEastAsia"/>
          <w:b/>
          <w:bCs/>
          <w:color w:val="auto"/>
          <w:szCs w:val="21"/>
          <w:highlight w:val="none"/>
          <w:lang w:val="en-US" w:eastAsia="zh-CN"/>
        </w:rPr>
      </w:pPr>
      <w:r>
        <w:rPr>
          <w:rFonts w:hint="eastAsia" w:ascii="Times New Roman" w:hAnsi="Times New Roman" w:cs="Times New Roman"/>
          <w:b/>
          <w:bCs/>
          <w:color w:val="auto"/>
          <w:szCs w:val="21"/>
          <w:highlight w:val="none"/>
          <w:lang w:val="en-US" w:eastAsia="zh-CN"/>
        </w:rPr>
        <w:t>总体采购要求</w:t>
      </w:r>
    </w:p>
    <w:p w14:paraId="3AF80D63">
      <w:pPr>
        <w:pStyle w:val="40"/>
        <w:numPr>
          <w:ilvl w:val="1"/>
          <w:numId w:val="1"/>
        </w:numPr>
        <w:spacing w:line="360" w:lineRule="auto"/>
        <w:ind w:firstLine="40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服务期</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自合同签订之日起</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年。</w:t>
      </w:r>
    </w:p>
    <w:p w14:paraId="435E477A">
      <w:pPr>
        <w:pStyle w:val="40"/>
        <w:numPr>
          <w:ilvl w:val="1"/>
          <w:numId w:val="1"/>
        </w:numPr>
        <w:spacing w:line="360" w:lineRule="auto"/>
        <w:ind w:firstLine="400" w:firstLineChars="0"/>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采购内容：</w:t>
      </w:r>
      <w:r>
        <w:rPr>
          <w:rFonts w:hint="default" w:ascii="Times New Roman" w:hAnsi="Times New Roman" w:eastAsia="宋体" w:cs="Times New Roman"/>
          <w:color w:val="auto"/>
          <w:szCs w:val="21"/>
          <w:highlight w:val="none"/>
        </w:rPr>
        <w:t>共确定1家</w:t>
      </w:r>
      <w:r>
        <w:rPr>
          <w:rFonts w:hint="eastAsia" w:ascii="Times New Roman" w:hAnsi="Times New Roman" w:eastAsia="宋体" w:cs="Times New Roman"/>
          <w:color w:val="auto"/>
          <w:szCs w:val="21"/>
          <w:highlight w:val="none"/>
          <w:lang w:val="en-US" w:eastAsia="zh-CN"/>
        </w:rPr>
        <w:t>服务</w:t>
      </w:r>
      <w:r>
        <w:rPr>
          <w:rFonts w:hint="default" w:ascii="Times New Roman" w:hAnsi="Times New Roman" w:eastAsia="宋体" w:cs="Times New Roman"/>
          <w:color w:val="auto"/>
          <w:szCs w:val="21"/>
          <w:highlight w:val="none"/>
        </w:rPr>
        <w:t>单位</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提供</w:t>
      </w:r>
      <w:r>
        <w:rPr>
          <w:rFonts w:hint="eastAsia" w:ascii="Times New Roman" w:hAnsi="Times New Roman" w:eastAsia="宋体" w:cs="Times New Roman"/>
          <w:color w:val="auto"/>
          <w:szCs w:val="21"/>
          <w:highlight w:val="none"/>
          <w:lang w:val="en-US" w:eastAsia="zh-CN"/>
        </w:rPr>
        <w:t>污泥运输</w:t>
      </w:r>
      <w:r>
        <w:rPr>
          <w:rFonts w:hint="default" w:ascii="Times New Roman" w:hAnsi="Times New Roman" w:eastAsia="宋体" w:cs="Times New Roman"/>
          <w:color w:val="auto"/>
          <w:szCs w:val="21"/>
          <w:highlight w:val="none"/>
          <w:lang w:val="en-US" w:eastAsia="zh-CN"/>
        </w:rPr>
        <w:t>管理服务，包括但不限于</w:t>
      </w:r>
      <w:r>
        <w:rPr>
          <w:rFonts w:hint="eastAsia" w:ascii="Times New Roman" w:hAnsi="Times New Roman" w:eastAsia="宋体" w:cs="Times New Roman"/>
          <w:color w:val="auto"/>
          <w:szCs w:val="21"/>
          <w:highlight w:val="none"/>
          <w:lang w:val="en-US" w:eastAsia="zh-CN"/>
        </w:rPr>
        <w:t>对招标人提供的</w:t>
      </w:r>
      <w:r>
        <w:rPr>
          <w:rFonts w:hint="default" w:ascii="Times New Roman" w:hAnsi="Times New Roman" w:eastAsia="宋体" w:cs="Times New Roman"/>
          <w:color w:val="auto"/>
          <w:szCs w:val="21"/>
          <w:highlight w:val="none"/>
          <w:lang w:val="en-US" w:eastAsia="zh-CN"/>
        </w:rPr>
        <w:t>车辆</w:t>
      </w:r>
      <w:r>
        <w:rPr>
          <w:rFonts w:hint="eastAsia" w:ascii="Times New Roman" w:hAnsi="Times New Roman" w:eastAsia="宋体" w:cs="Times New Roman"/>
          <w:color w:val="auto"/>
          <w:szCs w:val="21"/>
          <w:highlight w:val="none"/>
          <w:lang w:val="en-US" w:eastAsia="zh-CN"/>
        </w:rPr>
        <w:t>进行</w:t>
      </w:r>
      <w:r>
        <w:rPr>
          <w:rFonts w:hint="default" w:ascii="Times New Roman" w:hAnsi="Times New Roman" w:eastAsia="宋体" w:cs="Times New Roman"/>
          <w:color w:val="auto"/>
          <w:szCs w:val="21"/>
          <w:highlight w:val="none"/>
          <w:lang w:val="en-US" w:eastAsia="zh-CN"/>
        </w:rPr>
        <w:t>管理</w:t>
      </w:r>
      <w:r>
        <w:rPr>
          <w:rFonts w:hint="eastAsia" w:ascii="Times New Roman" w:hAnsi="Times New Roman" w:eastAsia="宋体" w:cs="Times New Roman"/>
          <w:color w:val="auto"/>
          <w:szCs w:val="21"/>
          <w:highlight w:val="none"/>
          <w:lang w:val="en-US" w:eastAsia="zh-CN"/>
        </w:rPr>
        <w:t>并调度，并提供运输车队、车辆充电、车辆停放、车辆维修及日常维护等相关配套服务</w:t>
      </w:r>
      <w:r>
        <w:rPr>
          <w:rFonts w:hint="default" w:ascii="Times New Roman" w:hAnsi="Times New Roman" w:eastAsia="宋体" w:cs="Times New Roman"/>
          <w:color w:val="auto"/>
          <w:szCs w:val="21"/>
          <w:highlight w:val="none"/>
        </w:rPr>
        <w:t>。</w:t>
      </w:r>
    </w:p>
    <w:p w14:paraId="12641FC2">
      <w:pPr>
        <w:numPr>
          <w:ilvl w:val="1"/>
          <w:numId w:val="1"/>
        </w:numPr>
        <w:spacing w:line="360" w:lineRule="auto"/>
        <w:ind w:firstLine="420" w:firstLineChars="200"/>
        <w:contextualSpacing/>
        <w:rPr>
          <w:rFonts w:hint="default"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en-US" w:eastAsia="zh-CN"/>
        </w:rPr>
        <w:t>采购量：</w:t>
      </w:r>
      <w:r>
        <w:rPr>
          <w:rFonts w:hint="eastAsia" w:ascii="Times New Roman" w:hAnsi="Times New Roman" w:eastAsia="宋体" w:cs="Times New Roman"/>
          <w:b/>
          <w:bCs/>
          <w:color w:val="auto"/>
          <w:szCs w:val="21"/>
          <w:highlight w:val="none"/>
          <w:lang w:val="en-US" w:eastAsia="zh-CN"/>
        </w:rPr>
        <w:t>暂估为95万吨</w:t>
      </w:r>
      <w:r>
        <w:rPr>
          <w:rFonts w:hint="eastAsia" w:ascii="Times New Roman" w:hAnsi="Times New Roman" w:eastAsia="宋体" w:cs="Times New Roman"/>
          <w:color w:val="auto"/>
          <w:szCs w:val="21"/>
          <w:highlight w:val="none"/>
          <w:lang w:val="en-US" w:eastAsia="zh-CN"/>
        </w:rPr>
        <w:t>，前述采购量</w:t>
      </w:r>
      <w:r>
        <w:rPr>
          <w:rFonts w:hint="default" w:ascii="Times New Roman" w:hAnsi="Times New Roman" w:eastAsia="宋体" w:cs="Times New Roman"/>
          <w:color w:val="auto"/>
          <w:szCs w:val="21"/>
          <w:highlight w:val="none"/>
          <w:lang w:val="zh-CN"/>
        </w:rPr>
        <w:t>为暂定量，仅</w:t>
      </w:r>
      <w:r>
        <w:rPr>
          <w:rFonts w:hint="eastAsia" w:ascii="Times New Roman" w:hAnsi="Times New Roman" w:eastAsia="宋体" w:cs="Times New Roman"/>
          <w:color w:val="auto"/>
          <w:szCs w:val="21"/>
          <w:highlight w:val="none"/>
          <w:lang w:val="en-US" w:eastAsia="zh-CN"/>
        </w:rPr>
        <w:t>作为</w:t>
      </w:r>
      <w:r>
        <w:rPr>
          <w:rFonts w:hint="default" w:ascii="Times New Roman" w:hAnsi="Times New Roman" w:eastAsia="宋体" w:cs="Times New Roman"/>
          <w:color w:val="auto"/>
          <w:szCs w:val="21"/>
          <w:highlight w:val="none"/>
          <w:lang w:val="zh-CN"/>
        </w:rPr>
        <w:t>便于</w:t>
      </w:r>
      <w:r>
        <w:rPr>
          <w:rFonts w:hint="eastAsia" w:ascii="Times New Roman" w:hAnsi="Times New Roman" w:eastAsia="宋体" w:cs="Times New Roman"/>
          <w:color w:val="auto"/>
          <w:szCs w:val="21"/>
          <w:highlight w:val="none"/>
          <w:lang w:val="zh-CN"/>
        </w:rPr>
        <w:t>中标人</w:t>
      </w:r>
      <w:r>
        <w:rPr>
          <w:rFonts w:hint="default" w:ascii="Times New Roman" w:hAnsi="Times New Roman" w:eastAsia="宋体" w:cs="Times New Roman"/>
          <w:color w:val="auto"/>
          <w:szCs w:val="21"/>
          <w:highlight w:val="none"/>
          <w:lang w:val="zh-CN"/>
        </w:rPr>
        <w:t>了解项目情况使用，不作为招标人最终委托运输量的保证</w:t>
      </w: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lang w:val="zh-CN"/>
        </w:rPr>
        <w:t>不得因实际污泥运输量增减而要求</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lang w:val="zh-CN"/>
        </w:rPr>
        <w:t>提供任何形式的补偿或赔偿。在服务期内，当需要转运</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lang w:val="zh-CN"/>
        </w:rPr>
        <w:t>时，招标人通知</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lang w:val="zh-CN"/>
        </w:rPr>
        <w:t>到指定污水</w:t>
      </w:r>
      <w:r>
        <w:rPr>
          <w:rFonts w:hint="eastAsia" w:ascii="Times New Roman" w:hAnsi="Times New Roman" w:eastAsia="宋体" w:cs="Times New Roman"/>
          <w:color w:val="auto"/>
          <w:szCs w:val="21"/>
          <w:highlight w:val="none"/>
          <w:lang w:val="en-US" w:eastAsia="zh-CN"/>
        </w:rPr>
        <w:t>处理</w:t>
      </w:r>
      <w:r>
        <w:rPr>
          <w:rFonts w:hint="default" w:ascii="Times New Roman" w:hAnsi="Times New Roman" w:eastAsia="宋体" w:cs="Times New Roman"/>
          <w:color w:val="auto"/>
          <w:szCs w:val="21"/>
          <w:highlight w:val="none"/>
          <w:lang w:val="zh-CN"/>
        </w:rPr>
        <w:t>厂</w:t>
      </w:r>
      <w:r>
        <w:rPr>
          <w:rFonts w:hint="default" w:ascii="Times New Roman" w:hAnsi="Times New Roman" w:eastAsia="宋体" w:cs="Times New Roman"/>
          <w:color w:val="auto"/>
          <w:szCs w:val="21"/>
          <w:highlight w:val="none"/>
        </w:rPr>
        <w:t>或污泥项目现场</w:t>
      </w:r>
      <w:r>
        <w:rPr>
          <w:rFonts w:hint="default" w:ascii="Times New Roman" w:hAnsi="Times New Roman" w:eastAsia="宋体" w:cs="Times New Roman"/>
          <w:color w:val="auto"/>
          <w:szCs w:val="21"/>
          <w:highlight w:val="none"/>
          <w:lang w:val="zh-CN"/>
        </w:rPr>
        <w:t>进行运输。</w:t>
      </w:r>
    </w:p>
    <w:p w14:paraId="1355BE61">
      <w:pPr>
        <w:pStyle w:val="33"/>
        <w:numPr>
          <w:ilvl w:val="0"/>
          <w:numId w:val="1"/>
        </w:numPr>
        <w:spacing w:line="360" w:lineRule="auto"/>
        <w:ind w:left="0" w:leftChars="0" w:firstLine="422" w:firstLineChars="200"/>
        <w:rPr>
          <w:rFonts w:hint="default" w:ascii="Times New Roman" w:hAnsi="Times New Roman" w:cs="Times New Roman"/>
          <w:b/>
          <w:bCs/>
          <w:color w:val="auto"/>
          <w:szCs w:val="21"/>
          <w:highlight w:val="none"/>
        </w:rPr>
      </w:pPr>
      <w:r>
        <w:rPr>
          <w:rFonts w:hint="default" w:ascii="Times New Roman" w:hAnsi="Times New Roman" w:eastAsia="宋体" w:cs="Times New Roman"/>
          <w:b/>
          <w:color w:val="auto"/>
          <w:szCs w:val="21"/>
          <w:highlight w:val="none"/>
        </w:rPr>
        <w:t>服务</w:t>
      </w:r>
      <w:r>
        <w:rPr>
          <w:rFonts w:hint="eastAsia" w:ascii="Times New Roman" w:hAnsi="Times New Roman" w:eastAsia="宋体" w:cs="Times New Roman"/>
          <w:b/>
          <w:color w:val="auto"/>
          <w:szCs w:val="21"/>
          <w:highlight w:val="none"/>
          <w:lang w:val="en-US" w:eastAsia="zh-CN"/>
        </w:rPr>
        <w:t>内容</w:t>
      </w:r>
    </w:p>
    <w:p w14:paraId="28DF7EE4">
      <w:pPr>
        <w:pStyle w:val="40"/>
        <w:adjustRightInd/>
        <w:spacing w:line="360" w:lineRule="auto"/>
        <w:ind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中标人负责提供将污泥</w:t>
      </w:r>
      <w:r>
        <w:rPr>
          <w:rFonts w:hint="eastAsia" w:ascii="宋体" w:hAnsi="宋体" w:eastAsia="宋体" w:cs="宋体"/>
          <w:color w:val="auto"/>
          <w:szCs w:val="21"/>
          <w:highlight w:val="none"/>
        </w:rPr>
        <w:t>从东莞市区域内的污水处理厂</w:t>
      </w:r>
      <w:r>
        <w:rPr>
          <w:rFonts w:hint="eastAsia" w:ascii="宋体" w:hAnsi="宋体" w:eastAsia="宋体" w:cs="宋体"/>
          <w:color w:val="auto"/>
          <w:szCs w:val="21"/>
          <w:highlight w:val="none"/>
          <w:lang w:val="en-US" w:eastAsia="zh-CN"/>
        </w:rPr>
        <w:t>运</w:t>
      </w:r>
      <w:r>
        <w:rPr>
          <w:rFonts w:hint="eastAsia" w:ascii="宋体" w:hAnsi="宋体" w:eastAsia="宋体" w:cs="宋体"/>
          <w:color w:val="auto"/>
          <w:szCs w:val="21"/>
          <w:highlight w:val="none"/>
        </w:rPr>
        <w:t>至东莞市污泥集中处理处置项目</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24小时不间断</w:t>
      </w:r>
      <w:r>
        <w:rPr>
          <w:rFonts w:hint="eastAsia" w:ascii="宋体" w:hAnsi="宋体" w:eastAsia="宋体" w:cs="宋体"/>
          <w:color w:val="auto"/>
          <w:szCs w:val="21"/>
          <w:highlight w:val="none"/>
          <w:lang w:val="en-US" w:eastAsia="zh-CN"/>
        </w:rPr>
        <w:t>运输管理服务，按照招标人要求</w:t>
      </w:r>
      <w:r>
        <w:rPr>
          <w:rFonts w:hint="eastAsia" w:ascii="宋体" w:hAnsi="宋体" w:eastAsia="宋体" w:cs="宋体"/>
          <w:color w:val="auto"/>
          <w:szCs w:val="21"/>
          <w:highlight w:val="none"/>
        </w:rPr>
        <w:t>及时完成污泥收运任务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服务范围</w:t>
      </w:r>
      <w:r>
        <w:rPr>
          <w:rFonts w:hint="eastAsia" w:ascii="宋体" w:hAnsi="宋体" w:eastAsia="宋体" w:cs="宋体"/>
          <w:color w:val="auto"/>
          <w:szCs w:val="21"/>
          <w:highlight w:val="none"/>
        </w:rPr>
        <w:t>具体如下</w:t>
      </w:r>
      <w:r>
        <w:rPr>
          <w:rFonts w:hint="eastAsia" w:ascii="宋体" w:hAnsi="宋体" w:eastAsia="宋体" w:cs="宋体"/>
          <w:color w:val="auto"/>
          <w:szCs w:val="21"/>
          <w:highlight w:val="none"/>
          <w:lang w:eastAsia="zh-CN"/>
        </w:rPr>
        <w:t>：</w:t>
      </w:r>
    </w:p>
    <w:p w14:paraId="013C4B2C">
      <w:pPr>
        <w:pStyle w:val="33"/>
        <w:numPr>
          <w:ilvl w:val="1"/>
          <w:numId w:val="1"/>
        </w:numPr>
        <w:adjustRightInd w:val="0"/>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负责</w:t>
      </w:r>
      <w:r>
        <w:rPr>
          <w:rFonts w:hint="eastAsia" w:ascii="宋体" w:hAnsi="宋体" w:eastAsia="宋体" w:cs="宋体"/>
          <w:color w:val="auto"/>
          <w:szCs w:val="21"/>
          <w:highlight w:val="none"/>
          <w:lang w:val="en-US" w:eastAsia="zh-CN"/>
        </w:rPr>
        <w:t>提供运输车队，运输车队由车队长、驾驶员、管理员等组成，其中实际承担道路运输工作的驾驶员须具备A2驾驶证与道路运输从业资格证（货运），相关</w:t>
      </w:r>
      <w:r>
        <w:rPr>
          <w:rFonts w:hint="eastAsia" w:ascii="宋体" w:hAnsi="宋体" w:eastAsia="宋体" w:cs="宋体"/>
          <w:color w:val="auto"/>
          <w:szCs w:val="21"/>
          <w:highlight w:val="none"/>
        </w:rPr>
        <w:t>证件需</w:t>
      </w:r>
      <w:r>
        <w:rPr>
          <w:rFonts w:hint="eastAsia" w:ascii="宋体" w:hAnsi="宋体" w:eastAsia="宋体" w:cs="宋体"/>
          <w:color w:val="auto"/>
          <w:szCs w:val="21"/>
          <w:highlight w:val="none"/>
          <w:lang w:val="en-US" w:eastAsia="zh-CN"/>
        </w:rPr>
        <w:t>向</w:t>
      </w:r>
      <w:r>
        <w:rPr>
          <w:rFonts w:hint="eastAsia" w:ascii="宋体" w:hAnsi="宋体" w:eastAsia="宋体" w:cs="宋体"/>
          <w:color w:val="auto"/>
          <w:szCs w:val="21"/>
          <w:highlight w:val="none"/>
        </w:rPr>
        <w:t>招标人报备；</w:t>
      </w:r>
      <w:r>
        <w:rPr>
          <w:rFonts w:hint="eastAsia" w:ascii="宋体" w:hAnsi="宋体" w:eastAsia="宋体" w:cs="宋体"/>
          <w:color w:val="auto"/>
          <w:szCs w:val="21"/>
          <w:highlight w:val="none"/>
          <w:lang w:val="en-US" w:eastAsia="zh-CN"/>
        </w:rPr>
        <w:t>且</w:t>
      </w:r>
      <w:r>
        <w:rPr>
          <w:rFonts w:hint="default" w:ascii="Times New Roman" w:hAnsi="Times New Roman" w:cs="Times New Roman"/>
          <w:color w:val="auto"/>
          <w:szCs w:val="21"/>
          <w:highlight w:val="none"/>
        </w:rPr>
        <w:t>负责</w:t>
      </w:r>
      <w:r>
        <w:rPr>
          <w:rFonts w:hint="eastAsia" w:ascii="Times New Roman" w:hAnsi="Times New Roman" w:cs="Times New Roman"/>
          <w:color w:val="auto"/>
          <w:szCs w:val="21"/>
          <w:highlight w:val="none"/>
          <w:lang w:val="en-US" w:eastAsia="zh-CN"/>
        </w:rPr>
        <w:t>运输</w:t>
      </w:r>
      <w:r>
        <w:rPr>
          <w:rFonts w:hint="default" w:ascii="Times New Roman" w:hAnsi="Times New Roman" w:cs="Times New Roman"/>
          <w:color w:val="auto"/>
          <w:szCs w:val="21"/>
          <w:highlight w:val="none"/>
        </w:rPr>
        <w:t>车队</w:t>
      </w:r>
      <w:r>
        <w:rPr>
          <w:rFonts w:hint="eastAsia" w:ascii="Times New Roman" w:hAnsi="Times New Roman" w:cs="Times New Roman"/>
          <w:color w:val="auto"/>
          <w:szCs w:val="21"/>
          <w:highlight w:val="none"/>
          <w:lang w:val="en-US" w:eastAsia="zh-CN"/>
        </w:rPr>
        <w:t>的</w:t>
      </w:r>
      <w:r>
        <w:rPr>
          <w:rFonts w:hint="default" w:ascii="Times New Roman" w:hAnsi="Times New Roman" w:cs="Times New Roman"/>
          <w:color w:val="auto"/>
          <w:szCs w:val="21"/>
          <w:highlight w:val="none"/>
        </w:rPr>
        <w:t>安全管理，包括</w:t>
      </w:r>
      <w:r>
        <w:rPr>
          <w:rFonts w:hint="eastAsia" w:ascii="Times New Roman" w:hAnsi="Times New Roman" w:cs="Times New Roman"/>
          <w:color w:val="auto"/>
          <w:szCs w:val="21"/>
          <w:highlight w:val="none"/>
          <w:lang w:val="en-US" w:eastAsia="zh-CN"/>
        </w:rPr>
        <w:t>安全教育、安全</w:t>
      </w:r>
      <w:r>
        <w:rPr>
          <w:rFonts w:hint="default" w:ascii="Times New Roman" w:hAnsi="Times New Roman" w:cs="Times New Roman"/>
          <w:color w:val="auto"/>
          <w:szCs w:val="21"/>
          <w:highlight w:val="none"/>
        </w:rPr>
        <w:t>培训、隐患排查和应急演练；</w:t>
      </w:r>
    </w:p>
    <w:p w14:paraId="424FD780">
      <w:pPr>
        <w:pStyle w:val="33"/>
        <w:numPr>
          <w:ilvl w:val="1"/>
          <w:numId w:val="1"/>
        </w:numPr>
        <w:spacing w:line="360" w:lineRule="auto"/>
        <w:ind w:left="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负责根据</w:t>
      </w:r>
      <w:r>
        <w:rPr>
          <w:rFonts w:hint="eastAsia" w:ascii="Times New Roman" w:hAnsi="Times New Roman" w:cs="Times New Roman"/>
          <w:color w:val="auto"/>
          <w:szCs w:val="21"/>
          <w:highlight w:val="none"/>
          <w:lang w:val="en-US" w:eastAsia="zh-CN"/>
        </w:rPr>
        <w:t>污泥项目的现场调度指令进行车辆及车队派出</w:t>
      </w:r>
      <w:r>
        <w:rPr>
          <w:rFonts w:hint="default" w:ascii="Times New Roman" w:hAnsi="Times New Roman" w:cs="Times New Roman"/>
          <w:color w:val="auto"/>
          <w:szCs w:val="21"/>
          <w:highlight w:val="none"/>
        </w:rPr>
        <w:t>工作，前往指定污水</w:t>
      </w:r>
      <w:r>
        <w:rPr>
          <w:rFonts w:hint="eastAsia" w:ascii="Times New Roman" w:hAnsi="Times New Roman" w:cs="Times New Roman"/>
          <w:color w:val="auto"/>
          <w:szCs w:val="21"/>
          <w:highlight w:val="none"/>
          <w:lang w:val="en-US" w:eastAsia="zh-CN"/>
        </w:rPr>
        <w:t>处理</w:t>
      </w:r>
      <w:r>
        <w:rPr>
          <w:rFonts w:hint="default" w:ascii="Times New Roman" w:hAnsi="Times New Roman" w:cs="Times New Roman"/>
          <w:color w:val="auto"/>
          <w:szCs w:val="21"/>
          <w:highlight w:val="none"/>
        </w:rPr>
        <w:t>厂将</w:t>
      </w:r>
      <w:r>
        <w:rPr>
          <w:rFonts w:hint="eastAsia" w:ascii="Times New Roman" w:hAnsi="Times New Roman" w:cs="Times New Roman"/>
          <w:color w:val="auto"/>
          <w:szCs w:val="21"/>
          <w:highlight w:val="none"/>
          <w:lang w:val="en-US" w:eastAsia="zh-CN"/>
        </w:rPr>
        <w:t>污泥</w:t>
      </w:r>
      <w:r>
        <w:rPr>
          <w:rFonts w:hint="default" w:ascii="Times New Roman" w:hAnsi="Times New Roman" w:cs="Times New Roman"/>
          <w:color w:val="auto"/>
          <w:szCs w:val="21"/>
          <w:highlight w:val="none"/>
        </w:rPr>
        <w:t>运至污泥项目；</w:t>
      </w:r>
    </w:p>
    <w:p w14:paraId="4148F340">
      <w:pPr>
        <w:pStyle w:val="33"/>
        <w:numPr>
          <w:ilvl w:val="1"/>
          <w:numId w:val="1"/>
        </w:numPr>
        <w:spacing w:line="360" w:lineRule="auto"/>
        <w:ind w:left="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负责</w:t>
      </w:r>
      <w:r>
        <w:rPr>
          <w:rFonts w:hint="eastAsia" w:ascii="Times New Roman" w:hAnsi="Times New Roman" w:cs="Times New Roman"/>
          <w:color w:val="auto"/>
          <w:szCs w:val="21"/>
          <w:highlight w:val="none"/>
          <w:lang w:val="en-US" w:eastAsia="zh-CN"/>
        </w:rPr>
        <w:t>提供厂外专用的车辆停放场地，污泥项目内只提供用于厂内排队临时等候的停放车位</w:t>
      </w:r>
      <w:r>
        <w:rPr>
          <w:rFonts w:hint="eastAsia" w:ascii="Times New Roman" w:hAnsi="Times New Roman" w:cs="Times New Roman"/>
          <w:color w:val="auto"/>
          <w:szCs w:val="21"/>
          <w:highlight w:val="none"/>
          <w:lang w:eastAsia="zh-CN"/>
        </w:rPr>
        <w:t>；</w:t>
      </w:r>
    </w:p>
    <w:p w14:paraId="0112B148">
      <w:pPr>
        <w:pStyle w:val="33"/>
        <w:numPr>
          <w:ilvl w:val="1"/>
          <w:numId w:val="1"/>
        </w:numPr>
        <w:spacing w:line="360" w:lineRule="auto"/>
        <w:ind w:left="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负责</w:t>
      </w:r>
      <w:r>
        <w:rPr>
          <w:rFonts w:hint="eastAsia" w:ascii="Times New Roman" w:hAnsi="Times New Roman" w:cs="Times New Roman"/>
          <w:color w:val="auto"/>
          <w:szCs w:val="21"/>
          <w:highlight w:val="none"/>
          <w:lang w:val="en-US" w:eastAsia="zh-CN"/>
        </w:rPr>
        <w:t>提供</w:t>
      </w:r>
      <w:r>
        <w:rPr>
          <w:rFonts w:hint="default" w:ascii="Times New Roman" w:hAnsi="Times New Roman" w:cs="Times New Roman"/>
          <w:color w:val="auto"/>
          <w:szCs w:val="21"/>
          <w:highlight w:val="none"/>
        </w:rPr>
        <w:t>车辆</w:t>
      </w:r>
      <w:r>
        <w:rPr>
          <w:rFonts w:hint="eastAsia" w:ascii="Times New Roman" w:hAnsi="Times New Roman" w:cs="Times New Roman"/>
          <w:color w:val="auto"/>
          <w:szCs w:val="21"/>
          <w:highlight w:val="none"/>
          <w:lang w:val="en-US" w:eastAsia="zh-CN"/>
        </w:rPr>
        <w:t>的</w:t>
      </w:r>
      <w:r>
        <w:rPr>
          <w:rFonts w:hint="default" w:ascii="Times New Roman" w:hAnsi="Times New Roman" w:cs="Times New Roman"/>
          <w:color w:val="auto"/>
          <w:szCs w:val="21"/>
          <w:highlight w:val="none"/>
        </w:rPr>
        <w:t>充电</w:t>
      </w:r>
      <w:r>
        <w:rPr>
          <w:rFonts w:hint="eastAsia" w:ascii="Times New Roman" w:hAnsi="Times New Roman" w:cs="Times New Roman"/>
          <w:color w:val="auto"/>
          <w:szCs w:val="21"/>
          <w:highlight w:val="none"/>
          <w:lang w:val="en-US" w:eastAsia="zh-CN"/>
        </w:rPr>
        <w:t>服务</w:t>
      </w:r>
      <w:r>
        <w:rPr>
          <w:rFonts w:hint="default" w:ascii="Times New Roman" w:hAnsi="Times New Roman" w:cs="Times New Roman"/>
          <w:color w:val="auto"/>
          <w:szCs w:val="21"/>
          <w:highlight w:val="none"/>
        </w:rPr>
        <w:t>；</w:t>
      </w:r>
    </w:p>
    <w:p w14:paraId="7CA8D073">
      <w:pPr>
        <w:pStyle w:val="33"/>
        <w:numPr>
          <w:ilvl w:val="1"/>
          <w:numId w:val="1"/>
        </w:numPr>
        <w:spacing w:line="360" w:lineRule="auto"/>
        <w:ind w:left="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负责</w:t>
      </w:r>
      <w:r>
        <w:rPr>
          <w:rFonts w:hint="eastAsia" w:ascii="Times New Roman" w:hAnsi="Times New Roman" w:cs="Times New Roman"/>
          <w:color w:val="auto"/>
          <w:szCs w:val="21"/>
          <w:highlight w:val="none"/>
          <w:lang w:val="en-US" w:eastAsia="zh-CN"/>
        </w:rPr>
        <w:t>运输相关信息填报、</w:t>
      </w:r>
      <w:r>
        <w:rPr>
          <w:rFonts w:hint="default" w:ascii="Times New Roman" w:hAnsi="Times New Roman" w:cs="Times New Roman"/>
          <w:color w:val="auto"/>
          <w:szCs w:val="21"/>
          <w:highlight w:val="none"/>
        </w:rPr>
        <w:t>单据整理及台账登记工作；</w:t>
      </w:r>
    </w:p>
    <w:p w14:paraId="6C705A3B">
      <w:pPr>
        <w:pStyle w:val="33"/>
        <w:numPr>
          <w:ilvl w:val="1"/>
          <w:numId w:val="1"/>
        </w:numPr>
        <w:spacing w:line="360" w:lineRule="auto"/>
        <w:ind w:left="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负责</w:t>
      </w:r>
      <w:r>
        <w:rPr>
          <w:rFonts w:hint="eastAsia" w:ascii="Times New Roman" w:hAnsi="Times New Roman" w:cs="Times New Roman"/>
          <w:color w:val="auto"/>
          <w:szCs w:val="21"/>
          <w:highlight w:val="none"/>
          <w:lang w:val="en-US" w:eastAsia="zh-CN"/>
        </w:rPr>
        <w:t>运输</w:t>
      </w:r>
      <w:r>
        <w:rPr>
          <w:rFonts w:hint="default" w:ascii="Times New Roman" w:hAnsi="Times New Roman" w:cs="Times New Roman"/>
          <w:color w:val="auto"/>
          <w:szCs w:val="21"/>
          <w:highlight w:val="none"/>
        </w:rPr>
        <w:t>车辆的维修</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GPS</w:t>
      </w:r>
      <w:r>
        <w:rPr>
          <w:rFonts w:hint="eastAsia" w:ascii="Times New Roman" w:hAnsi="Times New Roman" w:cs="Times New Roman"/>
          <w:color w:val="auto"/>
          <w:szCs w:val="21"/>
          <w:highlight w:val="none"/>
          <w:lang w:val="en-US" w:eastAsia="zh-CN"/>
        </w:rPr>
        <w:t>维护</w:t>
      </w:r>
      <w:r>
        <w:rPr>
          <w:rFonts w:hint="default" w:ascii="Times New Roman" w:hAnsi="Times New Roman" w:cs="Times New Roman"/>
          <w:color w:val="auto"/>
          <w:szCs w:val="21"/>
          <w:highlight w:val="none"/>
        </w:rPr>
        <w:t>、年审</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日常维护、日常清洗等</w:t>
      </w:r>
      <w:r>
        <w:rPr>
          <w:rFonts w:hint="default" w:ascii="Times New Roman" w:hAnsi="Times New Roman" w:cs="Times New Roman"/>
          <w:color w:val="auto"/>
          <w:szCs w:val="21"/>
          <w:highlight w:val="none"/>
        </w:rPr>
        <w:t>工作；</w:t>
      </w:r>
    </w:p>
    <w:p w14:paraId="36566134">
      <w:pPr>
        <w:pStyle w:val="33"/>
        <w:numPr>
          <w:ilvl w:val="1"/>
          <w:numId w:val="1"/>
        </w:numPr>
        <w:spacing w:line="360" w:lineRule="auto"/>
        <w:ind w:left="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负责</w:t>
      </w:r>
      <w:r>
        <w:rPr>
          <w:rFonts w:hint="eastAsia" w:ascii="Times New Roman" w:hAnsi="Times New Roman" w:cs="Times New Roman"/>
          <w:color w:val="auto"/>
          <w:szCs w:val="21"/>
          <w:highlight w:val="none"/>
          <w:lang w:val="en-US" w:eastAsia="zh-CN"/>
        </w:rPr>
        <w:t>定期将车辆送到招标人指定地点进行保养，跟进保养情况，保养的费用由招标人负责</w:t>
      </w:r>
      <w:r>
        <w:rPr>
          <w:rFonts w:hint="eastAsia" w:ascii="Times New Roman" w:hAnsi="Times New Roman" w:cs="Times New Roman"/>
          <w:color w:val="auto"/>
          <w:szCs w:val="21"/>
          <w:highlight w:val="none"/>
          <w:lang w:eastAsia="zh-CN"/>
        </w:rPr>
        <w:t>；</w:t>
      </w:r>
    </w:p>
    <w:p w14:paraId="408D43E3">
      <w:pPr>
        <w:pStyle w:val="33"/>
        <w:numPr>
          <w:ilvl w:val="1"/>
          <w:numId w:val="1"/>
        </w:numPr>
        <w:spacing w:line="360" w:lineRule="auto"/>
        <w:ind w:left="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其他日常配合服务。</w:t>
      </w:r>
    </w:p>
    <w:p w14:paraId="67157831">
      <w:pPr>
        <w:pStyle w:val="33"/>
        <w:numPr>
          <w:ilvl w:val="0"/>
          <w:numId w:val="1"/>
        </w:numPr>
        <w:spacing w:line="360" w:lineRule="auto"/>
        <w:ind w:left="0" w:leftChars="0" w:firstLine="400"/>
        <w:rPr>
          <w:rFonts w:hint="default" w:ascii="Times New Roman" w:hAnsi="Times New Roman" w:cs="Times New Roman"/>
          <w:b/>
          <w:bCs/>
          <w:color w:val="auto"/>
          <w:szCs w:val="21"/>
          <w:highlight w:val="none"/>
        </w:rPr>
      </w:pPr>
      <w:r>
        <w:rPr>
          <w:rFonts w:hint="default" w:ascii="Times New Roman" w:hAnsi="Times New Roman" w:eastAsia="宋体" w:cs="Times New Roman"/>
          <w:b/>
          <w:color w:val="auto"/>
          <w:szCs w:val="21"/>
          <w:highlight w:val="none"/>
        </w:rPr>
        <w:t>运输服务费</w:t>
      </w:r>
    </w:p>
    <w:p w14:paraId="7CEBF692">
      <w:pPr>
        <w:pStyle w:val="40"/>
        <w:numPr>
          <w:ilvl w:val="1"/>
          <w:numId w:val="1"/>
        </w:numPr>
        <w:spacing w:line="360" w:lineRule="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的投标报价为不含税单价</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单位：元/吨</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具体计算如下</w:t>
      </w:r>
      <w:r>
        <w:rPr>
          <w:rFonts w:hint="eastAsia" w:ascii="Times New Roman" w:hAnsi="Times New Roman" w:eastAsia="宋体" w:cs="Times New Roman"/>
          <w:color w:val="auto"/>
          <w:szCs w:val="21"/>
          <w:highlight w:val="none"/>
          <w:lang w:eastAsia="zh-CN"/>
        </w:rPr>
        <w:t>：</w:t>
      </w:r>
    </w:p>
    <w:p w14:paraId="386E44C9">
      <w:pPr>
        <w:pStyle w:val="40"/>
        <w:numPr>
          <w:ilvl w:val="-1"/>
          <w:numId w:val="0"/>
        </w:numPr>
        <w:spacing w:line="360" w:lineRule="auto"/>
        <w:ind w:lef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（1）（不含税）服务费=不含税服务费单价</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单位：元/吨</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×运输</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重量（吨）</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 xml:space="preserve"> </w:t>
      </w:r>
    </w:p>
    <w:p w14:paraId="565D8404">
      <w:pPr>
        <w:pStyle w:val="40"/>
        <w:numPr>
          <w:ilvl w:val="-1"/>
          <w:numId w:val="0"/>
        </w:numPr>
        <w:spacing w:line="360" w:lineRule="auto"/>
        <w:ind w:lef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重量以</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指定的第三方过磅数量为准，称重的过磅费用由</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承担。</w:t>
      </w:r>
      <w:r>
        <w:rPr>
          <w:rFonts w:hint="eastAsia" w:ascii="Times New Roman" w:hAnsi="Times New Roman" w:eastAsia="宋体" w:cs="Times New Roman"/>
          <w:color w:val="auto"/>
          <w:szCs w:val="21"/>
          <w:highlight w:val="none"/>
          <w:lang w:val="en-US" w:eastAsia="zh-CN"/>
        </w:rPr>
        <w:t>若</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对过磅重量有异议的，由双方共同指定的第三方</w:t>
      </w:r>
      <w:r>
        <w:rPr>
          <w:rFonts w:hint="eastAsia" w:ascii="Times New Roman" w:hAnsi="Times New Roman" w:eastAsia="宋体" w:cs="Times New Roman"/>
          <w:color w:val="auto"/>
          <w:szCs w:val="21"/>
          <w:highlight w:val="none"/>
          <w:lang w:val="en-US" w:eastAsia="zh-CN"/>
        </w:rPr>
        <w:t>对过磅</w:t>
      </w:r>
      <w:r>
        <w:rPr>
          <w:rFonts w:hint="default" w:ascii="Times New Roman" w:hAnsi="Times New Roman" w:eastAsia="宋体" w:cs="Times New Roman"/>
          <w:color w:val="auto"/>
          <w:szCs w:val="21"/>
          <w:highlight w:val="none"/>
        </w:rPr>
        <w:t>重量</w:t>
      </w:r>
      <w:r>
        <w:rPr>
          <w:rFonts w:hint="eastAsia" w:ascii="Times New Roman" w:hAnsi="Times New Roman" w:eastAsia="宋体" w:cs="Times New Roman"/>
          <w:color w:val="auto"/>
          <w:szCs w:val="21"/>
          <w:highlight w:val="none"/>
          <w:lang w:val="en-US" w:eastAsia="zh-CN"/>
        </w:rPr>
        <w:t>进行复核</w:t>
      </w:r>
      <w:r>
        <w:rPr>
          <w:rFonts w:hint="default" w:ascii="Times New Roman" w:hAnsi="Times New Roman" w:eastAsia="宋体" w:cs="Times New Roman"/>
          <w:color w:val="auto"/>
          <w:szCs w:val="21"/>
          <w:highlight w:val="none"/>
        </w:rPr>
        <w:t>，费用由</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承担。</w:t>
      </w:r>
    </w:p>
    <w:p w14:paraId="7133747D">
      <w:pPr>
        <w:pStyle w:val="40"/>
        <w:numPr>
          <w:ilvl w:val="1"/>
          <w:numId w:val="1"/>
        </w:num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本项目结算方式为按月结算，次月</w:t>
      </w: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号前，</w:t>
      </w:r>
      <w:r>
        <w:rPr>
          <w:rFonts w:hint="eastAsia" w:ascii="Times New Roman" w:hAnsi="Times New Roman" w:eastAsia="宋体" w:cs="Times New Roman"/>
          <w:color w:val="auto"/>
          <w:szCs w:val="21"/>
          <w:highlight w:val="none"/>
          <w:lang w:eastAsia="zh-CN"/>
        </w:rPr>
        <w:t>中标人</w:t>
      </w:r>
      <w:r>
        <w:rPr>
          <w:rFonts w:hint="eastAsia" w:ascii="Times New Roman" w:hAnsi="Times New Roman" w:eastAsia="宋体" w:cs="Times New Roman"/>
          <w:color w:val="auto"/>
          <w:szCs w:val="21"/>
          <w:highlight w:val="none"/>
          <w:lang w:val="en-US" w:eastAsia="zh-CN"/>
        </w:rPr>
        <w:t>将</w:t>
      </w:r>
      <w:r>
        <w:rPr>
          <w:rFonts w:hint="default" w:ascii="Times New Roman" w:hAnsi="Times New Roman" w:eastAsia="宋体" w:cs="Times New Roman"/>
          <w:color w:val="auto"/>
          <w:szCs w:val="21"/>
          <w:highlight w:val="none"/>
        </w:rPr>
        <w:t>相关对账资料递交</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审核，在双方确认对账信息后，</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开具等额增值税发票至</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在</w:t>
      </w:r>
      <w:r>
        <w:rPr>
          <w:rFonts w:hint="eastAsia" w:ascii="Times New Roman" w:hAnsi="Times New Roman" w:eastAsia="宋体" w:cs="Times New Roman"/>
          <w:color w:val="auto"/>
          <w:szCs w:val="21"/>
          <w:highlight w:val="none"/>
          <w:lang w:val="en-US" w:eastAsia="zh-CN"/>
        </w:rPr>
        <w:t>20</w:t>
      </w:r>
      <w:r>
        <w:rPr>
          <w:rFonts w:hint="default" w:ascii="Times New Roman" w:hAnsi="Times New Roman" w:eastAsia="宋体" w:cs="Times New Roman"/>
          <w:color w:val="auto"/>
          <w:szCs w:val="21"/>
          <w:highlight w:val="none"/>
        </w:rPr>
        <w:t>个工作日内支付相关费用至</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w:t>
      </w:r>
    </w:p>
    <w:p w14:paraId="5C9E7993">
      <w:pPr>
        <w:pStyle w:val="40"/>
        <w:numPr>
          <w:ilvl w:val="1"/>
          <w:numId w:val="1"/>
        </w:num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在本项目履行过程中，服务费单价（即销售额，不含</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销项税额）不随法律法规政策、物价人工等调整而进行调整（合同明确约定可调整的除外），未经</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书面确认，</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（包括但不限于</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指定的第三方）无权增加任何费用。</w:t>
      </w:r>
    </w:p>
    <w:p w14:paraId="1C9F0B0E">
      <w:pPr>
        <w:pStyle w:val="40"/>
        <w:numPr>
          <w:ilvl w:val="1"/>
          <w:numId w:val="1"/>
        </w:numPr>
        <w:spacing w:line="360" w:lineRule="auto"/>
        <w:ind w:firstLineChars="200"/>
        <w:rPr>
          <w:rFonts w:hint="default" w:ascii="Times New Roman" w:hAnsi="Times New Roman" w:cs="Times New Roman"/>
          <w:b/>
          <w:bCs/>
          <w:color w:val="auto"/>
          <w:szCs w:val="21"/>
          <w:highlight w:val="none"/>
        </w:rPr>
      </w:pPr>
      <w:r>
        <w:rPr>
          <w:rFonts w:hint="default" w:ascii="Times New Roman" w:hAnsi="Times New Roman" w:eastAsia="宋体" w:cs="Times New Roman"/>
          <w:color w:val="auto"/>
          <w:szCs w:val="21"/>
          <w:highlight w:val="none"/>
        </w:rPr>
        <w:t>本项目不含税服务费单价包括</w:t>
      </w:r>
      <w:r>
        <w:rPr>
          <w:rFonts w:hint="eastAsia" w:ascii="Times New Roman" w:hAnsi="Times New Roman" w:eastAsia="宋体" w:cs="Times New Roman"/>
          <w:color w:val="auto"/>
          <w:szCs w:val="21"/>
          <w:highlight w:val="none"/>
          <w:lang w:val="en-US" w:eastAsia="zh-CN"/>
        </w:rPr>
        <w:t>了</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中标后为完成招标文件和合同规定的全部工作所需支付的一切费用，服务费单价为包干价，包括但不限于</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履行本合同所发生的服务范围内所需的人工费（</w:t>
      </w:r>
      <w:r>
        <w:rPr>
          <w:rFonts w:hint="eastAsia" w:ascii="宋体" w:hAnsi="宋体" w:eastAsia="宋体" w:cs="宋体"/>
          <w:color w:val="auto"/>
          <w:szCs w:val="21"/>
          <w:highlight w:val="none"/>
        </w:rPr>
        <w:t>工资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福利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加班费、补贴、牌照领取、考试培训、</w:t>
      </w:r>
      <w:r>
        <w:rPr>
          <w:rFonts w:hint="eastAsia" w:ascii="宋体" w:hAnsi="宋体" w:eastAsia="宋体" w:cs="宋体"/>
          <w:color w:val="auto"/>
          <w:szCs w:val="21"/>
          <w:highlight w:val="none"/>
        </w:rPr>
        <w:t>食宿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体检、</w:t>
      </w:r>
      <w:r>
        <w:rPr>
          <w:rFonts w:hint="default" w:ascii="Times New Roman" w:hAnsi="Times New Roman" w:eastAsia="宋体" w:cs="Times New Roman"/>
          <w:color w:val="auto"/>
          <w:szCs w:val="21"/>
          <w:highlight w:val="none"/>
        </w:rPr>
        <w:t>劳保用品、保险</w:t>
      </w:r>
      <w:r>
        <w:rPr>
          <w:rFonts w:hint="eastAsia" w:ascii="Times New Roman" w:hAnsi="Times New Roman" w:eastAsia="宋体" w:cs="Times New Roman"/>
          <w:color w:val="auto"/>
          <w:szCs w:val="21"/>
          <w:highlight w:val="none"/>
          <w:lang w:val="en-US" w:eastAsia="zh-CN"/>
        </w:rPr>
        <w:t>等费用</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、车辆管理、车辆检维修、车辆保养、充电服务、厂外长期及临时停放、</w:t>
      </w:r>
      <w:r>
        <w:rPr>
          <w:rFonts w:hint="eastAsia" w:ascii="Times New Roman" w:hAnsi="Times New Roman" w:eastAsia="宋体" w:cs="Times New Roman"/>
          <w:color w:val="auto"/>
          <w:szCs w:val="21"/>
          <w:highlight w:val="none"/>
        </w:rPr>
        <w:t>GPS</w:t>
      </w:r>
      <w:r>
        <w:rPr>
          <w:rFonts w:hint="eastAsia" w:ascii="Times New Roman" w:hAnsi="Times New Roman" w:eastAsia="宋体" w:cs="Times New Roman"/>
          <w:color w:val="auto"/>
          <w:szCs w:val="21"/>
          <w:highlight w:val="none"/>
          <w:lang w:val="en-US" w:eastAsia="zh-CN"/>
        </w:rPr>
        <w:t>维护及通讯、车辆</w:t>
      </w:r>
      <w:r>
        <w:rPr>
          <w:rFonts w:hint="eastAsia" w:ascii="Times New Roman" w:hAnsi="Times New Roman" w:eastAsia="宋体" w:cs="Times New Roman"/>
          <w:color w:val="auto"/>
          <w:szCs w:val="21"/>
          <w:highlight w:val="none"/>
        </w:rPr>
        <w:t>年审</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日常配合服务</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复核</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重量的称重费（如有）、</w:t>
      </w:r>
      <w:r>
        <w:rPr>
          <w:rFonts w:hint="eastAsia" w:ascii="Times New Roman" w:hAnsi="Times New Roman" w:eastAsia="宋体" w:cs="Times New Roman"/>
          <w:bCs/>
          <w:color w:val="auto"/>
          <w:szCs w:val="21"/>
          <w:highlight w:val="none"/>
          <w:lang w:eastAsia="zh-CN"/>
        </w:rPr>
        <w:t>中标人</w:t>
      </w:r>
      <w:r>
        <w:rPr>
          <w:rFonts w:hint="default" w:ascii="Times New Roman" w:hAnsi="Times New Roman" w:eastAsia="宋体" w:cs="Times New Roman"/>
          <w:bCs/>
          <w:color w:val="auto"/>
          <w:szCs w:val="21"/>
          <w:highlight w:val="none"/>
        </w:rPr>
        <w:t>销项税额以外的税费</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lang w:val="en-US" w:eastAsia="zh-CN"/>
        </w:rPr>
        <w:t>利润</w:t>
      </w:r>
      <w:r>
        <w:rPr>
          <w:rFonts w:hint="default" w:ascii="Times New Roman" w:hAnsi="Times New Roman" w:eastAsia="宋体" w:cs="Times New Roman"/>
          <w:bCs/>
          <w:color w:val="auto"/>
          <w:szCs w:val="21"/>
          <w:highlight w:val="none"/>
        </w:rPr>
        <w:t>等合同实施过程中产生的全部直接和间接费用</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增值税按合同约定计算。</w:t>
      </w:r>
      <w:r>
        <w:rPr>
          <w:rFonts w:hint="default" w:ascii="Times New Roman" w:hAnsi="Times New Roman" w:eastAsia="宋体" w:cs="Times New Roman"/>
          <w:color w:val="auto"/>
          <w:szCs w:val="21"/>
          <w:highlight w:val="none"/>
        </w:rPr>
        <w:t>依法计得并根据采购项目合同约定确定的销项税额由</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承担。</w:t>
      </w:r>
    </w:p>
    <w:p w14:paraId="657A9151">
      <w:pPr>
        <w:pStyle w:val="33"/>
        <w:numPr>
          <w:ilvl w:val="0"/>
          <w:numId w:val="1"/>
        </w:numPr>
        <w:spacing w:line="360" w:lineRule="auto"/>
        <w:ind w:left="0" w:leftChars="0"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服务要求</w:t>
      </w:r>
    </w:p>
    <w:p w14:paraId="33CFF2C1">
      <w:pPr>
        <w:pStyle w:val="33"/>
        <w:numPr>
          <w:ilvl w:val="1"/>
          <w:numId w:val="1"/>
        </w:numPr>
        <w:spacing w:line="360" w:lineRule="auto"/>
        <w:ind w:left="0" w:firstLine="420" w:firstLineChars="200"/>
        <w:contextualSpacing w:val="0"/>
        <w:jc w:val="lef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必须是中华人民共和国具有独立法人资格的道路运输企业，具备有效期内的《道路运输经营许可证》，经营范围含道路普通货物运输。</w:t>
      </w:r>
    </w:p>
    <w:p w14:paraId="5ADDDF6C">
      <w:pPr>
        <w:pStyle w:val="33"/>
        <w:numPr>
          <w:ilvl w:val="1"/>
          <w:numId w:val="1"/>
        </w:numPr>
        <w:spacing w:line="360" w:lineRule="auto"/>
        <w:ind w:left="0" w:firstLine="420" w:firstLineChars="200"/>
        <w:contextualSpacing w:val="0"/>
        <w:jc w:val="lef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必须具备有效期内的ISO三</w:t>
      </w:r>
      <w:bookmarkStart w:id="0" w:name="_GoBack"/>
      <w:bookmarkEnd w:id="0"/>
      <w:r>
        <w:rPr>
          <w:rFonts w:hint="default" w:ascii="Times New Roman" w:hAnsi="Times New Roman" w:cs="Times New Roman"/>
          <w:color w:val="auto"/>
          <w:szCs w:val="21"/>
          <w:highlight w:val="none"/>
        </w:rPr>
        <w:t>体系证书，即环境管理体系认证证书、职业健康安全管理体系认证证书、质量管理体系认证证书。</w:t>
      </w:r>
    </w:p>
    <w:p w14:paraId="21AC4278">
      <w:pPr>
        <w:pStyle w:val="33"/>
        <w:numPr>
          <w:ilvl w:val="1"/>
          <w:numId w:val="1"/>
        </w:numPr>
        <w:spacing w:line="360" w:lineRule="auto"/>
        <w:ind w:left="0" w:firstLine="420" w:firstLineChars="200"/>
        <w:contextualSpacing w:val="0"/>
        <w:jc w:val="lef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在合同签订之日起</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10</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个自然日内</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中标人应</w:t>
      </w:r>
      <w:r>
        <w:rPr>
          <w:rFonts w:hint="default" w:ascii="Times New Roman" w:hAnsi="Times New Roman" w:cs="Times New Roman"/>
          <w:color w:val="auto"/>
          <w:szCs w:val="21"/>
          <w:highlight w:val="none"/>
        </w:rPr>
        <w:t>提供</w:t>
      </w:r>
      <w:r>
        <w:rPr>
          <w:rFonts w:hint="eastAsia" w:ascii="Times New Roman" w:hAnsi="Times New Roman" w:cs="Times New Roman"/>
          <w:color w:val="auto"/>
          <w:szCs w:val="21"/>
          <w:highlight w:val="none"/>
          <w:lang w:val="en-US" w:eastAsia="zh-CN"/>
        </w:rPr>
        <w:t>专用停车场的</w:t>
      </w:r>
      <w:r>
        <w:rPr>
          <w:rFonts w:hint="default" w:ascii="Times New Roman" w:hAnsi="Times New Roman" w:cs="Times New Roman"/>
          <w:color w:val="auto"/>
          <w:szCs w:val="21"/>
          <w:highlight w:val="none"/>
        </w:rPr>
        <w:t>自有证明或租赁合同</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该租赁合同有效期需在本次采购合同的有效期之后</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，并提供场地平面图</w:t>
      </w:r>
      <w:r>
        <w:rPr>
          <w:rFonts w:hint="eastAsia" w:ascii="Times New Roman" w:hAnsi="Times New Roman" w:cs="Times New Roman"/>
          <w:color w:val="auto"/>
          <w:szCs w:val="21"/>
          <w:highlight w:val="none"/>
          <w:lang w:val="en-US" w:eastAsia="zh-CN"/>
        </w:rPr>
        <w:t>及设计方案（可采用集中或分散式布局形式）</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停车场应按国家、地方或行业相关规范标准进行设计；并要求在合同签订之日起</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45</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个自然日内</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专用停车场具备使用条件。</w:t>
      </w:r>
    </w:p>
    <w:p w14:paraId="2504C62A">
      <w:pPr>
        <w:pStyle w:val="33"/>
        <w:numPr>
          <w:ilvl w:val="1"/>
          <w:numId w:val="1"/>
        </w:numPr>
        <w:spacing w:line="360" w:lineRule="auto"/>
        <w:ind w:left="0" w:firstLine="420" w:firstLineChars="200"/>
        <w:contextualSpacing w:val="0"/>
        <w:jc w:val="lef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中标人应提供与本项目匹配的充电服务，</w:t>
      </w:r>
      <w:r>
        <w:rPr>
          <w:rFonts w:hint="eastAsia" w:ascii="Times New Roman" w:hAnsi="Times New Roman" w:cs="Times New Roman"/>
          <w:b/>
          <w:bCs/>
          <w:color w:val="auto"/>
          <w:szCs w:val="21"/>
          <w:highlight w:val="none"/>
          <w:lang w:val="en-US" w:eastAsia="zh-CN"/>
        </w:rPr>
        <w:t>若中标人选择社会充电站进行充电，应在</w:t>
      </w:r>
      <w:r>
        <w:rPr>
          <w:rFonts w:hint="eastAsia" w:ascii="Times New Roman" w:hAnsi="Times New Roman" w:cs="Times New Roman"/>
          <w:color w:val="auto"/>
          <w:szCs w:val="21"/>
          <w:highlight w:val="none"/>
          <w:lang w:val="en-US" w:eastAsia="zh-CN"/>
        </w:rPr>
        <w:t>在合同签订之日起</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10</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个自然日内</w:t>
      </w:r>
      <w:r>
        <w:rPr>
          <w:rFonts w:hint="eastAsia" w:ascii="Times New Roman" w:hAnsi="Times New Roman" w:cs="Times New Roman"/>
          <w:b/>
          <w:bCs/>
          <w:color w:val="auto"/>
          <w:szCs w:val="21"/>
          <w:highlight w:val="none"/>
          <w:lang w:val="en-US" w:eastAsia="zh-CN"/>
        </w:rPr>
        <w:t>提供充电站相关资料（显示充电站位置、货车充电枪数量及功率等信息）和相关采购服务协议</w:t>
      </w:r>
      <w:r>
        <w:rPr>
          <w:rFonts w:hint="eastAsia" w:ascii="Times New Roman" w:hAnsi="Times New Roman" w:cs="Times New Roman"/>
          <w:b/>
          <w:bCs/>
          <w:color w:val="auto"/>
          <w:szCs w:val="21"/>
          <w:highlight w:val="none"/>
          <w:lang w:eastAsia="zh-CN"/>
        </w:rPr>
        <w:t>（</w:t>
      </w:r>
      <w:r>
        <w:rPr>
          <w:rFonts w:hint="eastAsia" w:ascii="Times New Roman" w:hAnsi="Times New Roman" w:cs="Times New Roman"/>
          <w:b/>
          <w:bCs/>
          <w:color w:val="auto"/>
          <w:szCs w:val="21"/>
          <w:highlight w:val="none"/>
          <w:lang w:val="en-US" w:eastAsia="zh-CN"/>
        </w:rPr>
        <w:t>该协议</w:t>
      </w:r>
      <w:r>
        <w:rPr>
          <w:rFonts w:hint="eastAsia" w:ascii="Times New Roman" w:hAnsi="Times New Roman" w:cs="Times New Roman"/>
          <w:color w:val="auto"/>
          <w:szCs w:val="21"/>
          <w:highlight w:val="none"/>
          <w:lang w:val="en-US" w:eastAsia="zh-CN"/>
        </w:rPr>
        <w:t>有效期需在本次采购合同的有效期之后</w:t>
      </w:r>
      <w:r>
        <w:rPr>
          <w:rFonts w:hint="eastAsia" w:ascii="Times New Roman" w:hAnsi="Times New Roman" w:cs="Times New Roman"/>
          <w:b/>
          <w:bCs/>
          <w:color w:val="auto"/>
          <w:szCs w:val="21"/>
          <w:highlight w:val="none"/>
          <w:lang w:eastAsia="zh-CN"/>
        </w:rPr>
        <w:t>）</w:t>
      </w:r>
      <w:r>
        <w:rPr>
          <w:rFonts w:hint="eastAsia" w:ascii="Times New Roman" w:hAnsi="Times New Roman" w:cs="Times New Roman"/>
          <w:b/>
          <w:bCs/>
          <w:color w:val="auto"/>
          <w:szCs w:val="21"/>
          <w:highlight w:val="none"/>
          <w:lang w:val="en-US" w:eastAsia="zh-CN"/>
        </w:rPr>
        <w:t>，从而保障本项目运输车辆运行稳定性；若中标人选择自建充电站，应在中标后</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10</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个自然日内</w:t>
      </w:r>
      <w:r>
        <w:rPr>
          <w:rFonts w:hint="eastAsia" w:ascii="Times New Roman" w:hAnsi="Times New Roman" w:cs="Times New Roman"/>
          <w:b/>
          <w:bCs/>
          <w:color w:val="auto"/>
          <w:szCs w:val="21"/>
          <w:highlight w:val="none"/>
          <w:lang w:val="en-US" w:eastAsia="zh-CN"/>
        </w:rPr>
        <w:t>提供充电设施建设方案及承诺书，说明充电设施建设规模及建设计划，并在</w:t>
      </w:r>
      <w:r>
        <w:rPr>
          <w:rFonts w:hint="eastAsia" w:ascii="Times New Roman" w:hAnsi="Times New Roman" w:cs="Times New Roman"/>
          <w:color w:val="auto"/>
          <w:szCs w:val="21"/>
          <w:highlight w:val="none"/>
          <w:lang w:val="en-US" w:eastAsia="zh-CN"/>
        </w:rPr>
        <w:t>合同签订之日起</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40</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个自然日内</w:t>
      </w:r>
      <w:r>
        <w:rPr>
          <w:rFonts w:hint="eastAsia" w:ascii="Times New Roman" w:hAnsi="Times New Roman" w:cs="Times New Roman"/>
          <w:color w:val="auto"/>
          <w:szCs w:val="21"/>
          <w:highlight w:val="none"/>
          <w:lang w:val="en-US" w:eastAsia="zh-CN"/>
        </w:rPr>
        <w:t>建成并投用，</w:t>
      </w:r>
      <w:r>
        <w:rPr>
          <w:rFonts w:hint="default" w:ascii="Times New Roman" w:hAnsi="Times New Roman" w:cs="Times New Roman"/>
          <w:b/>
          <w:bCs/>
          <w:color w:val="auto"/>
          <w:szCs w:val="21"/>
          <w:highlight w:val="none"/>
        </w:rPr>
        <w:t>相关报建手续及费用由</w:t>
      </w:r>
      <w:r>
        <w:rPr>
          <w:rFonts w:hint="eastAsia" w:ascii="Times New Roman" w:hAnsi="Times New Roman" w:cs="Times New Roman"/>
          <w:b/>
          <w:bCs/>
          <w:color w:val="auto"/>
          <w:szCs w:val="21"/>
          <w:highlight w:val="none"/>
          <w:lang w:eastAsia="zh-CN"/>
        </w:rPr>
        <w:t>中标人</w:t>
      </w:r>
      <w:r>
        <w:rPr>
          <w:rFonts w:hint="default" w:ascii="Times New Roman" w:hAnsi="Times New Roman" w:cs="Times New Roman"/>
          <w:b/>
          <w:bCs/>
          <w:color w:val="auto"/>
          <w:szCs w:val="21"/>
          <w:highlight w:val="none"/>
        </w:rPr>
        <w:t>承担</w:t>
      </w:r>
      <w:r>
        <w:rPr>
          <w:rFonts w:hint="default" w:ascii="Times New Roman" w:hAnsi="Times New Roman" w:cs="Times New Roman"/>
          <w:color w:val="auto"/>
          <w:szCs w:val="21"/>
          <w:highlight w:val="none"/>
        </w:rPr>
        <w:t>。</w:t>
      </w:r>
    </w:p>
    <w:p w14:paraId="28CA31C9">
      <w:pPr>
        <w:pStyle w:val="33"/>
        <w:numPr>
          <w:ilvl w:val="1"/>
          <w:numId w:val="1"/>
        </w:numPr>
        <w:spacing w:line="360" w:lineRule="auto"/>
        <w:ind w:left="0" w:firstLine="420" w:firstLineChars="200"/>
        <w:contextualSpacing w:val="0"/>
        <w:jc w:val="lef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在</w:t>
      </w:r>
      <w:r>
        <w:rPr>
          <w:rFonts w:hint="eastAsia" w:ascii="Times New Roman" w:hAnsi="Times New Roman" w:cs="Times New Roman"/>
          <w:color w:val="auto"/>
          <w:szCs w:val="21"/>
          <w:highlight w:val="none"/>
          <w:lang w:val="en-US" w:eastAsia="zh-CN"/>
        </w:rPr>
        <w:t>运输</w:t>
      </w:r>
      <w:r>
        <w:rPr>
          <w:rFonts w:hint="default" w:ascii="Times New Roman" w:hAnsi="Times New Roman" w:cs="Times New Roman"/>
          <w:color w:val="auto"/>
          <w:szCs w:val="21"/>
          <w:highlight w:val="none"/>
        </w:rPr>
        <w:t>过程中</w:t>
      </w:r>
      <w:r>
        <w:rPr>
          <w:rFonts w:hint="eastAsia" w:ascii="Times New Roman" w:hAnsi="Times New Roman" w:cs="Times New Roman"/>
          <w:color w:val="auto"/>
          <w:szCs w:val="21"/>
          <w:highlight w:val="none"/>
          <w:lang w:val="en-US" w:eastAsia="zh-CN"/>
        </w:rPr>
        <w:t>因违章、违规、违法、公共物品损坏等行为而产生的责任、记分、罚款等均由中标人承担</w:t>
      </w:r>
      <w:r>
        <w:rPr>
          <w:rFonts w:hint="default" w:ascii="Times New Roman" w:hAnsi="Times New Roman" w:cs="Times New Roman"/>
          <w:color w:val="auto"/>
          <w:szCs w:val="21"/>
          <w:highlight w:val="none"/>
        </w:rPr>
        <w:t>。</w:t>
      </w:r>
    </w:p>
    <w:p w14:paraId="36E7FA19">
      <w:pPr>
        <w:pStyle w:val="33"/>
        <w:numPr>
          <w:ilvl w:val="1"/>
          <w:numId w:val="1"/>
        </w:numPr>
        <w:spacing w:line="360" w:lineRule="auto"/>
        <w:ind w:left="0" w:firstLine="420" w:firstLineChars="200"/>
        <w:contextualSpacing w:val="0"/>
        <w:jc w:val="lef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中标人应按照投标承诺的人车比例实行矩阵配置、人车绑定管理，驾驶员信息须完整向招标人报备并动态更新，未经招标人同意，不得擅自更换驾驶员</w:t>
      </w:r>
      <w:r>
        <w:rPr>
          <w:rFonts w:hint="default" w:ascii="Times New Roman" w:hAnsi="Times New Roman" w:cs="Times New Roman"/>
          <w:color w:val="auto"/>
          <w:szCs w:val="21"/>
          <w:highlight w:val="none"/>
        </w:rPr>
        <w:t>。</w:t>
      </w:r>
    </w:p>
    <w:p w14:paraId="67800587">
      <w:pPr>
        <w:pStyle w:val="33"/>
        <w:numPr>
          <w:ilvl w:val="1"/>
          <w:numId w:val="1"/>
        </w:numPr>
        <w:spacing w:line="360" w:lineRule="auto"/>
        <w:ind w:left="0" w:firstLine="420" w:firstLineChars="200"/>
        <w:contextualSpacing w:val="0"/>
        <w:jc w:val="lef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须</w:t>
      </w:r>
      <w:r>
        <w:rPr>
          <w:rFonts w:hint="eastAsia" w:ascii="Times New Roman" w:hAnsi="Times New Roman" w:cs="Times New Roman"/>
          <w:color w:val="auto"/>
          <w:szCs w:val="21"/>
          <w:highlight w:val="none"/>
          <w:lang w:val="en-US" w:eastAsia="zh-CN"/>
        </w:rPr>
        <w:t>为运输车队</w:t>
      </w:r>
      <w:r>
        <w:rPr>
          <w:rFonts w:hint="default" w:ascii="Times New Roman" w:hAnsi="Times New Roman" w:cs="Times New Roman"/>
          <w:color w:val="auto"/>
          <w:szCs w:val="21"/>
          <w:highlight w:val="none"/>
        </w:rPr>
        <w:t>配备相应的劳动防护用品，并对所有人员进行</w:t>
      </w:r>
      <w:r>
        <w:rPr>
          <w:rFonts w:hint="eastAsia" w:ascii="Times New Roman" w:hAnsi="Times New Roman" w:cs="Times New Roman"/>
          <w:color w:val="auto"/>
          <w:szCs w:val="21"/>
          <w:highlight w:val="none"/>
          <w:lang w:val="en-US" w:eastAsia="zh-CN"/>
        </w:rPr>
        <w:t>岗前培训以及定期的</w:t>
      </w:r>
      <w:r>
        <w:rPr>
          <w:rFonts w:hint="default" w:ascii="Times New Roman" w:hAnsi="Times New Roman" w:cs="Times New Roman"/>
          <w:color w:val="auto"/>
          <w:szCs w:val="21"/>
          <w:highlight w:val="none"/>
        </w:rPr>
        <w:t>安全培训</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交通相关法律法规教育</w:t>
      </w:r>
      <w:r>
        <w:rPr>
          <w:rFonts w:hint="default" w:ascii="Times New Roman" w:hAnsi="Times New Roman" w:cs="Times New Roman"/>
          <w:color w:val="auto"/>
          <w:szCs w:val="21"/>
          <w:highlight w:val="none"/>
        </w:rPr>
        <w:t>。</w:t>
      </w:r>
    </w:p>
    <w:p w14:paraId="259214ED">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cs="Times New Roman"/>
          <w:color w:val="auto"/>
          <w:szCs w:val="21"/>
          <w:highlight w:val="none"/>
          <w:lang w:val="en-US" w:eastAsia="zh-CN"/>
        </w:rPr>
        <w:t>在装、运输、卸污泥过程中，</w:t>
      </w:r>
      <w:r>
        <w:rPr>
          <w:rFonts w:hint="eastAsia" w:ascii="Times New Roman" w:hAnsi="Times New Roman" w:cs="Times New Roman"/>
          <w:color w:val="auto"/>
          <w:szCs w:val="21"/>
          <w:highlight w:val="none"/>
          <w:lang w:eastAsia="zh-CN"/>
        </w:rPr>
        <w:t>中标人</w:t>
      </w:r>
      <w:r>
        <w:rPr>
          <w:rFonts w:hint="default" w:ascii="Times New Roman" w:hAnsi="Times New Roman" w:cs="Times New Roman"/>
          <w:color w:val="auto"/>
          <w:szCs w:val="21"/>
          <w:highlight w:val="none"/>
        </w:rPr>
        <w:t>须</w:t>
      </w:r>
      <w:r>
        <w:rPr>
          <w:rFonts w:hint="eastAsia" w:ascii="Times New Roman" w:hAnsi="Times New Roman" w:cs="Times New Roman"/>
          <w:color w:val="auto"/>
          <w:szCs w:val="21"/>
          <w:highlight w:val="none"/>
          <w:lang w:val="en-US" w:eastAsia="zh-CN"/>
        </w:rPr>
        <w:t>按以下要求做好过程资料，并每天10：00前在招标人指定的平台</w:t>
      </w:r>
      <w:r>
        <w:rPr>
          <w:rFonts w:hint="eastAsia"/>
          <w:color w:val="auto"/>
          <w:highlight w:val="none"/>
          <w:lang w:val="en-US" w:eastAsia="zh-CN"/>
        </w:rPr>
        <w:t>按照招标人的要求填报并</w:t>
      </w:r>
      <w:r>
        <w:rPr>
          <w:rFonts w:hint="eastAsia" w:ascii="Times New Roman" w:hAnsi="Times New Roman" w:cs="Times New Roman"/>
          <w:color w:val="auto"/>
          <w:szCs w:val="21"/>
          <w:highlight w:val="none"/>
          <w:lang w:val="en-US" w:eastAsia="zh-CN"/>
        </w:rPr>
        <w:t>上传相关资料，资料要求包括但不限于：污泥</w:t>
      </w:r>
      <w:r>
        <w:rPr>
          <w:rFonts w:hint="default" w:ascii="Times New Roman" w:hAnsi="Times New Roman" w:cs="Times New Roman"/>
          <w:color w:val="auto"/>
          <w:szCs w:val="21"/>
          <w:highlight w:val="none"/>
        </w:rPr>
        <w:t>装车过程照片</w:t>
      </w:r>
      <w:r>
        <w:rPr>
          <w:rFonts w:hint="eastAsia" w:ascii="Times New Roman" w:hAnsi="Times New Roman" w:cs="Times New Roman"/>
          <w:color w:val="auto"/>
          <w:szCs w:val="21"/>
          <w:highlight w:val="none"/>
          <w:lang w:val="en-US" w:eastAsia="zh-CN"/>
        </w:rPr>
        <w:t>及视频水平、过磅单签字、污泥卸车照片或</w:t>
      </w:r>
      <w:r>
        <w:rPr>
          <w:rFonts w:hint="default" w:ascii="Times New Roman" w:hAnsi="Times New Roman" w:eastAsia="宋体" w:cs="Times New Roman"/>
          <w:color w:val="auto"/>
          <w:szCs w:val="21"/>
          <w:highlight w:val="none"/>
        </w:rPr>
        <w:t>。</w:t>
      </w:r>
    </w:p>
    <w:p w14:paraId="576B4AEE">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default" w:ascii="Times New Roman" w:hAnsi="Times New Roman" w:cs="Times New Roman" w:eastAsiaTheme="minorEastAsia"/>
          <w:b w:val="0"/>
          <w:bCs w:val="0"/>
          <w:color w:val="auto"/>
          <w:szCs w:val="21"/>
          <w:highlight w:val="none"/>
          <w:lang w:eastAsia="zh-CN"/>
        </w:rPr>
        <w:t>每</w:t>
      </w:r>
      <w:r>
        <w:rPr>
          <w:rFonts w:hint="default" w:ascii="Times New Roman" w:hAnsi="Times New Roman" w:cs="Times New Roman" w:eastAsiaTheme="minorEastAsia"/>
          <w:color w:val="auto"/>
          <w:szCs w:val="21"/>
          <w:highlight w:val="none"/>
          <w:u w:val="none"/>
          <w:lang w:eastAsia="zh-CN"/>
        </w:rPr>
        <w:t>日</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中</w:t>
      </w:r>
      <w:r>
        <w:rPr>
          <w:rFonts w:hint="eastAsia" w:ascii="Times New Roman" w:hAnsi="Times New Roman" w:eastAsia="宋体" w:cs="Times New Roman"/>
          <w:color w:val="auto"/>
          <w:szCs w:val="21"/>
          <w:highlight w:val="none"/>
          <w:lang w:eastAsia="zh-CN"/>
        </w:rPr>
        <w:t>标人</w:t>
      </w:r>
      <w:r>
        <w:rPr>
          <w:rFonts w:hint="default" w:ascii="Times New Roman" w:hAnsi="Times New Roman" w:eastAsia="宋体" w:cs="Times New Roman"/>
          <w:color w:val="auto"/>
          <w:szCs w:val="21"/>
          <w:highlight w:val="none"/>
        </w:rPr>
        <w:t>应与</w:t>
      </w:r>
      <w:r>
        <w:rPr>
          <w:rFonts w:hint="eastAsia" w:ascii="Times New Roman" w:hAnsi="Times New Roman" w:eastAsia="宋体" w:cs="Times New Roman"/>
          <w:color w:val="auto"/>
          <w:szCs w:val="21"/>
          <w:highlight w:val="none"/>
          <w:lang w:eastAsia="zh-CN"/>
        </w:rPr>
        <w:t>招标人</w:t>
      </w:r>
      <w:r>
        <w:rPr>
          <w:rFonts w:hint="eastAsia" w:ascii="Times New Roman" w:hAnsi="Times New Roman" w:eastAsia="宋体" w:cs="Times New Roman"/>
          <w:color w:val="auto"/>
          <w:szCs w:val="21"/>
          <w:highlight w:val="none"/>
          <w:lang w:val="en-US" w:eastAsia="zh-CN"/>
        </w:rPr>
        <w:t>或招标人指定第三方</w:t>
      </w:r>
      <w:r>
        <w:rPr>
          <w:rFonts w:hint="default" w:ascii="Times New Roman" w:hAnsi="Times New Roman" w:eastAsia="宋体" w:cs="Times New Roman"/>
          <w:color w:val="auto"/>
          <w:szCs w:val="21"/>
          <w:highlight w:val="none"/>
        </w:rPr>
        <w:t>对</w:t>
      </w:r>
      <w:r>
        <w:rPr>
          <w:rFonts w:hint="eastAsia" w:ascii="Times New Roman" w:hAnsi="Times New Roman" w:eastAsia="宋体" w:cs="Times New Roman"/>
          <w:color w:val="auto"/>
          <w:szCs w:val="21"/>
          <w:highlight w:val="none"/>
          <w:lang w:val="en-US" w:eastAsia="zh-CN"/>
        </w:rPr>
        <w:t>前一日的平台上报数据和</w:t>
      </w:r>
      <w:r>
        <w:rPr>
          <w:rFonts w:hint="default" w:ascii="Times New Roman" w:hAnsi="Times New Roman" w:eastAsia="宋体" w:cs="Times New Roman"/>
          <w:color w:val="auto"/>
          <w:szCs w:val="21"/>
          <w:highlight w:val="none"/>
        </w:rPr>
        <w:t>磅单、污泥转移联单、污泥</w:t>
      </w:r>
      <w:r>
        <w:rPr>
          <w:rFonts w:hint="eastAsia" w:ascii="Times New Roman" w:hAnsi="Times New Roman" w:eastAsia="宋体" w:cs="Times New Roman"/>
          <w:color w:val="auto"/>
          <w:szCs w:val="21"/>
          <w:highlight w:val="none"/>
          <w:lang w:val="en-US" w:eastAsia="zh-CN"/>
        </w:rPr>
        <w:t>运输</w:t>
      </w:r>
      <w:r>
        <w:rPr>
          <w:rFonts w:hint="default" w:ascii="Times New Roman" w:hAnsi="Times New Roman" w:eastAsia="宋体" w:cs="Times New Roman"/>
          <w:color w:val="auto"/>
          <w:szCs w:val="21"/>
          <w:highlight w:val="none"/>
        </w:rPr>
        <w:t>签证表</w:t>
      </w:r>
      <w:r>
        <w:rPr>
          <w:rFonts w:hint="eastAsia" w:ascii="Times New Roman" w:hAnsi="Times New Roman" w:eastAsia="宋体" w:cs="Times New Roman"/>
          <w:color w:val="auto"/>
          <w:szCs w:val="21"/>
          <w:highlight w:val="none"/>
          <w:lang w:val="en-US" w:eastAsia="zh-CN"/>
        </w:rPr>
        <w:t>上的</w:t>
      </w:r>
      <w:r>
        <w:rPr>
          <w:rFonts w:hint="default" w:ascii="Times New Roman" w:hAnsi="Times New Roman" w:eastAsia="宋体" w:cs="Times New Roman"/>
          <w:color w:val="auto"/>
          <w:szCs w:val="21"/>
          <w:highlight w:val="none"/>
        </w:rPr>
        <w:t>数据进行初次核对</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确认</w:t>
      </w:r>
      <w:r>
        <w:rPr>
          <w:rFonts w:hint="eastAsia" w:ascii="Times New Roman" w:hAnsi="Times New Roman" w:eastAsia="宋体" w:cs="Times New Roman"/>
          <w:color w:val="auto"/>
          <w:szCs w:val="21"/>
          <w:highlight w:val="none"/>
          <w:lang w:val="en-US" w:eastAsia="zh-CN"/>
        </w:rPr>
        <w:t>前一日的</w:t>
      </w:r>
      <w:r>
        <w:rPr>
          <w:rFonts w:hint="default" w:ascii="Times New Roman" w:hAnsi="Times New Roman" w:eastAsia="宋体" w:cs="Times New Roman"/>
          <w:color w:val="auto"/>
          <w:szCs w:val="21"/>
          <w:highlight w:val="none"/>
        </w:rPr>
        <w:t>污泥运输数量。</w:t>
      </w:r>
    </w:p>
    <w:p w14:paraId="41FA3EEB">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中标人在运输污泥过程中，应</w:t>
      </w:r>
      <w:r>
        <w:rPr>
          <w:rFonts w:hint="eastAsia" w:ascii="宋体" w:hAnsi="宋体" w:eastAsia="宋体" w:cs="宋体"/>
          <w:color w:val="auto"/>
          <w:szCs w:val="21"/>
          <w:highlight w:val="none"/>
        </w:rPr>
        <w:t>配合招标人按照规范填写</w:t>
      </w:r>
      <w:r>
        <w:rPr>
          <w:rFonts w:hint="eastAsia" w:ascii="宋体" w:hAnsi="宋体" w:eastAsia="宋体" w:cs="宋体"/>
          <w:color w:val="auto"/>
          <w:szCs w:val="21"/>
          <w:highlight w:val="none"/>
          <w:lang w:val="en-US" w:eastAsia="zh-CN"/>
        </w:rPr>
        <w:t>有关转移联单</w:t>
      </w:r>
      <w:r>
        <w:rPr>
          <w:rFonts w:hint="eastAsia" w:ascii="宋体" w:hAnsi="宋体" w:eastAsia="宋体" w:cs="宋体"/>
          <w:color w:val="auto"/>
          <w:szCs w:val="21"/>
          <w:highlight w:val="none"/>
        </w:rPr>
        <w:t>，中标人和招标人交接时共同核对填写并盖章，并配合办理东莞市主管部门相关备案手续。</w:t>
      </w:r>
    </w:p>
    <w:p w14:paraId="3F9529AA">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按7天/次的频次，根据初次核对确认的污泥转移运输数量和资料填报要求，向</w:t>
      </w:r>
      <w:r>
        <w:rPr>
          <w:rFonts w:hint="eastAsia"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提交经</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盖章确认的转移联单、污泥</w:t>
      </w:r>
      <w:r>
        <w:rPr>
          <w:rFonts w:hint="eastAsia" w:ascii="Times New Roman" w:hAnsi="Times New Roman" w:eastAsia="宋体" w:cs="Times New Roman"/>
          <w:color w:val="auto"/>
          <w:szCs w:val="21"/>
          <w:highlight w:val="none"/>
          <w:lang w:val="en-US" w:eastAsia="zh-CN"/>
        </w:rPr>
        <w:t>运输</w:t>
      </w:r>
      <w:r>
        <w:rPr>
          <w:rFonts w:hint="default" w:ascii="Times New Roman" w:hAnsi="Times New Roman" w:eastAsia="宋体" w:cs="Times New Roman"/>
          <w:color w:val="auto"/>
          <w:szCs w:val="21"/>
          <w:highlight w:val="none"/>
        </w:rPr>
        <w:t>签证表(含电子文档)等资料。</w:t>
      </w:r>
      <w:r>
        <w:rPr>
          <w:rFonts w:hint="eastAsia"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对接收的资料复核后，发现资料有误的，</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必须在3日内按要求重新提交。</w:t>
      </w:r>
      <w:r>
        <w:rPr>
          <w:rFonts w:hint="eastAsia"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将复核后的资料送污泥产生单位盖章确认，经</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、污泥产生单位、</w:t>
      </w:r>
      <w:r>
        <w:rPr>
          <w:rFonts w:hint="eastAsia"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共同签字/盖章确认后，确定该批次污泥转移运输数量，并由</w:t>
      </w:r>
      <w:r>
        <w:rPr>
          <w:rFonts w:hint="eastAsia"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交东莞市生态环境部门留存备查。</w:t>
      </w:r>
    </w:p>
    <w:p w14:paraId="381C221C">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cs="Times New Roman"/>
          <w:color w:val="auto"/>
          <w:szCs w:val="21"/>
          <w:highlight w:val="none"/>
          <w:lang w:val="en-US" w:eastAsia="zh-CN"/>
        </w:rPr>
        <w:t>中标人应严格按照保养手册到招标人指定地点对车辆进行保养。</w:t>
      </w:r>
    </w:p>
    <w:p w14:paraId="55204E7B">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应当配合</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或</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指定接卸地点现场人员调度，遵守装车、卸车现场安全作业行为规范。在接收</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时必须严格遵守</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或</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指定接卸地点的现场安全、环境、质量管理要求以及相关管理规定，根据</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安全管理要求做好相关防护措施，维护好</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或</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指定接卸地点场地卫生环境现象，每车离场前必须清扫干净装车、卸车区域地面，保持该区域卫生情况良好。</w:t>
      </w:r>
    </w:p>
    <w:p w14:paraId="6120AA28">
      <w:pPr>
        <w:pStyle w:val="33"/>
        <w:numPr>
          <w:ilvl w:val="1"/>
          <w:numId w:val="1"/>
        </w:numPr>
        <w:spacing w:line="360" w:lineRule="auto"/>
        <w:ind w:left="0" w:firstLine="440" w:firstLineChars="200"/>
        <w:contextualSpacing w:val="0"/>
        <w:jc w:val="left"/>
        <w:rPr>
          <w:rFonts w:hint="default" w:ascii="Times New Roman" w:hAnsi="Times New Roman" w:eastAsia="宋体" w:cs="Times New Roman"/>
          <w:color w:val="auto"/>
          <w:szCs w:val="21"/>
          <w:highlight w:val="none"/>
        </w:rPr>
      </w:pPr>
      <w:r>
        <w:rPr>
          <w:rFonts w:hint="eastAsia" w:ascii="宋体" w:hAnsi="宋体" w:eastAsia="宋体" w:cs="宋体"/>
          <w:snapToGrid w:val="0"/>
          <w:color w:val="auto"/>
          <w:spacing w:val="5"/>
          <w:kern w:val="0"/>
          <w:sz w:val="21"/>
          <w:szCs w:val="21"/>
          <w:highlight w:val="none"/>
          <w:lang w:val="en-US" w:eastAsia="zh-CN"/>
        </w:rPr>
        <w:t>中标人</w:t>
      </w:r>
      <w:r>
        <w:rPr>
          <w:rFonts w:hint="default" w:ascii="宋体" w:hAnsi="宋体" w:eastAsia="宋体" w:cs="宋体"/>
          <w:snapToGrid w:val="0"/>
          <w:color w:val="auto"/>
          <w:spacing w:val="5"/>
          <w:kern w:val="0"/>
          <w:sz w:val="21"/>
          <w:szCs w:val="21"/>
          <w:highlight w:val="none"/>
          <w:lang w:val="en-US" w:eastAsia="zh-CN"/>
        </w:rPr>
        <w:t>应建立并执行车辆外观定期清洁制度，确保所有运营车辆（包括车头、车身、货箱等）至少每两周进行一次全面、彻底的清洗，以保持车体洁净。</w:t>
      </w:r>
    </w:p>
    <w:p w14:paraId="6B641E55">
      <w:pPr>
        <w:pStyle w:val="33"/>
        <w:numPr>
          <w:ilvl w:val="1"/>
          <w:numId w:val="1"/>
        </w:numPr>
        <w:spacing w:line="360" w:lineRule="auto"/>
        <w:ind w:left="0" w:firstLine="440" w:firstLineChars="200"/>
        <w:contextualSpacing w:val="0"/>
        <w:jc w:val="left"/>
        <w:rPr>
          <w:rFonts w:hint="default" w:ascii="Times New Roman" w:hAnsi="Times New Roman" w:eastAsia="宋体" w:cs="Times New Roman"/>
          <w:color w:val="auto"/>
          <w:szCs w:val="21"/>
          <w:highlight w:val="none"/>
        </w:rPr>
      </w:pPr>
      <w:r>
        <w:rPr>
          <w:rFonts w:hint="eastAsia" w:ascii="宋体" w:hAnsi="宋体" w:eastAsia="宋体" w:cs="宋体"/>
          <w:snapToGrid w:val="0"/>
          <w:color w:val="auto"/>
          <w:spacing w:val="5"/>
          <w:kern w:val="0"/>
          <w:sz w:val="21"/>
          <w:szCs w:val="21"/>
          <w:highlight w:val="none"/>
          <w:lang w:val="en-US" w:eastAsia="zh-CN"/>
        </w:rPr>
        <w:t>中标人</w:t>
      </w:r>
      <w:r>
        <w:rPr>
          <w:rFonts w:hint="default" w:ascii="宋体" w:hAnsi="宋体" w:eastAsia="宋体" w:cs="宋体"/>
          <w:snapToGrid w:val="0"/>
          <w:color w:val="auto"/>
          <w:spacing w:val="5"/>
          <w:kern w:val="0"/>
          <w:sz w:val="21"/>
          <w:szCs w:val="21"/>
          <w:highlight w:val="none"/>
          <w:lang w:val="en-US" w:eastAsia="zh-CN"/>
        </w:rPr>
        <w:t>有义务维护车辆上由</w:t>
      </w:r>
      <w:r>
        <w:rPr>
          <w:rFonts w:hint="eastAsia" w:cs="宋体"/>
          <w:snapToGrid w:val="0"/>
          <w:color w:val="auto"/>
          <w:spacing w:val="5"/>
          <w:kern w:val="0"/>
          <w:sz w:val="21"/>
          <w:szCs w:val="21"/>
          <w:highlight w:val="none"/>
          <w:lang w:val="en-US" w:eastAsia="zh-CN"/>
        </w:rPr>
        <w:t>招标人</w:t>
      </w:r>
      <w:r>
        <w:rPr>
          <w:rFonts w:hint="default" w:ascii="宋体" w:hAnsi="宋体" w:eastAsia="宋体" w:cs="宋体"/>
          <w:snapToGrid w:val="0"/>
          <w:color w:val="auto"/>
          <w:spacing w:val="5"/>
          <w:kern w:val="0"/>
          <w:sz w:val="21"/>
          <w:szCs w:val="21"/>
          <w:highlight w:val="none"/>
          <w:lang w:val="en-US" w:eastAsia="zh-CN"/>
        </w:rPr>
        <w:t>指定的企业标识、Logo、广告图文等完整、清晰。如发现标识、Logo因自然磨损、污染等原因导致褪色、破损或无法清晰辨识，</w:t>
      </w:r>
      <w:r>
        <w:rPr>
          <w:rFonts w:hint="eastAsia" w:ascii="宋体" w:hAnsi="宋体" w:eastAsia="宋体" w:cs="宋体"/>
          <w:snapToGrid w:val="0"/>
          <w:color w:val="auto"/>
          <w:spacing w:val="5"/>
          <w:kern w:val="0"/>
          <w:sz w:val="21"/>
          <w:szCs w:val="21"/>
          <w:highlight w:val="none"/>
          <w:lang w:val="en-US" w:eastAsia="zh-CN"/>
        </w:rPr>
        <w:t>中标人</w:t>
      </w:r>
      <w:r>
        <w:rPr>
          <w:rFonts w:hint="default" w:ascii="宋体" w:hAnsi="宋体" w:eastAsia="宋体" w:cs="宋体"/>
          <w:snapToGrid w:val="0"/>
          <w:color w:val="auto"/>
          <w:spacing w:val="5"/>
          <w:kern w:val="0"/>
          <w:sz w:val="21"/>
          <w:szCs w:val="21"/>
          <w:highlight w:val="none"/>
          <w:lang w:val="en-US" w:eastAsia="zh-CN"/>
        </w:rPr>
        <w:t>应在发现或收到</w:t>
      </w:r>
      <w:r>
        <w:rPr>
          <w:rFonts w:hint="eastAsia" w:ascii="宋体" w:hAnsi="宋体" w:eastAsia="宋体" w:cs="宋体"/>
          <w:snapToGrid w:val="0"/>
          <w:color w:val="auto"/>
          <w:spacing w:val="5"/>
          <w:kern w:val="0"/>
          <w:sz w:val="21"/>
          <w:szCs w:val="21"/>
          <w:highlight w:val="none"/>
          <w:lang w:val="en-US" w:eastAsia="zh-CN"/>
        </w:rPr>
        <w:t>招标人</w:t>
      </w:r>
      <w:r>
        <w:rPr>
          <w:rFonts w:hint="default" w:ascii="宋体" w:hAnsi="宋体" w:eastAsia="宋体" w:cs="宋体"/>
          <w:snapToGrid w:val="0"/>
          <w:color w:val="auto"/>
          <w:spacing w:val="5"/>
          <w:kern w:val="0"/>
          <w:sz w:val="21"/>
          <w:szCs w:val="21"/>
          <w:highlight w:val="none"/>
          <w:lang w:val="en-US" w:eastAsia="zh-CN"/>
        </w:rPr>
        <w:t>通知后5个工作日内，自费按照</w:t>
      </w:r>
      <w:r>
        <w:rPr>
          <w:rFonts w:hint="eastAsia" w:ascii="宋体" w:hAnsi="宋体" w:eastAsia="宋体" w:cs="宋体"/>
          <w:snapToGrid w:val="0"/>
          <w:color w:val="auto"/>
          <w:spacing w:val="5"/>
          <w:kern w:val="0"/>
          <w:sz w:val="21"/>
          <w:szCs w:val="21"/>
          <w:highlight w:val="none"/>
          <w:lang w:val="en-US" w:eastAsia="zh-CN"/>
        </w:rPr>
        <w:t>招标人</w:t>
      </w:r>
      <w:r>
        <w:rPr>
          <w:rFonts w:hint="default" w:ascii="宋体" w:hAnsi="宋体" w:eastAsia="宋体" w:cs="宋体"/>
          <w:snapToGrid w:val="0"/>
          <w:color w:val="auto"/>
          <w:spacing w:val="5"/>
          <w:kern w:val="0"/>
          <w:sz w:val="21"/>
          <w:szCs w:val="21"/>
          <w:highlight w:val="none"/>
          <w:lang w:val="en-US" w:eastAsia="zh-CN"/>
        </w:rPr>
        <w:t>提供的标准进行修复或重新喷涂。</w:t>
      </w:r>
    </w:p>
    <w:p w14:paraId="536F9CE0">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对运输过程的环境、安全负全责。运输过程中，</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应进行全过程监控和管理，防止因裸露、散落、泄漏、随意丢弃或倾倒等造成二次污染，</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负责做好</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运输及装卸过程的安全、卫生及防止</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污染扩散工作。运输过程中导致环境污染的，由</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承担相应的行政责任及经济责任，并承担由此产生的一切行政和经济法律责任。</w:t>
      </w:r>
    </w:p>
    <w:p w14:paraId="72ADB2A5">
      <w:pPr>
        <w:pStyle w:val="33"/>
        <w:numPr>
          <w:ilvl w:val="1"/>
          <w:numId w:val="1"/>
        </w:numPr>
        <w:spacing w:line="360" w:lineRule="auto"/>
        <w:ind w:left="0" w:firstLine="420" w:firstLineChars="200"/>
        <w:contextualSpacing w:val="0"/>
        <w:jc w:val="left"/>
        <w:rPr>
          <w:rFonts w:hint="default" w:ascii="Times New Roman" w:hAnsi="Times New Roman" w:cs="Times New Roman"/>
          <w:color w:val="auto"/>
          <w:szCs w:val="21"/>
          <w:highlight w:val="none"/>
        </w:rPr>
      </w:pP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在</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或</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指定装卸地点厂区内按指定路线完成</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运输工作，</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车辆在</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或</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指定接卸地点厂区内的安全由</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自行负责，在行驶过程中如对</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或</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指定接卸地点的构筑物及设备或人员造成侵害的，或对第三方人身或财产造成损害的，负责修复或</w:t>
      </w:r>
      <w:r>
        <w:rPr>
          <w:rFonts w:hint="default" w:ascii="Times New Roman" w:hAnsi="Times New Roman" w:cs="Times New Roman"/>
          <w:color w:val="auto"/>
          <w:szCs w:val="21"/>
          <w:highlight w:val="none"/>
        </w:rPr>
        <w:t>照价赔偿，并在月度结算费用中罚款10000元</w:t>
      </w:r>
      <w:r>
        <w:rPr>
          <w:rFonts w:hint="eastAsia" w:ascii="Times New Roman" w:hAnsi="Times New Roman" w:cs="Times New Roman"/>
          <w:color w:val="auto"/>
          <w:szCs w:val="21"/>
          <w:highlight w:val="none"/>
          <w:lang w:val="en-US" w:eastAsia="zh-CN"/>
        </w:rPr>
        <w:t>/次</w:t>
      </w:r>
      <w:r>
        <w:rPr>
          <w:rFonts w:hint="default" w:ascii="Times New Roman" w:hAnsi="Times New Roman" w:cs="Times New Roman"/>
          <w:color w:val="auto"/>
          <w:szCs w:val="21"/>
          <w:highlight w:val="none"/>
        </w:rPr>
        <w:t>。</w:t>
      </w:r>
    </w:p>
    <w:p w14:paraId="309C3F0C">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在运输过程中发生燃烧、爆炸、污染、中毒或者被盗、丢失、流散、泄漏等事故，</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应当立即采取紧急处理措施，应当立即向公安部门、</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、环境保护行政主管部门报告，说明事故情况，并采取一切可能的警示措施和应急措施，积极配合有关部门进行处置。</w:t>
      </w:r>
    </w:p>
    <w:p w14:paraId="329E5BFF">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宋体" w:hAnsi="宋体" w:eastAsia="宋体" w:cs="宋体"/>
          <w:color w:val="auto"/>
          <w:szCs w:val="21"/>
          <w:highlight w:val="none"/>
        </w:rPr>
        <w:t>在运输过程中，中标人应保证GPS 定位系统能正常接收信号，运输全程纳入定位管理，若运输过程中出现信号无法正常连接或中断的，期间发生交通运输事故或运输过程中导致环境污染的，中标人须负主要责任，并承担由此产生的一切行政和经济法律责任。</w:t>
      </w:r>
    </w:p>
    <w:p w14:paraId="752B6E85">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有权监督、查阅</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运输车辆的行车记录或数据，若发现</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存在中间装卸操作、偷排偷倒等问题，</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有权终止合同并追究</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的违约责任，因此导致的法律及相关责任由</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承担。</w:t>
      </w:r>
    </w:p>
    <w:p w14:paraId="1E3BE93E">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实际承担道路运输工作的驾驶员须</w:t>
      </w:r>
      <w:r>
        <w:rPr>
          <w:rFonts w:hint="default" w:ascii="Times New Roman" w:hAnsi="Times New Roman" w:eastAsia="宋体" w:cs="Times New Roman"/>
          <w:color w:val="auto"/>
          <w:szCs w:val="21"/>
          <w:highlight w:val="none"/>
        </w:rPr>
        <w:t>具备</w:t>
      </w:r>
      <w:r>
        <w:rPr>
          <w:rFonts w:hint="eastAsia" w:ascii="宋体" w:hAnsi="宋体" w:eastAsia="宋体" w:cs="宋体"/>
          <w:color w:val="auto"/>
          <w:szCs w:val="21"/>
          <w:highlight w:val="none"/>
          <w:lang w:val="en-US" w:eastAsia="zh-CN"/>
        </w:rPr>
        <w:t>A2驾驶证和</w:t>
      </w:r>
      <w:r>
        <w:rPr>
          <w:rFonts w:hint="default" w:ascii="Times New Roman" w:hAnsi="Times New Roman" w:eastAsia="宋体" w:cs="Times New Roman"/>
          <w:color w:val="auto"/>
          <w:szCs w:val="21"/>
          <w:highlight w:val="none"/>
        </w:rPr>
        <w:t>《中华人民共和国道路运输从业人员从业资格证》或相关从业资格证并在核定的从业范围。在</w:t>
      </w:r>
      <w:r>
        <w:rPr>
          <w:rFonts w:hint="eastAsia" w:ascii="Times New Roman" w:hAnsi="Times New Roman" w:eastAsia="宋体" w:cs="Times New Roman"/>
          <w:color w:val="auto"/>
          <w:szCs w:val="21"/>
          <w:highlight w:val="none"/>
          <w:lang w:val="en-US" w:eastAsia="zh-CN"/>
        </w:rPr>
        <w:t>从事</w:t>
      </w:r>
      <w:r>
        <w:rPr>
          <w:rFonts w:hint="default" w:ascii="Times New Roman" w:hAnsi="Times New Roman" w:eastAsia="宋体" w:cs="Times New Roman"/>
          <w:color w:val="auto"/>
          <w:szCs w:val="21"/>
          <w:highlight w:val="none"/>
        </w:rPr>
        <w:t>道路运输活动时，应当携带相应的从业资格证件，并应当遵守国家相关法规和道路运输安全操作规程，不得违法经营、违章作业。</w:t>
      </w:r>
    </w:p>
    <w:p w14:paraId="7B6FABFD">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应按照</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通知的时间</w:t>
      </w:r>
      <w:r>
        <w:rPr>
          <w:rFonts w:hint="eastAsia" w:ascii="Times New Roman" w:hAnsi="Times New Roman" w:eastAsia="宋体" w:cs="Times New Roman"/>
          <w:color w:val="auto"/>
          <w:szCs w:val="21"/>
          <w:highlight w:val="none"/>
          <w:lang w:val="en-US" w:eastAsia="zh-CN"/>
        </w:rPr>
        <w:t>和运输</w:t>
      </w:r>
      <w:r>
        <w:rPr>
          <w:rFonts w:hint="default" w:ascii="Times New Roman" w:hAnsi="Times New Roman" w:eastAsia="宋体" w:cs="Times New Roman"/>
          <w:color w:val="auto"/>
          <w:szCs w:val="21"/>
          <w:highlight w:val="none"/>
        </w:rPr>
        <w:t>量安排车辆到指定的地点将</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及时运输至</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指定的处理处置地点</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如果</w:t>
      </w:r>
      <w:r>
        <w:rPr>
          <w:rFonts w:hint="eastAsia" w:ascii="Times New Roman" w:hAnsi="Times New Roman" w:eastAsia="宋体" w:cs="Times New Roman"/>
          <w:color w:val="auto"/>
          <w:szCs w:val="21"/>
          <w:highlight w:val="none"/>
          <w:lang w:val="en-US" w:eastAsia="zh-CN"/>
        </w:rPr>
        <w:t>车辆到达时间比要求时间晚于</w:t>
      </w:r>
      <w:r>
        <w:rPr>
          <w:rFonts w:hint="eastAsia" w:ascii="Times New Roman" w:hAnsi="Times New Roman" w:eastAsia="宋体" w:cs="Times New Roman"/>
          <w:b/>
          <w:bCs/>
          <w:color w:val="auto"/>
          <w:szCs w:val="21"/>
          <w:highlight w:val="none"/>
          <w:lang w:val="en-US" w:eastAsia="zh-CN"/>
        </w:rPr>
        <w:t>3小时或以上，</w:t>
      </w:r>
      <w:r>
        <w:rPr>
          <w:rFonts w:hint="eastAsia" w:ascii="Times New Roman" w:hAnsi="Times New Roman" w:eastAsia="宋体" w:cs="Times New Roman"/>
          <w:color w:val="auto"/>
          <w:szCs w:val="21"/>
          <w:highlight w:val="none"/>
          <w:lang w:val="en-US" w:eastAsia="zh-CN"/>
        </w:rPr>
        <w:t>招标人可追究中标人违约责任：每次向招标人支付违约金【1000】元/车，</w:t>
      </w:r>
      <w:r>
        <w:rPr>
          <w:rFonts w:hint="eastAsia" w:ascii="宋体" w:hAnsi="宋体" w:eastAsia="宋体" w:cs="宋体"/>
          <w:bCs w:val="0"/>
          <w:color w:val="auto"/>
          <w:sz w:val="21"/>
          <w:szCs w:val="21"/>
          <w:highlight w:val="none"/>
          <w:lang w:val="en-US" w:eastAsia="zh-CN"/>
        </w:rPr>
        <w:t>上述违约金每月总额累计最高不超过【10000】元</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b/>
          <w:bCs/>
          <w:color w:val="auto"/>
          <w:szCs w:val="21"/>
          <w:highlight w:val="none"/>
          <w:lang w:eastAsia="zh-CN"/>
        </w:rPr>
        <w:t>中标人</w:t>
      </w:r>
      <w:r>
        <w:rPr>
          <w:rFonts w:hint="eastAsia" w:ascii="Times New Roman" w:hAnsi="Times New Roman" w:eastAsia="宋体" w:cs="Times New Roman"/>
          <w:b/>
          <w:bCs/>
          <w:color w:val="auto"/>
          <w:szCs w:val="21"/>
          <w:highlight w:val="none"/>
          <w:lang w:val="en-US" w:eastAsia="zh-CN"/>
        </w:rPr>
        <w:t>每月</w:t>
      </w:r>
      <w:r>
        <w:rPr>
          <w:rFonts w:hint="default" w:ascii="Times New Roman" w:hAnsi="Times New Roman" w:eastAsia="宋体" w:cs="Times New Roman"/>
          <w:b/>
          <w:bCs/>
          <w:color w:val="auto"/>
          <w:szCs w:val="21"/>
          <w:highlight w:val="none"/>
        </w:rPr>
        <w:t>累计出现</w:t>
      </w:r>
      <w:r>
        <w:rPr>
          <w:rFonts w:hint="eastAsia" w:ascii="Times New Roman" w:hAnsi="Times New Roman" w:eastAsia="宋体" w:cs="Times New Roman"/>
          <w:b/>
          <w:bCs/>
          <w:color w:val="auto"/>
          <w:szCs w:val="21"/>
          <w:highlight w:val="none"/>
          <w:lang w:eastAsia="zh-CN"/>
        </w:rPr>
        <w:t>3</w:t>
      </w:r>
      <w:r>
        <w:rPr>
          <w:rFonts w:hint="default" w:ascii="Times New Roman" w:hAnsi="Times New Roman" w:eastAsia="宋体" w:cs="Times New Roman"/>
          <w:b/>
          <w:bCs/>
          <w:color w:val="auto"/>
          <w:szCs w:val="21"/>
          <w:highlight w:val="none"/>
        </w:rPr>
        <w:t>次或以上前述事件的，</w:t>
      </w:r>
      <w:r>
        <w:rPr>
          <w:rFonts w:hint="default" w:ascii="Times New Roman" w:hAnsi="Times New Roman" w:eastAsia="宋体" w:cs="Times New Roman"/>
          <w:b/>
          <w:bCs/>
          <w:color w:val="auto"/>
          <w:szCs w:val="21"/>
          <w:highlight w:val="none"/>
          <w:lang w:eastAsia="zh-CN"/>
        </w:rPr>
        <w:t>招标人</w:t>
      </w:r>
      <w:r>
        <w:rPr>
          <w:rFonts w:hint="default" w:ascii="Times New Roman" w:hAnsi="Times New Roman" w:eastAsia="宋体" w:cs="Times New Roman"/>
          <w:b/>
          <w:bCs/>
          <w:color w:val="auto"/>
          <w:szCs w:val="21"/>
          <w:highlight w:val="none"/>
        </w:rPr>
        <w:t>有权单方面解除合同，并有权</w:t>
      </w:r>
      <w:r>
        <w:rPr>
          <w:rFonts w:hint="eastAsia" w:ascii="Times New Roman" w:hAnsi="Times New Roman" w:eastAsia="宋体" w:cs="Times New Roman"/>
          <w:b/>
          <w:bCs/>
          <w:color w:val="auto"/>
          <w:szCs w:val="21"/>
          <w:highlight w:val="none"/>
          <w:lang w:val="en-US" w:eastAsia="zh-CN"/>
        </w:rPr>
        <w:t>委托</w:t>
      </w:r>
      <w:r>
        <w:rPr>
          <w:rFonts w:hint="default" w:ascii="Times New Roman" w:hAnsi="Times New Roman" w:eastAsia="宋体" w:cs="Times New Roman"/>
          <w:b/>
          <w:bCs/>
          <w:color w:val="auto"/>
          <w:szCs w:val="21"/>
          <w:highlight w:val="none"/>
        </w:rPr>
        <w:t>其他运输服务单位，因此对</w:t>
      </w:r>
      <w:r>
        <w:rPr>
          <w:rFonts w:hint="default" w:ascii="Times New Roman" w:hAnsi="Times New Roman" w:eastAsia="宋体" w:cs="Times New Roman"/>
          <w:b/>
          <w:bCs/>
          <w:color w:val="auto"/>
          <w:szCs w:val="21"/>
          <w:highlight w:val="none"/>
          <w:lang w:eastAsia="zh-CN"/>
        </w:rPr>
        <w:t>招标人</w:t>
      </w:r>
      <w:r>
        <w:rPr>
          <w:rFonts w:hint="default" w:ascii="Times New Roman" w:hAnsi="Times New Roman" w:eastAsia="宋体" w:cs="Times New Roman"/>
          <w:b/>
          <w:bCs/>
          <w:color w:val="auto"/>
          <w:szCs w:val="21"/>
          <w:highlight w:val="none"/>
        </w:rPr>
        <w:t>产生的经济损失，</w:t>
      </w:r>
      <w:r>
        <w:rPr>
          <w:rFonts w:hint="default" w:ascii="Times New Roman" w:hAnsi="Times New Roman" w:eastAsia="宋体" w:cs="Times New Roman"/>
          <w:b/>
          <w:bCs/>
          <w:color w:val="auto"/>
          <w:szCs w:val="21"/>
          <w:highlight w:val="none"/>
          <w:lang w:eastAsia="zh-CN"/>
        </w:rPr>
        <w:t>招标人</w:t>
      </w:r>
      <w:r>
        <w:rPr>
          <w:rFonts w:hint="default" w:ascii="Times New Roman" w:hAnsi="Times New Roman" w:eastAsia="宋体" w:cs="Times New Roman"/>
          <w:b/>
          <w:bCs/>
          <w:color w:val="auto"/>
          <w:szCs w:val="21"/>
          <w:highlight w:val="none"/>
        </w:rPr>
        <w:t>将根据合同约定追究</w:t>
      </w:r>
      <w:r>
        <w:rPr>
          <w:rFonts w:hint="eastAsia" w:ascii="Times New Roman" w:hAnsi="Times New Roman" w:eastAsia="宋体" w:cs="Times New Roman"/>
          <w:b/>
          <w:bCs/>
          <w:color w:val="auto"/>
          <w:szCs w:val="21"/>
          <w:highlight w:val="none"/>
          <w:lang w:eastAsia="zh-CN"/>
        </w:rPr>
        <w:t>中标人</w:t>
      </w:r>
      <w:r>
        <w:rPr>
          <w:rFonts w:hint="default" w:ascii="Times New Roman" w:hAnsi="Times New Roman" w:eastAsia="宋体" w:cs="Times New Roman"/>
          <w:b/>
          <w:bCs/>
          <w:color w:val="auto"/>
          <w:szCs w:val="21"/>
          <w:highlight w:val="none"/>
        </w:rPr>
        <w:t>的违约责任。</w:t>
      </w:r>
    </w:p>
    <w:p w14:paraId="7BE20F32">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中标人</w:t>
      </w:r>
      <w:r>
        <w:rPr>
          <w:rFonts w:hint="eastAsia" w:ascii="Times New Roman" w:hAnsi="Times New Roman" w:eastAsia="宋体" w:cs="Times New Roman"/>
          <w:color w:val="auto"/>
          <w:szCs w:val="21"/>
          <w:highlight w:val="none"/>
          <w:lang w:val="en-US" w:eastAsia="zh-CN"/>
        </w:rPr>
        <w:t>需</w:t>
      </w:r>
      <w:r>
        <w:rPr>
          <w:rFonts w:hint="default" w:ascii="Times New Roman" w:hAnsi="Times New Roman" w:eastAsia="宋体" w:cs="Times New Roman"/>
          <w:color w:val="auto"/>
          <w:szCs w:val="21"/>
          <w:highlight w:val="none"/>
        </w:rPr>
        <w:t>安排</w:t>
      </w:r>
      <w:r>
        <w:rPr>
          <w:rFonts w:hint="eastAsia" w:ascii="Times New Roman" w:hAnsi="Times New Roman" w:eastAsia="宋体" w:cs="Times New Roman"/>
          <w:color w:val="auto"/>
          <w:szCs w:val="21"/>
          <w:highlight w:val="none"/>
          <w:lang w:val="en-US" w:eastAsia="zh-CN"/>
        </w:rPr>
        <w:t>专人</w:t>
      </w:r>
      <w:r>
        <w:rPr>
          <w:rFonts w:hint="default" w:ascii="Times New Roman" w:hAnsi="Times New Roman" w:eastAsia="宋体" w:cs="Times New Roman"/>
          <w:color w:val="auto"/>
          <w:szCs w:val="21"/>
          <w:highlight w:val="none"/>
        </w:rPr>
        <w:t>负责管理</w:t>
      </w:r>
      <w:r>
        <w:rPr>
          <w:rFonts w:hint="eastAsia" w:ascii="Times New Roman" w:hAnsi="Times New Roman" w:eastAsia="宋体" w:cs="Times New Roman"/>
          <w:color w:val="auto"/>
          <w:szCs w:val="21"/>
          <w:highlight w:val="none"/>
          <w:lang w:val="en-US" w:eastAsia="zh-CN"/>
        </w:rPr>
        <w:t>及</w:t>
      </w:r>
      <w:r>
        <w:rPr>
          <w:rFonts w:hint="default" w:ascii="Times New Roman" w:hAnsi="Times New Roman" w:eastAsia="宋体" w:cs="Times New Roman"/>
          <w:color w:val="auto"/>
          <w:szCs w:val="21"/>
          <w:highlight w:val="none"/>
        </w:rPr>
        <w:t>调度运输车辆，在运输</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前向</w:t>
      </w:r>
      <w:r>
        <w:rPr>
          <w:rFonts w:hint="default" w:ascii="Times New Roman" w:hAnsi="Times New Roman" w:eastAsia="宋体" w:cs="Times New Roman"/>
          <w:color w:val="auto"/>
          <w:szCs w:val="21"/>
          <w:highlight w:val="none"/>
          <w:lang w:eastAsia="zh-CN"/>
        </w:rPr>
        <w:t>招标人</w:t>
      </w:r>
      <w:r>
        <w:rPr>
          <w:rFonts w:hint="eastAsia" w:ascii="Times New Roman" w:hAnsi="Times New Roman" w:eastAsia="宋体" w:cs="Times New Roman"/>
          <w:color w:val="auto"/>
          <w:szCs w:val="21"/>
          <w:highlight w:val="none"/>
          <w:lang w:val="en-US" w:eastAsia="zh-CN"/>
        </w:rPr>
        <w:t>提交承担道路运输工作的驾驶员</w:t>
      </w:r>
      <w:r>
        <w:rPr>
          <w:rFonts w:hint="default" w:ascii="Times New Roman" w:hAnsi="Times New Roman" w:eastAsia="宋体" w:cs="Times New Roman"/>
          <w:color w:val="auto"/>
          <w:szCs w:val="21"/>
          <w:highlight w:val="none"/>
        </w:rPr>
        <w:t>资料、运输路线。收集每车</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的电子地磅的称重单（含载泥前的称重单和载泥时的称重单），建立</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运输台账，详细、如实记录</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接收量、装车地点、卸车地点、运输距离等情况，并接受</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的监督、管理，并如实向</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反映</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收运情况。</w:t>
      </w:r>
    </w:p>
    <w:p w14:paraId="460BFBF0">
      <w:pPr>
        <w:pStyle w:val="33"/>
        <w:numPr>
          <w:ilvl w:val="1"/>
          <w:numId w:val="1"/>
        </w:numPr>
        <w:spacing w:line="360" w:lineRule="auto"/>
        <w:ind w:left="0" w:firstLine="420" w:firstLineChars="200"/>
        <w:contextualSpacing w:val="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不得将</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交付的</w:t>
      </w:r>
      <w:r>
        <w:rPr>
          <w:rFonts w:hint="eastAsia" w:ascii="Times New Roman" w:hAnsi="Times New Roman" w:eastAsia="宋体" w:cs="Times New Roman"/>
          <w:color w:val="auto"/>
          <w:szCs w:val="21"/>
          <w:highlight w:val="none"/>
          <w:lang w:eastAsia="zh-CN"/>
        </w:rPr>
        <w:t>污泥</w:t>
      </w:r>
      <w:r>
        <w:rPr>
          <w:rFonts w:hint="default" w:ascii="Times New Roman" w:hAnsi="Times New Roman" w:eastAsia="宋体" w:cs="Times New Roman"/>
          <w:color w:val="auto"/>
          <w:szCs w:val="21"/>
          <w:highlight w:val="none"/>
        </w:rPr>
        <w:t>交由第三方运输，禁止转包，否则，由此导致的一切责任和风险全部由</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承担，并根据合同的约定承担违约责任，赔偿由此给</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造成的损失。</w:t>
      </w:r>
    </w:p>
    <w:p w14:paraId="127C2744">
      <w:pPr>
        <w:pStyle w:val="33"/>
        <w:numPr>
          <w:ilvl w:val="1"/>
          <w:numId w:val="1"/>
        </w:numPr>
        <w:ind w:left="0" w:firstLine="420" w:firstLineChars="200"/>
        <w:jc w:val="left"/>
        <w:rPr>
          <w:rFonts w:hint="default" w:ascii="Times New Roman" w:hAnsi="Times New Roman" w:eastAsia="宋体" w:cs="Times New Roman"/>
          <w:b/>
          <w:color w:val="auto"/>
          <w:szCs w:val="21"/>
          <w:highlight w:val="none"/>
          <w:lang w:val="zh-CN"/>
        </w:rPr>
      </w:pP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承诺中标后，将严格遵守</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（或</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上级单位）提出或调整的日常管理制度或相关管理要求。</w:t>
      </w:r>
      <w:r>
        <w:rPr>
          <w:rFonts w:hint="eastAsia" w:ascii="Times New Roman" w:hAnsi="Times New Roman" w:eastAsia="宋体" w:cs="Times New Roman"/>
          <w:color w:val="auto"/>
          <w:szCs w:val="21"/>
          <w:highlight w:val="none"/>
          <w:lang w:eastAsia="zh-CN"/>
        </w:rPr>
        <w:t>中标人</w:t>
      </w:r>
      <w:r>
        <w:rPr>
          <w:rFonts w:hint="default" w:ascii="Times New Roman" w:hAnsi="Times New Roman" w:eastAsia="宋体" w:cs="Times New Roman"/>
          <w:color w:val="auto"/>
          <w:szCs w:val="21"/>
          <w:highlight w:val="none"/>
        </w:rPr>
        <w:t>服务期间，出现不服从</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（或</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上级单位）提出或调整的日常管理制度或相关管理要求，</w:t>
      </w:r>
      <w:r>
        <w:rPr>
          <w:rFonts w:hint="default" w:ascii="Times New Roman" w:hAnsi="Times New Roman" w:eastAsia="宋体" w:cs="Times New Roman"/>
          <w:color w:val="auto"/>
          <w:szCs w:val="21"/>
          <w:highlight w:val="none"/>
          <w:lang w:eastAsia="zh-CN"/>
        </w:rPr>
        <w:t>招标人</w:t>
      </w:r>
      <w:r>
        <w:rPr>
          <w:rFonts w:hint="default" w:ascii="Times New Roman" w:hAnsi="Times New Roman" w:eastAsia="宋体" w:cs="Times New Roman"/>
          <w:color w:val="auto"/>
          <w:szCs w:val="21"/>
          <w:highlight w:val="none"/>
        </w:rPr>
        <w:t>有权取消其服务资格。</w:t>
      </w:r>
    </w:p>
    <w:p w14:paraId="18CFE448">
      <w:pPr>
        <w:pStyle w:val="33"/>
        <w:numPr>
          <w:ilvl w:val="0"/>
          <w:numId w:val="1"/>
        </w:numPr>
        <w:spacing w:line="360" w:lineRule="auto"/>
        <w:ind w:left="0" w:leftChars="0" w:firstLine="422" w:firstLineChars="200"/>
        <w:rPr>
          <w:rFonts w:hint="default"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lang w:val="en-US" w:eastAsia="zh-CN"/>
        </w:rPr>
        <w:t>服务期届满移交</w:t>
      </w:r>
      <w:r>
        <w:rPr>
          <w:rFonts w:hint="default" w:ascii="Times New Roman" w:hAnsi="Times New Roman" w:cs="Times New Roman"/>
          <w:b/>
          <w:bCs/>
          <w:color w:val="auto"/>
          <w:szCs w:val="21"/>
          <w:highlight w:val="none"/>
        </w:rPr>
        <w:t>要求</w:t>
      </w:r>
    </w:p>
    <w:p w14:paraId="1BD70A2B">
      <w:pPr>
        <w:pStyle w:val="33"/>
        <w:numPr>
          <w:ilvl w:val="0"/>
          <w:numId w:val="0"/>
        </w:numPr>
        <w:spacing w:line="360" w:lineRule="auto"/>
        <w:ind w:left="420" w:leftChars="20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r>
        <w:rPr>
          <w:rFonts w:hint="eastAsia" w:ascii="宋体" w:hAnsi="宋体" w:eastAsia="宋体" w:cs="宋体"/>
          <w:snapToGrid w:val="0"/>
          <w:color w:val="auto"/>
          <w:spacing w:val="5"/>
          <w:kern w:val="0"/>
          <w:sz w:val="21"/>
          <w:szCs w:val="21"/>
          <w:highlight w:val="none"/>
          <w:lang w:val="en-US" w:eastAsia="zh-CN" w:bidi="ar-SA"/>
        </w:rPr>
        <w:t>1.</w:t>
      </w:r>
      <w:r>
        <w:rPr>
          <w:rFonts w:hint="eastAsia" w:ascii="宋体" w:hAnsi="宋体" w:eastAsia="宋体" w:cs="宋体"/>
          <w:snapToGrid w:val="0"/>
          <w:color w:val="auto"/>
          <w:spacing w:val="5"/>
          <w:kern w:val="0"/>
          <w:sz w:val="21"/>
          <w:szCs w:val="21"/>
          <w:highlight w:val="none"/>
          <w:lang w:val="en-US" w:eastAsia="zh-CN"/>
        </w:rPr>
        <w:t>中标人需确保车辆外部油漆完好，车身无结构性损伤。</w:t>
      </w:r>
    </w:p>
    <w:p w14:paraId="34336166">
      <w:pPr>
        <w:pStyle w:val="33"/>
        <w:numPr>
          <w:ilvl w:val="0"/>
          <w:numId w:val="0"/>
        </w:numPr>
        <w:spacing w:line="360" w:lineRule="auto"/>
        <w:ind w:left="420" w:leftChars="200" w:firstLine="0" w:firstLineChars="0"/>
        <w:contextualSpacing w:val="0"/>
        <w:jc w:val="left"/>
        <w:rPr>
          <w:rFonts w:hint="default" w:ascii="宋体" w:hAnsi="宋体" w:eastAsia="宋体" w:cs="宋体"/>
          <w:snapToGrid w:val="0"/>
          <w:color w:val="auto"/>
          <w:spacing w:val="5"/>
          <w:kern w:val="0"/>
          <w:sz w:val="21"/>
          <w:szCs w:val="21"/>
          <w:highlight w:val="none"/>
          <w:lang w:val="en-US" w:eastAsia="zh-CN"/>
        </w:rPr>
      </w:pPr>
      <w:r>
        <w:rPr>
          <w:rFonts w:hint="default" w:ascii="宋体" w:hAnsi="宋体" w:eastAsia="宋体" w:cs="宋体"/>
          <w:snapToGrid w:val="0"/>
          <w:color w:val="auto"/>
          <w:spacing w:val="5"/>
          <w:kern w:val="0"/>
          <w:sz w:val="21"/>
          <w:szCs w:val="21"/>
          <w:highlight w:val="none"/>
          <w:lang w:val="en-US" w:eastAsia="zh-CN" w:bidi="ar-SA"/>
        </w:rPr>
        <w:t>2.</w:t>
      </w:r>
      <w:r>
        <w:rPr>
          <w:rFonts w:hint="eastAsia" w:ascii="宋体" w:hAnsi="宋体" w:eastAsia="宋体" w:cs="宋体"/>
          <w:snapToGrid w:val="0"/>
          <w:color w:val="auto"/>
          <w:spacing w:val="5"/>
          <w:kern w:val="0"/>
          <w:sz w:val="21"/>
          <w:szCs w:val="21"/>
          <w:highlight w:val="none"/>
          <w:lang w:val="en-US" w:eastAsia="zh-CN"/>
        </w:rPr>
        <w:t>车辆应能正常启动、行驶，各项功能完好，无影响安全运行的故障或隐患。</w:t>
      </w:r>
    </w:p>
    <w:p w14:paraId="2226898A">
      <w:pPr>
        <w:pStyle w:val="33"/>
        <w:numPr>
          <w:ilvl w:val="0"/>
          <w:numId w:val="0"/>
        </w:numPr>
        <w:spacing w:line="360" w:lineRule="auto"/>
        <w:ind w:left="420" w:leftChars="200" w:firstLine="0" w:firstLineChars="0"/>
        <w:contextualSpacing w:val="0"/>
        <w:jc w:val="left"/>
        <w:rPr>
          <w:rFonts w:hint="default" w:ascii="宋体" w:hAnsi="宋体" w:eastAsia="宋体" w:cs="宋体"/>
          <w:snapToGrid w:val="0"/>
          <w:color w:val="auto"/>
          <w:spacing w:val="5"/>
          <w:kern w:val="0"/>
          <w:sz w:val="21"/>
          <w:szCs w:val="21"/>
          <w:highlight w:val="none"/>
          <w:lang w:val="en-US" w:eastAsia="zh-CN"/>
        </w:rPr>
      </w:pPr>
      <w:r>
        <w:rPr>
          <w:rFonts w:hint="default" w:ascii="宋体" w:hAnsi="宋体" w:eastAsia="宋体" w:cs="宋体"/>
          <w:snapToGrid w:val="0"/>
          <w:color w:val="auto"/>
          <w:spacing w:val="5"/>
          <w:kern w:val="0"/>
          <w:sz w:val="21"/>
          <w:szCs w:val="21"/>
          <w:highlight w:val="none"/>
          <w:lang w:val="en-US" w:eastAsia="zh-CN" w:bidi="ar-SA"/>
        </w:rPr>
        <w:t>3.</w:t>
      </w:r>
      <w:r>
        <w:rPr>
          <w:rFonts w:hint="default" w:ascii="宋体" w:hAnsi="宋体" w:eastAsia="宋体" w:cs="宋体"/>
          <w:snapToGrid w:val="0"/>
          <w:color w:val="auto"/>
          <w:spacing w:val="5"/>
          <w:kern w:val="0"/>
          <w:sz w:val="21"/>
          <w:szCs w:val="21"/>
          <w:highlight w:val="none"/>
          <w:lang w:val="en-US" w:eastAsia="zh-CN"/>
        </w:rPr>
        <w:t>移交前，由</w:t>
      </w:r>
      <w:r>
        <w:rPr>
          <w:rFonts w:hint="eastAsia" w:ascii="宋体" w:hAnsi="宋体" w:eastAsia="宋体" w:cs="宋体"/>
          <w:snapToGrid w:val="0"/>
          <w:color w:val="auto"/>
          <w:spacing w:val="5"/>
          <w:kern w:val="0"/>
          <w:sz w:val="21"/>
          <w:szCs w:val="21"/>
          <w:highlight w:val="none"/>
          <w:lang w:val="en-US" w:eastAsia="zh-CN"/>
        </w:rPr>
        <w:t>招标人</w:t>
      </w:r>
      <w:r>
        <w:rPr>
          <w:rFonts w:hint="default" w:ascii="宋体" w:hAnsi="宋体" w:eastAsia="宋体" w:cs="宋体"/>
          <w:snapToGrid w:val="0"/>
          <w:color w:val="auto"/>
          <w:spacing w:val="5"/>
          <w:kern w:val="0"/>
          <w:sz w:val="21"/>
          <w:szCs w:val="21"/>
          <w:highlight w:val="none"/>
          <w:lang w:val="en-US" w:eastAsia="zh-CN"/>
        </w:rPr>
        <w:t>对车辆进行现场查验。如车辆状况不符合</w:t>
      </w:r>
      <w:r>
        <w:rPr>
          <w:rFonts w:hint="eastAsia" w:ascii="宋体" w:hAnsi="宋体" w:eastAsia="宋体" w:cs="宋体"/>
          <w:snapToGrid w:val="0"/>
          <w:color w:val="auto"/>
          <w:spacing w:val="5"/>
          <w:kern w:val="0"/>
          <w:sz w:val="21"/>
          <w:szCs w:val="21"/>
          <w:highlight w:val="none"/>
          <w:lang w:val="en-US" w:eastAsia="zh-CN"/>
        </w:rPr>
        <w:t>上述</w:t>
      </w:r>
      <w:r>
        <w:rPr>
          <w:rFonts w:hint="default" w:ascii="宋体" w:hAnsi="宋体" w:eastAsia="宋体" w:cs="宋体"/>
          <w:snapToGrid w:val="0"/>
          <w:color w:val="auto"/>
          <w:spacing w:val="5"/>
          <w:kern w:val="0"/>
          <w:sz w:val="21"/>
          <w:szCs w:val="21"/>
          <w:highlight w:val="none"/>
          <w:lang w:val="en-US" w:eastAsia="zh-CN"/>
        </w:rPr>
        <w:t>约定的移交</w:t>
      </w:r>
    </w:p>
    <w:p w14:paraId="24CD9DB4">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r>
        <w:rPr>
          <w:rFonts w:hint="default" w:ascii="宋体" w:hAnsi="宋体" w:eastAsia="宋体" w:cs="宋体"/>
          <w:snapToGrid w:val="0"/>
          <w:color w:val="auto"/>
          <w:spacing w:val="5"/>
          <w:kern w:val="0"/>
          <w:sz w:val="21"/>
          <w:szCs w:val="21"/>
          <w:highlight w:val="none"/>
          <w:lang w:val="en-US" w:eastAsia="zh-CN"/>
        </w:rPr>
        <w:t>标准，</w:t>
      </w:r>
      <w:r>
        <w:rPr>
          <w:rFonts w:hint="eastAsia" w:ascii="宋体" w:hAnsi="宋体" w:eastAsia="宋体" w:cs="宋体"/>
          <w:snapToGrid w:val="0"/>
          <w:color w:val="auto"/>
          <w:spacing w:val="5"/>
          <w:kern w:val="0"/>
          <w:sz w:val="21"/>
          <w:szCs w:val="21"/>
          <w:highlight w:val="none"/>
          <w:lang w:val="en-US" w:eastAsia="zh-CN"/>
        </w:rPr>
        <w:t>招标人</w:t>
      </w:r>
      <w:r>
        <w:rPr>
          <w:rFonts w:hint="default" w:ascii="宋体" w:hAnsi="宋体" w:eastAsia="宋体" w:cs="宋体"/>
          <w:snapToGrid w:val="0"/>
          <w:color w:val="auto"/>
          <w:spacing w:val="5"/>
          <w:kern w:val="0"/>
          <w:sz w:val="21"/>
          <w:szCs w:val="21"/>
          <w:highlight w:val="none"/>
          <w:lang w:val="en-US" w:eastAsia="zh-CN"/>
        </w:rPr>
        <w:t>有权要求</w:t>
      </w:r>
      <w:r>
        <w:rPr>
          <w:rFonts w:hint="eastAsia" w:ascii="宋体" w:hAnsi="宋体" w:eastAsia="宋体" w:cs="宋体"/>
          <w:snapToGrid w:val="0"/>
          <w:color w:val="auto"/>
          <w:spacing w:val="5"/>
          <w:kern w:val="0"/>
          <w:sz w:val="21"/>
          <w:szCs w:val="21"/>
          <w:highlight w:val="none"/>
          <w:lang w:val="en-US" w:eastAsia="zh-CN"/>
        </w:rPr>
        <w:t>中标人</w:t>
      </w:r>
      <w:r>
        <w:rPr>
          <w:rFonts w:hint="default" w:ascii="宋体" w:hAnsi="宋体" w:eastAsia="宋体" w:cs="宋体"/>
          <w:snapToGrid w:val="0"/>
          <w:color w:val="auto"/>
          <w:spacing w:val="5"/>
          <w:kern w:val="0"/>
          <w:sz w:val="21"/>
          <w:szCs w:val="21"/>
          <w:highlight w:val="none"/>
          <w:lang w:val="en-US" w:eastAsia="zh-CN"/>
        </w:rPr>
        <w:t>在期限内自费进行修复至达标状态</w:t>
      </w:r>
      <w:r>
        <w:rPr>
          <w:rFonts w:hint="eastAsia" w:ascii="宋体" w:hAnsi="宋体" w:eastAsia="宋体" w:cs="宋体"/>
          <w:snapToGrid w:val="0"/>
          <w:color w:val="auto"/>
          <w:spacing w:val="5"/>
          <w:kern w:val="0"/>
          <w:sz w:val="21"/>
          <w:szCs w:val="21"/>
          <w:highlight w:val="none"/>
          <w:lang w:val="en-US" w:eastAsia="zh-CN"/>
        </w:rPr>
        <w:t>，若限期内未完成修复并达到移交条件，招标人有权要求中标人支付违约金。</w:t>
      </w:r>
    </w:p>
    <w:p w14:paraId="496F32A5">
      <w:pPr>
        <w:pStyle w:val="33"/>
        <w:numPr>
          <w:ilvl w:val="-1"/>
          <w:numId w:val="0"/>
        </w:numPr>
        <w:spacing w:line="360" w:lineRule="auto"/>
        <w:ind w:left="0" w:leftChars="0" w:firstLine="440" w:firstLineChars="200"/>
        <w:contextualSpacing w:val="0"/>
        <w:jc w:val="left"/>
        <w:rPr>
          <w:rFonts w:hint="eastAsia" w:ascii="宋体" w:hAnsi="宋体" w:eastAsia="宋体" w:cs="宋体"/>
          <w:snapToGrid w:val="0"/>
          <w:color w:val="auto"/>
          <w:spacing w:val="5"/>
          <w:kern w:val="0"/>
          <w:sz w:val="21"/>
          <w:szCs w:val="21"/>
          <w:highlight w:val="none"/>
          <w:lang w:val="en-US" w:eastAsia="zh-CN"/>
        </w:rPr>
      </w:pPr>
      <w:r>
        <w:rPr>
          <w:rFonts w:hint="eastAsia" w:ascii="宋体" w:hAnsi="宋体" w:eastAsia="宋体" w:cs="宋体"/>
          <w:snapToGrid w:val="0"/>
          <w:color w:val="auto"/>
          <w:spacing w:val="5"/>
          <w:kern w:val="0"/>
          <w:sz w:val="21"/>
          <w:szCs w:val="21"/>
          <w:highlight w:val="none"/>
          <w:lang w:val="en-US" w:eastAsia="zh-CN"/>
        </w:rPr>
        <w:t>4.中标人应一并归还车辆的所有权文件、行驶证、原始保修手册以及随车工具等附件。</w:t>
      </w:r>
    </w:p>
    <w:p w14:paraId="7675ED9B">
      <w:pPr>
        <w:pStyle w:val="33"/>
        <w:numPr>
          <w:ilvl w:val="0"/>
          <w:numId w:val="0"/>
        </w:numPr>
        <w:spacing w:line="360" w:lineRule="auto"/>
        <w:ind w:left="420" w:leftChars="200" w:firstLine="0" w:firstLineChars="0"/>
        <w:contextualSpacing w:val="0"/>
        <w:jc w:val="left"/>
        <w:rPr>
          <w:rFonts w:hint="default" w:ascii="宋体" w:hAnsi="宋体" w:eastAsia="宋体" w:cs="宋体"/>
          <w:snapToGrid w:val="0"/>
          <w:color w:val="auto"/>
          <w:spacing w:val="5"/>
          <w:kern w:val="0"/>
          <w:sz w:val="21"/>
          <w:szCs w:val="21"/>
          <w:highlight w:val="none"/>
          <w:lang w:val="en-US" w:eastAsia="zh-CN"/>
        </w:rPr>
      </w:pPr>
      <w:r>
        <w:rPr>
          <w:rFonts w:hint="eastAsia" w:ascii="宋体" w:hAnsi="宋体" w:eastAsia="宋体" w:cs="宋体"/>
          <w:snapToGrid w:val="0"/>
          <w:color w:val="auto"/>
          <w:spacing w:val="5"/>
          <w:kern w:val="0"/>
          <w:sz w:val="21"/>
          <w:szCs w:val="21"/>
          <w:highlight w:val="none"/>
          <w:lang w:val="en-US" w:eastAsia="zh-CN" w:bidi="ar-SA"/>
        </w:rPr>
        <w:t>5</w:t>
      </w:r>
      <w:r>
        <w:rPr>
          <w:rFonts w:hint="default" w:ascii="宋体" w:hAnsi="宋体" w:eastAsia="宋体" w:cs="宋体"/>
          <w:snapToGrid w:val="0"/>
          <w:color w:val="auto"/>
          <w:spacing w:val="5"/>
          <w:kern w:val="0"/>
          <w:sz w:val="21"/>
          <w:szCs w:val="21"/>
          <w:highlight w:val="none"/>
          <w:lang w:val="en-US" w:eastAsia="zh-CN" w:bidi="ar-SA"/>
        </w:rPr>
        <w:t>.</w:t>
      </w:r>
      <w:r>
        <w:rPr>
          <w:rFonts w:hint="default" w:ascii="宋体" w:hAnsi="宋体" w:eastAsia="宋体" w:cs="宋体"/>
          <w:snapToGrid w:val="0"/>
          <w:color w:val="auto"/>
          <w:spacing w:val="5"/>
          <w:kern w:val="0"/>
          <w:sz w:val="21"/>
          <w:szCs w:val="21"/>
          <w:highlight w:val="none"/>
          <w:lang w:val="en-US" w:eastAsia="zh-CN"/>
        </w:rPr>
        <w:t>车辆完成移交并验收合格后，双方签署《车辆交接确认书》，作为本合同履行</w:t>
      </w:r>
    </w:p>
    <w:p w14:paraId="57FABCD4">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r>
        <w:rPr>
          <w:rFonts w:hint="default" w:ascii="宋体" w:hAnsi="宋体" w:eastAsia="宋体" w:cs="宋体"/>
          <w:snapToGrid w:val="0"/>
          <w:color w:val="auto"/>
          <w:spacing w:val="5"/>
          <w:kern w:val="0"/>
          <w:sz w:val="21"/>
          <w:szCs w:val="21"/>
          <w:highlight w:val="none"/>
          <w:lang w:val="en-US" w:eastAsia="zh-CN"/>
        </w:rPr>
        <w:t>完毕的凭证之一</w:t>
      </w:r>
      <w:r>
        <w:rPr>
          <w:rFonts w:hint="eastAsia" w:ascii="宋体" w:hAnsi="宋体" w:eastAsia="宋体" w:cs="宋体"/>
          <w:snapToGrid w:val="0"/>
          <w:color w:val="auto"/>
          <w:spacing w:val="5"/>
          <w:kern w:val="0"/>
          <w:sz w:val="21"/>
          <w:szCs w:val="21"/>
          <w:highlight w:val="none"/>
          <w:lang w:val="en-US" w:eastAsia="zh-CN"/>
        </w:rPr>
        <w:t>。</w:t>
      </w:r>
    </w:p>
    <w:p w14:paraId="70EE5427">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28FE76B1">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464AF737">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58B70431">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235A5AB2">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2175AF4C">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398599AB">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40229577">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41EE76CB">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41618FF9">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672222B2">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0433793D">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1DDA3618">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588A3D30">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4B4B8615">
      <w:pPr>
        <w:pStyle w:val="33"/>
        <w:numPr>
          <w:ilvl w:val="-1"/>
          <w:numId w:val="0"/>
        </w:numPr>
        <w:spacing w:line="360" w:lineRule="auto"/>
        <w:ind w:left="0" w:leftChars="0" w:firstLine="0" w:firstLineChars="0"/>
        <w:contextualSpacing w:val="0"/>
        <w:jc w:val="left"/>
        <w:rPr>
          <w:rFonts w:hint="eastAsia" w:ascii="宋体" w:hAnsi="宋体" w:eastAsia="宋体" w:cs="宋体"/>
          <w:snapToGrid w:val="0"/>
          <w:color w:val="auto"/>
          <w:spacing w:val="5"/>
          <w:kern w:val="0"/>
          <w:sz w:val="21"/>
          <w:szCs w:val="21"/>
          <w:highlight w:val="none"/>
          <w:lang w:val="en-US" w:eastAsia="zh-CN"/>
        </w:rPr>
      </w:pPr>
    </w:p>
    <w:p w14:paraId="6D8FF4F2">
      <w:pPr>
        <w:pStyle w:val="4"/>
        <w:keepNext w:val="0"/>
        <w:keepLines w:val="0"/>
        <w:widowControl/>
        <w:suppressLineNumbers w:val="0"/>
        <w:shd w:val="clear" w:fill="FFFFFF"/>
        <w:spacing w:before="240" w:beforeAutospacing="0" w:after="120" w:afterAutospacing="0" w:line="225" w:lineRule="atLeast"/>
        <w:ind w:left="0" w:right="0" w:firstLine="0"/>
        <w:jc w:val="center"/>
        <w:rPr>
          <w:rStyle w:val="19"/>
          <w:rFonts w:hint="eastAsia" w:ascii="宋体" w:hAnsi="宋体" w:eastAsia="宋体" w:cs="宋体"/>
          <w:b/>
          <w:caps w:val="0"/>
          <w:color w:val="auto"/>
          <w:spacing w:val="0"/>
          <w:sz w:val="40"/>
          <w:szCs w:val="40"/>
          <w:highlight w:val="none"/>
          <w:shd w:val="clear" w:fill="FFFFFF"/>
        </w:rPr>
      </w:pPr>
      <w:r>
        <w:rPr>
          <w:rStyle w:val="19"/>
          <w:rFonts w:hint="eastAsia" w:ascii="宋体" w:hAnsi="宋体" w:eastAsia="宋体" w:cs="宋体"/>
          <w:b/>
          <w:caps w:val="0"/>
          <w:color w:val="auto"/>
          <w:spacing w:val="0"/>
          <w:sz w:val="40"/>
          <w:szCs w:val="40"/>
          <w:highlight w:val="none"/>
          <w:shd w:val="clear" w:fill="FFFFFF"/>
        </w:rPr>
        <w:t>车辆交接确认书</w:t>
      </w:r>
    </w:p>
    <w:p w14:paraId="1C60DFEA">
      <w:pPr>
        <w:rPr>
          <w:rFonts w:hint="eastAsia"/>
          <w:color w:val="auto"/>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64"/>
        <w:gridCol w:w="1636"/>
        <w:gridCol w:w="2318"/>
        <w:gridCol w:w="2008"/>
      </w:tblGrid>
      <w:tr w14:paraId="53C9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464" w:type="dxa"/>
            <w:tcBorders>
              <w:top w:val="nil"/>
            </w:tcBorders>
            <w:shd w:val="clear" w:color="auto" w:fill="auto"/>
            <w:tcMar>
              <w:top w:w="75" w:type="dxa"/>
              <w:left w:w="0" w:type="dxa"/>
              <w:bottom w:w="75" w:type="dxa"/>
              <w:right w:w="120" w:type="dxa"/>
            </w:tcMar>
            <w:vAlign w:val="center"/>
          </w:tcPr>
          <w:p w14:paraId="2F444221">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Style w:val="19"/>
                <w:rFonts w:hint="default" w:ascii="Times New Roman" w:hAnsi="Times New Roman" w:eastAsia="仿宋_GB2312" w:cs="Times New Roman"/>
                <w:b/>
                <w:bCs/>
                <w:color w:val="auto"/>
                <w:kern w:val="0"/>
                <w:sz w:val="30"/>
                <w:szCs w:val="30"/>
                <w:highlight w:val="none"/>
                <w:lang w:val="en-US" w:eastAsia="zh-CN" w:bidi="ar"/>
              </w:rPr>
              <w:t>移交方（乙方）</w:t>
            </w:r>
          </w:p>
        </w:tc>
        <w:tc>
          <w:tcPr>
            <w:tcW w:w="1636" w:type="dxa"/>
            <w:tcBorders>
              <w:top w:val="nil"/>
            </w:tcBorders>
            <w:shd w:val="clear" w:color="auto" w:fill="auto"/>
            <w:tcMar>
              <w:top w:w="75" w:type="dxa"/>
              <w:left w:w="120" w:type="dxa"/>
              <w:bottom w:w="75" w:type="dxa"/>
              <w:right w:w="120" w:type="dxa"/>
            </w:tcMar>
            <w:vAlign w:val="center"/>
          </w:tcPr>
          <w:p w14:paraId="5BE28246">
            <w:pPr>
              <w:jc w:val="center"/>
              <w:rPr>
                <w:rFonts w:hint="default" w:ascii="Times New Roman" w:hAnsi="Times New Roman" w:eastAsia="仿宋_GB2312" w:cs="Times New Roman"/>
                <w:color w:val="auto"/>
                <w:sz w:val="30"/>
                <w:szCs w:val="30"/>
                <w:highlight w:val="none"/>
              </w:rPr>
            </w:pPr>
          </w:p>
        </w:tc>
        <w:tc>
          <w:tcPr>
            <w:tcW w:w="2318" w:type="dxa"/>
            <w:tcBorders>
              <w:top w:val="nil"/>
            </w:tcBorders>
            <w:shd w:val="clear" w:color="auto" w:fill="auto"/>
            <w:tcMar>
              <w:top w:w="75" w:type="dxa"/>
              <w:left w:w="120" w:type="dxa"/>
              <w:bottom w:w="75" w:type="dxa"/>
              <w:right w:w="120" w:type="dxa"/>
            </w:tcMar>
            <w:vAlign w:val="center"/>
          </w:tcPr>
          <w:p w14:paraId="0BBF82AA">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Style w:val="19"/>
                <w:rFonts w:hint="default" w:ascii="Times New Roman" w:hAnsi="Times New Roman" w:eastAsia="仿宋_GB2312" w:cs="Times New Roman"/>
                <w:b/>
                <w:bCs/>
                <w:color w:val="auto"/>
                <w:kern w:val="0"/>
                <w:sz w:val="30"/>
                <w:szCs w:val="30"/>
                <w:highlight w:val="none"/>
                <w:lang w:val="en-US" w:eastAsia="zh-CN" w:bidi="ar"/>
              </w:rPr>
              <w:t>接收方（甲方）</w:t>
            </w:r>
          </w:p>
        </w:tc>
        <w:tc>
          <w:tcPr>
            <w:tcW w:w="2008" w:type="dxa"/>
            <w:tcBorders>
              <w:top w:val="nil"/>
            </w:tcBorders>
            <w:shd w:val="clear" w:color="auto" w:fill="auto"/>
            <w:tcMar>
              <w:top w:w="75" w:type="dxa"/>
              <w:left w:w="120" w:type="dxa"/>
              <w:bottom w:w="75" w:type="dxa"/>
              <w:right w:w="120" w:type="dxa"/>
            </w:tcMar>
            <w:vAlign w:val="center"/>
          </w:tcPr>
          <w:p w14:paraId="30A1C435">
            <w:pPr>
              <w:jc w:val="center"/>
              <w:rPr>
                <w:rFonts w:hint="default" w:ascii="Times New Roman" w:hAnsi="Times New Roman" w:eastAsia="仿宋_GB2312" w:cs="Times New Roman"/>
                <w:color w:val="auto"/>
                <w:sz w:val="30"/>
                <w:szCs w:val="30"/>
                <w:highlight w:val="none"/>
              </w:rPr>
            </w:pPr>
          </w:p>
        </w:tc>
      </w:tr>
      <w:tr w14:paraId="046B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464" w:type="dxa"/>
            <w:shd w:val="clear" w:color="auto" w:fill="auto"/>
            <w:tcMar>
              <w:top w:w="75" w:type="dxa"/>
              <w:left w:w="0" w:type="dxa"/>
              <w:bottom w:w="75" w:type="dxa"/>
              <w:right w:w="120" w:type="dxa"/>
            </w:tcMar>
            <w:vAlign w:val="center"/>
          </w:tcPr>
          <w:p w14:paraId="27D8E06F">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单位名称</w:t>
            </w:r>
          </w:p>
        </w:tc>
        <w:tc>
          <w:tcPr>
            <w:tcW w:w="1636" w:type="dxa"/>
            <w:shd w:val="clear" w:color="auto" w:fill="auto"/>
            <w:tcMar>
              <w:top w:w="75" w:type="dxa"/>
              <w:left w:w="120" w:type="dxa"/>
              <w:bottom w:w="75" w:type="dxa"/>
              <w:right w:w="120" w:type="dxa"/>
            </w:tcMar>
            <w:vAlign w:val="center"/>
          </w:tcPr>
          <w:p w14:paraId="336F02F6">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p>
        </w:tc>
        <w:tc>
          <w:tcPr>
            <w:tcW w:w="2318" w:type="dxa"/>
            <w:shd w:val="clear" w:color="auto" w:fill="auto"/>
            <w:tcMar>
              <w:top w:w="75" w:type="dxa"/>
              <w:left w:w="120" w:type="dxa"/>
              <w:bottom w:w="75" w:type="dxa"/>
              <w:right w:w="120" w:type="dxa"/>
            </w:tcMar>
            <w:vAlign w:val="center"/>
          </w:tcPr>
          <w:p w14:paraId="00372F13">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单位名称</w:t>
            </w:r>
          </w:p>
        </w:tc>
        <w:tc>
          <w:tcPr>
            <w:tcW w:w="2008" w:type="dxa"/>
            <w:shd w:val="clear" w:color="auto" w:fill="auto"/>
            <w:tcMar>
              <w:top w:w="75" w:type="dxa"/>
              <w:left w:w="120" w:type="dxa"/>
              <w:bottom w:w="75" w:type="dxa"/>
              <w:right w:w="0" w:type="dxa"/>
            </w:tcMar>
            <w:vAlign w:val="center"/>
          </w:tcPr>
          <w:p w14:paraId="339F5D27">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p>
        </w:tc>
      </w:tr>
      <w:tr w14:paraId="2AEB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64" w:type="dxa"/>
            <w:shd w:val="clear" w:color="auto" w:fill="auto"/>
            <w:tcMar>
              <w:top w:w="75" w:type="dxa"/>
              <w:left w:w="0" w:type="dxa"/>
              <w:bottom w:w="75" w:type="dxa"/>
              <w:right w:w="120" w:type="dxa"/>
            </w:tcMar>
            <w:vAlign w:val="center"/>
          </w:tcPr>
          <w:p w14:paraId="1904CA82">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经办人</w:t>
            </w:r>
          </w:p>
        </w:tc>
        <w:tc>
          <w:tcPr>
            <w:tcW w:w="1636" w:type="dxa"/>
            <w:shd w:val="clear" w:color="auto" w:fill="auto"/>
            <w:tcMar>
              <w:top w:w="75" w:type="dxa"/>
              <w:left w:w="120" w:type="dxa"/>
              <w:bottom w:w="75" w:type="dxa"/>
              <w:right w:w="120" w:type="dxa"/>
            </w:tcMar>
            <w:vAlign w:val="center"/>
          </w:tcPr>
          <w:p w14:paraId="0B52A738">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p>
        </w:tc>
        <w:tc>
          <w:tcPr>
            <w:tcW w:w="2318" w:type="dxa"/>
            <w:shd w:val="clear" w:color="auto" w:fill="auto"/>
            <w:tcMar>
              <w:top w:w="75" w:type="dxa"/>
              <w:left w:w="120" w:type="dxa"/>
              <w:bottom w:w="75" w:type="dxa"/>
              <w:right w:w="120" w:type="dxa"/>
            </w:tcMar>
            <w:vAlign w:val="center"/>
          </w:tcPr>
          <w:p w14:paraId="4F5CD725">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经办人</w:t>
            </w:r>
          </w:p>
        </w:tc>
        <w:tc>
          <w:tcPr>
            <w:tcW w:w="2008" w:type="dxa"/>
            <w:shd w:val="clear" w:color="auto" w:fill="auto"/>
            <w:tcMar>
              <w:top w:w="75" w:type="dxa"/>
              <w:left w:w="120" w:type="dxa"/>
              <w:bottom w:w="75" w:type="dxa"/>
              <w:right w:w="0" w:type="dxa"/>
            </w:tcMar>
            <w:vAlign w:val="center"/>
          </w:tcPr>
          <w:p w14:paraId="30CA328D">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p>
        </w:tc>
      </w:tr>
      <w:tr w14:paraId="2FD5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464" w:type="dxa"/>
            <w:shd w:val="clear" w:color="auto" w:fill="auto"/>
            <w:tcMar>
              <w:top w:w="75" w:type="dxa"/>
              <w:left w:w="0" w:type="dxa"/>
              <w:bottom w:w="75" w:type="dxa"/>
              <w:right w:w="120" w:type="dxa"/>
            </w:tcMar>
            <w:vAlign w:val="center"/>
          </w:tcPr>
          <w:p w14:paraId="31CBDCA0">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联系电话</w:t>
            </w:r>
          </w:p>
        </w:tc>
        <w:tc>
          <w:tcPr>
            <w:tcW w:w="1636" w:type="dxa"/>
            <w:shd w:val="clear" w:color="auto" w:fill="auto"/>
            <w:tcMar>
              <w:top w:w="75" w:type="dxa"/>
              <w:left w:w="120" w:type="dxa"/>
              <w:bottom w:w="75" w:type="dxa"/>
              <w:right w:w="120" w:type="dxa"/>
            </w:tcMar>
            <w:vAlign w:val="center"/>
          </w:tcPr>
          <w:p w14:paraId="0307A97E">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p>
        </w:tc>
        <w:tc>
          <w:tcPr>
            <w:tcW w:w="2318" w:type="dxa"/>
            <w:shd w:val="clear" w:color="auto" w:fill="auto"/>
            <w:tcMar>
              <w:top w:w="75" w:type="dxa"/>
              <w:left w:w="120" w:type="dxa"/>
              <w:bottom w:w="75" w:type="dxa"/>
              <w:right w:w="120" w:type="dxa"/>
            </w:tcMar>
            <w:vAlign w:val="center"/>
          </w:tcPr>
          <w:p w14:paraId="3162E509">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联系电话</w:t>
            </w:r>
          </w:p>
        </w:tc>
        <w:tc>
          <w:tcPr>
            <w:tcW w:w="2008" w:type="dxa"/>
            <w:shd w:val="clear" w:color="auto" w:fill="auto"/>
            <w:tcMar>
              <w:top w:w="75" w:type="dxa"/>
              <w:left w:w="120" w:type="dxa"/>
              <w:bottom w:w="75" w:type="dxa"/>
              <w:right w:w="0" w:type="dxa"/>
            </w:tcMar>
            <w:vAlign w:val="center"/>
          </w:tcPr>
          <w:p w14:paraId="0A3A8DE7">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p>
        </w:tc>
      </w:tr>
    </w:tbl>
    <w:p w14:paraId="775BCAD6">
      <w:pPr>
        <w:pStyle w:val="15"/>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仿宋_GB2312" w:cs="Times New Roman"/>
          <w:i w:val="0"/>
          <w:iCs w:val="0"/>
          <w:caps w:val="0"/>
          <w:color w:val="auto"/>
          <w:spacing w:val="0"/>
          <w:sz w:val="30"/>
          <w:szCs w:val="30"/>
          <w:highlight w:val="none"/>
        </w:rPr>
      </w:pPr>
      <w:r>
        <w:rPr>
          <w:rStyle w:val="19"/>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一、</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前言</w:t>
      </w:r>
    </w:p>
    <w:p w14:paraId="090A8E99">
      <w:pPr>
        <w:pStyle w:val="15"/>
        <w:keepNext w:val="0"/>
        <w:keepLines w:val="0"/>
        <w:widowControl/>
        <w:suppressLineNumbers w:val="0"/>
        <w:shd w:val="clear" w:fill="FFFFFF"/>
        <w:spacing w:before="120" w:beforeAutospacing="0" w:after="120" w:afterAutospacing="0"/>
        <w:ind w:left="0" w:right="0" w:firstLine="600" w:firstLineChars="200"/>
        <w:rPr>
          <w:rFonts w:hint="default" w:ascii="Times New Roman" w:hAnsi="Times New Roman" w:eastAsia="仿宋_GB2312" w:cs="Times New Roman"/>
          <w:i w:val="0"/>
          <w:iCs w:val="0"/>
          <w:caps w:val="0"/>
          <w:color w:val="auto"/>
          <w:spacing w:val="0"/>
          <w:sz w:val="30"/>
          <w:szCs w:val="30"/>
          <w:highlight w:val="none"/>
        </w:rPr>
      </w:pPr>
      <w:r>
        <w:rPr>
          <w:rFonts w:hint="default" w:ascii="Times New Roman" w:hAnsi="Times New Roman" w:eastAsia="仿宋_GB2312" w:cs="Times New Roman"/>
          <w:i w:val="0"/>
          <w:iCs w:val="0"/>
          <w:caps w:val="0"/>
          <w:color w:val="auto"/>
          <w:spacing w:val="0"/>
          <w:sz w:val="30"/>
          <w:szCs w:val="30"/>
          <w:highlight w:val="none"/>
          <w:shd w:val="clear" w:fill="FFFFFF"/>
        </w:rPr>
        <w:t>根据双方于______年______月______日签署的《</w:t>
      </w:r>
      <w:r>
        <w:rPr>
          <w:rFonts w:hint="eastAsia" w:ascii="Times New Roman" w:hAnsi="Times New Roman" w:eastAsia="仿宋_GB2312" w:cs="Times New Roman"/>
          <w:i w:val="0"/>
          <w:iCs w:val="0"/>
          <w:caps w:val="0"/>
          <w:color w:val="auto"/>
          <w:spacing w:val="0"/>
          <w:sz w:val="30"/>
          <w:szCs w:val="30"/>
          <w:highlight w:val="none"/>
          <w:shd w:val="clear" w:fill="FFFFFF"/>
          <w:lang w:val="en-US" w:eastAsia="zh-CN"/>
        </w:rPr>
        <w:t>*****</w:t>
      </w:r>
      <w:r>
        <w:rPr>
          <w:rFonts w:hint="default" w:ascii="Times New Roman" w:hAnsi="Times New Roman" w:eastAsia="仿宋_GB2312" w:cs="Times New Roman"/>
          <w:i w:val="0"/>
          <w:iCs w:val="0"/>
          <w:caps w:val="0"/>
          <w:color w:val="auto"/>
          <w:spacing w:val="0"/>
          <w:sz w:val="30"/>
          <w:szCs w:val="30"/>
          <w:highlight w:val="none"/>
          <w:shd w:val="clear" w:fill="FFFFFF"/>
        </w:rPr>
        <w:t>合同》（合同编号：__________，以下简称“原合同”），现服务期限届满/合同提前终止，双方同意按照原合同约定，对运营车辆进行交接。为明确交接时车辆状况及双方责任，特订立本确认书。</w:t>
      </w:r>
    </w:p>
    <w:p w14:paraId="5818E427">
      <w:pPr>
        <w:pStyle w:val="15"/>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仿宋_GB2312" w:cs="Times New Roman"/>
          <w:i w:val="0"/>
          <w:iCs w:val="0"/>
          <w:caps w:val="0"/>
          <w:color w:val="auto"/>
          <w:spacing w:val="0"/>
          <w:sz w:val="30"/>
          <w:szCs w:val="30"/>
          <w:highlight w:val="none"/>
        </w:rPr>
      </w:pPr>
      <w:r>
        <w:rPr>
          <w:rStyle w:val="19"/>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二</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、交接车辆信息</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61"/>
        <w:gridCol w:w="1581"/>
        <w:gridCol w:w="1029"/>
        <w:gridCol w:w="1276"/>
        <w:gridCol w:w="1490"/>
        <w:gridCol w:w="1442"/>
      </w:tblGrid>
      <w:tr w14:paraId="19FE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1461" w:type="dxa"/>
            <w:tcBorders>
              <w:top w:val="nil"/>
            </w:tcBorders>
            <w:shd w:val="clear" w:color="auto" w:fill="auto"/>
            <w:tcMar>
              <w:top w:w="75" w:type="dxa"/>
              <w:left w:w="0" w:type="dxa"/>
              <w:bottom w:w="75" w:type="dxa"/>
              <w:right w:w="120" w:type="dxa"/>
            </w:tcMar>
            <w:vAlign w:val="center"/>
          </w:tcPr>
          <w:p w14:paraId="6DFD39C0">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序号</w:t>
            </w:r>
          </w:p>
        </w:tc>
        <w:tc>
          <w:tcPr>
            <w:tcW w:w="1581" w:type="dxa"/>
            <w:tcBorders>
              <w:top w:val="nil"/>
            </w:tcBorders>
            <w:shd w:val="clear" w:color="auto" w:fill="auto"/>
            <w:tcMar>
              <w:top w:w="75" w:type="dxa"/>
              <w:left w:w="120" w:type="dxa"/>
              <w:bottom w:w="75" w:type="dxa"/>
              <w:right w:w="120" w:type="dxa"/>
            </w:tcMar>
            <w:vAlign w:val="center"/>
          </w:tcPr>
          <w:p w14:paraId="5CB3FECF">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车牌号码</w:t>
            </w:r>
          </w:p>
        </w:tc>
        <w:tc>
          <w:tcPr>
            <w:tcW w:w="1029" w:type="dxa"/>
            <w:tcBorders>
              <w:top w:val="nil"/>
            </w:tcBorders>
            <w:shd w:val="clear" w:color="auto" w:fill="auto"/>
            <w:tcMar>
              <w:top w:w="75" w:type="dxa"/>
              <w:left w:w="120" w:type="dxa"/>
              <w:bottom w:w="75" w:type="dxa"/>
              <w:right w:w="120" w:type="dxa"/>
            </w:tcMar>
            <w:vAlign w:val="center"/>
          </w:tcPr>
          <w:p w14:paraId="42CBC547">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车辆品牌型号</w:t>
            </w:r>
          </w:p>
        </w:tc>
        <w:tc>
          <w:tcPr>
            <w:tcW w:w="1276" w:type="dxa"/>
            <w:tcBorders>
              <w:top w:val="nil"/>
            </w:tcBorders>
            <w:shd w:val="clear" w:color="auto" w:fill="auto"/>
            <w:tcMar>
              <w:top w:w="75" w:type="dxa"/>
              <w:left w:w="120" w:type="dxa"/>
              <w:bottom w:w="75" w:type="dxa"/>
              <w:right w:w="120" w:type="dxa"/>
            </w:tcMar>
            <w:vAlign w:val="center"/>
          </w:tcPr>
          <w:p w14:paraId="26DA26CC">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车架号（VIN）</w:t>
            </w:r>
          </w:p>
        </w:tc>
        <w:tc>
          <w:tcPr>
            <w:tcW w:w="1490" w:type="dxa"/>
            <w:tcBorders>
              <w:top w:val="nil"/>
            </w:tcBorders>
            <w:shd w:val="clear" w:color="auto" w:fill="auto"/>
            <w:tcMar>
              <w:top w:w="75" w:type="dxa"/>
              <w:left w:w="120" w:type="dxa"/>
              <w:bottom w:w="75" w:type="dxa"/>
              <w:right w:w="120" w:type="dxa"/>
            </w:tcMar>
            <w:vAlign w:val="center"/>
          </w:tcPr>
          <w:p w14:paraId="21295569">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行驶里程（公里）</w:t>
            </w:r>
          </w:p>
        </w:tc>
        <w:tc>
          <w:tcPr>
            <w:tcW w:w="1442" w:type="dxa"/>
            <w:tcBorders>
              <w:top w:val="nil"/>
            </w:tcBorders>
            <w:shd w:val="clear" w:color="auto" w:fill="auto"/>
            <w:tcMar>
              <w:top w:w="75" w:type="dxa"/>
              <w:left w:w="120" w:type="dxa"/>
              <w:bottom w:w="75" w:type="dxa"/>
              <w:right w:w="120" w:type="dxa"/>
            </w:tcMar>
            <w:vAlign w:val="center"/>
          </w:tcPr>
          <w:p w14:paraId="682C6C33">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动力电池序列号</w:t>
            </w:r>
          </w:p>
        </w:tc>
      </w:tr>
      <w:tr w14:paraId="76D2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61" w:type="dxa"/>
            <w:shd w:val="clear" w:color="auto" w:fill="auto"/>
            <w:tcMar>
              <w:top w:w="75" w:type="dxa"/>
              <w:left w:w="0" w:type="dxa"/>
              <w:bottom w:w="75" w:type="dxa"/>
              <w:right w:w="120" w:type="dxa"/>
            </w:tcMar>
            <w:vAlign w:val="center"/>
          </w:tcPr>
          <w:p w14:paraId="290ECA73">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1</w:t>
            </w:r>
          </w:p>
        </w:tc>
        <w:tc>
          <w:tcPr>
            <w:tcW w:w="1581" w:type="dxa"/>
            <w:shd w:val="clear" w:color="auto" w:fill="auto"/>
            <w:tcMar>
              <w:top w:w="75" w:type="dxa"/>
              <w:left w:w="120" w:type="dxa"/>
              <w:bottom w:w="75" w:type="dxa"/>
              <w:right w:w="120" w:type="dxa"/>
            </w:tcMar>
            <w:vAlign w:val="center"/>
          </w:tcPr>
          <w:p w14:paraId="2B1AF974">
            <w:pPr>
              <w:jc w:val="center"/>
              <w:rPr>
                <w:rFonts w:hint="default" w:ascii="Times New Roman" w:hAnsi="Times New Roman" w:eastAsia="仿宋_GB2312" w:cs="Times New Roman"/>
                <w:color w:val="auto"/>
                <w:sz w:val="30"/>
                <w:szCs w:val="30"/>
                <w:highlight w:val="none"/>
              </w:rPr>
            </w:pPr>
          </w:p>
        </w:tc>
        <w:tc>
          <w:tcPr>
            <w:tcW w:w="1029" w:type="dxa"/>
            <w:shd w:val="clear" w:color="auto" w:fill="auto"/>
            <w:tcMar>
              <w:top w:w="75" w:type="dxa"/>
              <w:left w:w="120" w:type="dxa"/>
              <w:bottom w:w="75" w:type="dxa"/>
              <w:right w:w="120" w:type="dxa"/>
            </w:tcMar>
            <w:vAlign w:val="center"/>
          </w:tcPr>
          <w:p w14:paraId="520869FF">
            <w:pPr>
              <w:jc w:val="center"/>
              <w:rPr>
                <w:rFonts w:hint="default" w:ascii="Times New Roman" w:hAnsi="Times New Roman" w:eastAsia="仿宋_GB2312" w:cs="Times New Roman"/>
                <w:color w:val="auto"/>
                <w:sz w:val="30"/>
                <w:szCs w:val="30"/>
                <w:highlight w:val="none"/>
              </w:rPr>
            </w:pPr>
          </w:p>
        </w:tc>
        <w:tc>
          <w:tcPr>
            <w:tcW w:w="1276" w:type="dxa"/>
            <w:shd w:val="clear" w:color="auto" w:fill="auto"/>
            <w:tcMar>
              <w:top w:w="75" w:type="dxa"/>
              <w:left w:w="120" w:type="dxa"/>
              <w:bottom w:w="75" w:type="dxa"/>
              <w:right w:w="120" w:type="dxa"/>
            </w:tcMar>
            <w:vAlign w:val="center"/>
          </w:tcPr>
          <w:p w14:paraId="60346C9D">
            <w:pPr>
              <w:jc w:val="center"/>
              <w:rPr>
                <w:rFonts w:hint="default" w:ascii="Times New Roman" w:hAnsi="Times New Roman" w:eastAsia="仿宋_GB2312" w:cs="Times New Roman"/>
                <w:color w:val="auto"/>
                <w:sz w:val="30"/>
                <w:szCs w:val="30"/>
                <w:highlight w:val="none"/>
              </w:rPr>
            </w:pPr>
          </w:p>
        </w:tc>
        <w:tc>
          <w:tcPr>
            <w:tcW w:w="1490" w:type="dxa"/>
            <w:shd w:val="clear" w:color="auto" w:fill="auto"/>
            <w:tcMar>
              <w:top w:w="75" w:type="dxa"/>
              <w:left w:w="120" w:type="dxa"/>
              <w:bottom w:w="75" w:type="dxa"/>
              <w:right w:w="120" w:type="dxa"/>
            </w:tcMar>
            <w:vAlign w:val="center"/>
          </w:tcPr>
          <w:p w14:paraId="484132EC">
            <w:pPr>
              <w:jc w:val="center"/>
              <w:rPr>
                <w:rFonts w:hint="default" w:ascii="Times New Roman" w:hAnsi="Times New Roman" w:eastAsia="仿宋_GB2312" w:cs="Times New Roman"/>
                <w:color w:val="auto"/>
                <w:sz w:val="30"/>
                <w:szCs w:val="30"/>
                <w:highlight w:val="none"/>
              </w:rPr>
            </w:pPr>
          </w:p>
        </w:tc>
        <w:tc>
          <w:tcPr>
            <w:tcW w:w="1442" w:type="dxa"/>
            <w:shd w:val="clear" w:color="auto" w:fill="auto"/>
            <w:tcMar>
              <w:top w:w="75" w:type="dxa"/>
              <w:left w:w="120" w:type="dxa"/>
              <w:bottom w:w="75" w:type="dxa"/>
              <w:right w:w="120" w:type="dxa"/>
            </w:tcMar>
            <w:vAlign w:val="center"/>
          </w:tcPr>
          <w:p w14:paraId="33AE5EA6">
            <w:pPr>
              <w:jc w:val="center"/>
              <w:rPr>
                <w:rFonts w:hint="default" w:ascii="Times New Roman" w:hAnsi="Times New Roman" w:eastAsia="仿宋_GB2312" w:cs="Times New Roman"/>
                <w:color w:val="auto"/>
                <w:sz w:val="30"/>
                <w:szCs w:val="30"/>
                <w:highlight w:val="none"/>
              </w:rPr>
            </w:pPr>
          </w:p>
        </w:tc>
      </w:tr>
      <w:tr w14:paraId="2BF9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61" w:type="dxa"/>
            <w:shd w:val="clear" w:color="auto" w:fill="auto"/>
            <w:tcMar>
              <w:top w:w="75" w:type="dxa"/>
              <w:left w:w="0" w:type="dxa"/>
              <w:bottom w:w="75" w:type="dxa"/>
              <w:right w:w="120" w:type="dxa"/>
            </w:tcMar>
            <w:vAlign w:val="center"/>
          </w:tcPr>
          <w:p w14:paraId="2B9ED563">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2</w:t>
            </w:r>
          </w:p>
        </w:tc>
        <w:tc>
          <w:tcPr>
            <w:tcW w:w="1581" w:type="dxa"/>
            <w:shd w:val="clear" w:color="auto" w:fill="auto"/>
            <w:tcMar>
              <w:top w:w="75" w:type="dxa"/>
              <w:left w:w="120" w:type="dxa"/>
              <w:bottom w:w="75" w:type="dxa"/>
              <w:right w:w="120" w:type="dxa"/>
            </w:tcMar>
            <w:vAlign w:val="center"/>
          </w:tcPr>
          <w:p w14:paraId="3FD89176">
            <w:pPr>
              <w:jc w:val="center"/>
              <w:rPr>
                <w:rFonts w:hint="default" w:ascii="Times New Roman" w:hAnsi="Times New Roman" w:eastAsia="仿宋_GB2312" w:cs="Times New Roman"/>
                <w:color w:val="auto"/>
                <w:sz w:val="30"/>
                <w:szCs w:val="30"/>
                <w:highlight w:val="none"/>
              </w:rPr>
            </w:pPr>
          </w:p>
        </w:tc>
        <w:tc>
          <w:tcPr>
            <w:tcW w:w="1029" w:type="dxa"/>
            <w:shd w:val="clear" w:color="auto" w:fill="auto"/>
            <w:tcMar>
              <w:top w:w="75" w:type="dxa"/>
              <w:left w:w="120" w:type="dxa"/>
              <w:bottom w:w="75" w:type="dxa"/>
              <w:right w:w="120" w:type="dxa"/>
            </w:tcMar>
            <w:vAlign w:val="center"/>
          </w:tcPr>
          <w:p w14:paraId="4C06CA41">
            <w:pPr>
              <w:jc w:val="center"/>
              <w:rPr>
                <w:rFonts w:hint="default" w:ascii="Times New Roman" w:hAnsi="Times New Roman" w:eastAsia="仿宋_GB2312" w:cs="Times New Roman"/>
                <w:color w:val="auto"/>
                <w:sz w:val="30"/>
                <w:szCs w:val="30"/>
                <w:highlight w:val="none"/>
              </w:rPr>
            </w:pPr>
          </w:p>
        </w:tc>
        <w:tc>
          <w:tcPr>
            <w:tcW w:w="1276" w:type="dxa"/>
            <w:shd w:val="clear" w:color="auto" w:fill="auto"/>
            <w:tcMar>
              <w:top w:w="75" w:type="dxa"/>
              <w:left w:w="120" w:type="dxa"/>
              <w:bottom w:w="75" w:type="dxa"/>
              <w:right w:w="120" w:type="dxa"/>
            </w:tcMar>
            <w:vAlign w:val="center"/>
          </w:tcPr>
          <w:p w14:paraId="1D368824">
            <w:pPr>
              <w:jc w:val="center"/>
              <w:rPr>
                <w:rFonts w:hint="default" w:ascii="Times New Roman" w:hAnsi="Times New Roman" w:eastAsia="仿宋_GB2312" w:cs="Times New Roman"/>
                <w:color w:val="auto"/>
                <w:sz w:val="30"/>
                <w:szCs w:val="30"/>
                <w:highlight w:val="none"/>
              </w:rPr>
            </w:pPr>
          </w:p>
        </w:tc>
        <w:tc>
          <w:tcPr>
            <w:tcW w:w="1490" w:type="dxa"/>
            <w:shd w:val="clear" w:color="auto" w:fill="auto"/>
            <w:tcMar>
              <w:top w:w="75" w:type="dxa"/>
              <w:left w:w="120" w:type="dxa"/>
              <w:bottom w:w="75" w:type="dxa"/>
              <w:right w:w="120" w:type="dxa"/>
            </w:tcMar>
            <w:vAlign w:val="center"/>
          </w:tcPr>
          <w:p w14:paraId="08CDF425">
            <w:pPr>
              <w:jc w:val="center"/>
              <w:rPr>
                <w:rFonts w:hint="default" w:ascii="Times New Roman" w:hAnsi="Times New Roman" w:eastAsia="仿宋_GB2312" w:cs="Times New Roman"/>
                <w:color w:val="auto"/>
                <w:sz w:val="30"/>
                <w:szCs w:val="30"/>
                <w:highlight w:val="none"/>
              </w:rPr>
            </w:pPr>
          </w:p>
        </w:tc>
        <w:tc>
          <w:tcPr>
            <w:tcW w:w="1442" w:type="dxa"/>
            <w:shd w:val="clear" w:color="auto" w:fill="auto"/>
            <w:tcMar>
              <w:top w:w="75" w:type="dxa"/>
              <w:left w:w="120" w:type="dxa"/>
              <w:bottom w:w="75" w:type="dxa"/>
              <w:right w:w="120" w:type="dxa"/>
            </w:tcMar>
            <w:vAlign w:val="center"/>
          </w:tcPr>
          <w:p w14:paraId="3F33C46C">
            <w:pPr>
              <w:jc w:val="center"/>
              <w:rPr>
                <w:rFonts w:hint="default" w:ascii="Times New Roman" w:hAnsi="Times New Roman" w:eastAsia="仿宋_GB2312" w:cs="Times New Roman"/>
                <w:color w:val="auto"/>
                <w:sz w:val="30"/>
                <w:szCs w:val="30"/>
                <w:highlight w:val="none"/>
              </w:rPr>
            </w:pPr>
          </w:p>
        </w:tc>
      </w:tr>
      <w:tr w14:paraId="3FB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61" w:type="dxa"/>
            <w:shd w:val="clear" w:color="auto" w:fill="auto"/>
            <w:tcMar>
              <w:top w:w="75" w:type="dxa"/>
              <w:left w:w="0" w:type="dxa"/>
              <w:bottom w:w="75" w:type="dxa"/>
              <w:right w:w="120" w:type="dxa"/>
            </w:tcMar>
            <w:vAlign w:val="center"/>
          </w:tcPr>
          <w:p w14:paraId="31F8F056">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w:t>
            </w:r>
          </w:p>
        </w:tc>
        <w:tc>
          <w:tcPr>
            <w:tcW w:w="1581" w:type="dxa"/>
            <w:shd w:val="clear" w:color="auto" w:fill="auto"/>
            <w:tcMar>
              <w:top w:w="75" w:type="dxa"/>
              <w:left w:w="120" w:type="dxa"/>
              <w:bottom w:w="75" w:type="dxa"/>
              <w:right w:w="120" w:type="dxa"/>
            </w:tcMar>
            <w:vAlign w:val="center"/>
          </w:tcPr>
          <w:p w14:paraId="78BADEA9">
            <w:pPr>
              <w:jc w:val="center"/>
              <w:rPr>
                <w:rFonts w:hint="default" w:ascii="Times New Roman" w:hAnsi="Times New Roman" w:eastAsia="仿宋_GB2312" w:cs="Times New Roman"/>
                <w:color w:val="auto"/>
                <w:sz w:val="30"/>
                <w:szCs w:val="30"/>
                <w:highlight w:val="none"/>
              </w:rPr>
            </w:pPr>
          </w:p>
        </w:tc>
        <w:tc>
          <w:tcPr>
            <w:tcW w:w="1029" w:type="dxa"/>
            <w:shd w:val="clear" w:color="auto" w:fill="auto"/>
            <w:tcMar>
              <w:top w:w="75" w:type="dxa"/>
              <w:left w:w="120" w:type="dxa"/>
              <w:bottom w:w="75" w:type="dxa"/>
              <w:right w:w="120" w:type="dxa"/>
            </w:tcMar>
            <w:vAlign w:val="center"/>
          </w:tcPr>
          <w:p w14:paraId="37949785">
            <w:pPr>
              <w:jc w:val="center"/>
              <w:rPr>
                <w:rFonts w:hint="default" w:ascii="Times New Roman" w:hAnsi="Times New Roman" w:eastAsia="仿宋_GB2312" w:cs="Times New Roman"/>
                <w:color w:val="auto"/>
                <w:sz w:val="30"/>
                <w:szCs w:val="30"/>
                <w:highlight w:val="none"/>
              </w:rPr>
            </w:pPr>
          </w:p>
        </w:tc>
        <w:tc>
          <w:tcPr>
            <w:tcW w:w="1276" w:type="dxa"/>
            <w:shd w:val="clear" w:color="auto" w:fill="auto"/>
            <w:tcMar>
              <w:top w:w="75" w:type="dxa"/>
              <w:left w:w="120" w:type="dxa"/>
              <w:bottom w:w="75" w:type="dxa"/>
              <w:right w:w="120" w:type="dxa"/>
            </w:tcMar>
            <w:vAlign w:val="center"/>
          </w:tcPr>
          <w:p w14:paraId="0ACFDAC6">
            <w:pPr>
              <w:jc w:val="center"/>
              <w:rPr>
                <w:rFonts w:hint="default" w:ascii="Times New Roman" w:hAnsi="Times New Roman" w:eastAsia="仿宋_GB2312" w:cs="Times New Roman"/>
                <w:color w:val="auto"/>
                <w:sz w:val="30"/>
                <w:szCs w:val="30"/>
                <w:highlight w:val="none"/>
              </w:rPr>
            </w:pPr>
          </w:p>
        </w:tc>
        <w:tc>
          <w:tcPr>
            <w:tcW w:w="1490" w:type="dxa"/>
            <w:shd w:val="clear" w:color="auto" w:fill="auto"/>
            <w:tcMar>
              <w:top w:w="75" w:type="dxa"/>
              <w:left w:w="120" w:type="dxa"/>
              <w:bottom w:w="75" w:type="dxa"/>
              <w:right w:w="120" w:type="dxa"/>
            </w:tcMar>
            <w:vAlign w:val="center"/>
          </w:tcPr>
          <w:p w14:paraId="43AD706D">
            <w:pPr>
              <w:jc w:val="center"/>
              <w:rPr>
                <w:rFonts w:hint="default" w:ascii="Times New Roman" w:hAnsi="Times New Roman" w:eastAsia="仿宋_GB2312" w:cs="Times New Roman"/>
                <w:color w:val="auto"/>
                <w:sz w:val="30"/>
                <w:szCs w:val="30"/>
                <w:highlight w:val="none"/>
              </w:rPr>
            </w:pPr>
          </w:p>
        </w:tc>
        <w:tc>
          <w:tcPr>
            <w:tcW w:w="1442" w:type="dxa"/>
            <w:shd w:val="clear" w:color="auto" w:fill="auto"/>
            <w:tcMar>
              <w:top w:w="75" w:type="dxa"/>
              <w:left w:w="120" w:type="dxa"/>
              <w:bottom w:w="75" w:type="dxa"/>
              <w:right w:w="120" w:type="dxa"/>
            </w:tcMar>
            <w:vAlign w:val="center"/>
          </w:tcPr>
          <w:p w14:paraId="111E5F99">
            <w:pPr>
              <w:jc w:val="center"/>
              <w:rPr>
                <w:rFonts w:hint="default" w:ascii="Times New Roman" w:hAnsi="Times New Roman" w:eastAsia="仿宋_GB2312" w:cs="Times New Roman"/>
                <w:color w:val="auto"/>
                <w:sz w:val="30"/>
                <w:szCs w:val="30"/>
                <w:highlight w:val="none"/>
              </w:rPr>
            </w:pPr>
          </w:p>
        </w:tc>
      </w:tr>
      <w:tr w14:paraId="11FA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61" w:type="dxa"/>
            <w:shd w:val="clear" w:color="auto" w:fill="auto"/>
            <w:tcMar>
              <w:top w:w="75" w:type="dxa"/>
              <w:left w:w="0" w:type="dxa"/>
              <w:bottom w:w="75" w:type="dxa"/>
              <w:right w:w="120" w:type="dxa"/>
            </w:tcMar>
            <w:vAlign w:val="center"/>
          </w:tcPr>
          <w:p w14:paraId="1E93EC5A">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Style w:val="19"/>
                <w:rFonts w:hint="default" w:ascii="Times New Roman" w:hAnsi="Times New Roman" w:eastAsia="仿宋_GB2312" w:cs="Times New Roman"/>
                <w:b/>
                <w:bCs/>
                <w:color w:val="auto"/>
                <w:kern w:val="0"/>
                <w:sz w:val="30"/>
                <w:szCs w:val="30"/>
                <w:highlight w:val="none"/>
                <w:lang w:val="en-US" w:eastAsia="zh-CN" w:bidi="ar"/>
              </w:rPr>
              <w:t>总计</w:t>
            </w:r>
            <w:r>
              <w:rPr>
                <w:rFonts w:hint="default" w:ascii="Times New Roman" w:hAnsi="Times New Roman" w:eastAsia="仿宋_GB2312" w:cs="Times New Roman"/>
                <w:color w:val="auto"/>
                <w:kern w:val="0"/>
                <w:sz w:val="30"/>
                <w:szCs w:val="30"/>
                <w:highlight w:val="none"/>
                <w:lang w:val="en-US" w:eastAsia="zh-CN" w:bidi="ar"/>
              </w:rPr>
              <w:t>：</w:t>
            </w:r>
          </w:p>
        </w:tc>
        <w:tc>
          <w:tcPr>
            <w:tcW w:w="6818" w:type="dxa"/>
            <w:gridSpan w:val="5"/>
            <w:shd w:val="clear" w:color="auto" w:fill="auto"/>
            <w:tcMar>
              <w:top w:w="75" w:type="dxa"/>
              <w:left w:w="120" w:type="dxa"/>
              <w:bottom w:w="75" w:type="dxa"/>
              <w:right w:w="120" w:type="dxa"/>
            </w:tcMar>
            <w:vAlign w:val="center"/>
          </w:tcPr>
          <w:p w14:paraId="1C540D50">
            <w:pPr>
              <w:jc w:val="center"/>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重卡**台，自卸车**台</w:t>
            </w:r>
          </w:p>
        </w:tc>
      </w:tr>
    </w:tbl>
    <w:p w14:paraId="3CE849A4">
      <w:pPr>
        <w:pStyle w:val="15"/>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仿宋_GB2312" w:cs="Times New Roman"/>
          <w:i w:val="0"/>
          <w:iCs w:val="0"/>
          <w:caps w:val="0"/>
          <w:color w:val="auto"/>
          <w:spacing w:val="0"/>
          <w:sz w:val="30"/>
          <w:szCs w:val="30"/>
          <w:highlight w:val="none"/>
        </w:rPr>
      </w:pPr>
      <w:r>
        <w:rPr>
          <w:rStyle w:val="19"/>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三</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、车辆文件及随车物品交接清单</w:t>
      </w:r>
    </w:p>
    <w:tbl>
      <w:tblPr>
        <w:tblStyle w:val="17"/>
        <w:tblW w:w="82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263"/>
        <w:gridCol w:w="993"/>
        <w:gridCol w:w="4033"/>
      </w:tblGrid>
      <w:tr w14:paraId="20C2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263" w:type="dxa"/>
            <w:tcBorders>
              <w:top w:val="nil"/>
            </w:tcBorders>
            <w:shd w:val="clear" w:color="auto" w:fill="auto"/>
            <w:tcMar>
              <w:top w:w="75" w:type="dxa"/>
              <w:left w:w="0" w:type="dxa"/>
              <w:bottom w:w="75" w:type="dxa"/>
              <w:right w:w="120" w:type="dxa"/>
            </w:tcMar>
            <w:vAlign w:val="center"/>
          </w:tcPr>
          <w:p w14:paraId="5B2B409A">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文件/物品名称</w:t>
            </w:r>
          </w:p>
        </w:tc>
        <w:tc>
          <w:tcPr>
            <w:tcW w:w="993" w:type="dxa"/>
            <w:tcBorders>
              <w:top w:val="nil"/>
            </w:tcBorders>
            <w:shd w:val="clear" w:color="auto" w:fill="auto"/>
            <w:tcMar>
              <w:top w:w="75" w:type="dxa"/>
              <w:left w:w="120" w:type="dxa"/>
              <w:bottom w:w="75" w:type="dxa"/>
              <w:right w:w="120" w:type="dxa"/>
            </w:tcMar>
            <w:vAlign w:val="center"/>
          </w:tcPr>
          <w:p w14:paraId="3308A6D7">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数量</w:t>
            </w:r>
          </w:p>
        </w:tc>
        <w:tc>
          <w:tcPr>
            <w:tcW w:w="4033" w:type="dxa"/>
            <w:tcBorders>
              <w:top w:val="nil"/>
            </w:tcBorders>
            <w:shd w:val="clear" w:color="auto" w:fill="auto"/>
            <w:tcMar>
              <w:top w:w="75" w:type="dxa"/>
              <w:left w:w="120" w:type="dxa"/>
              <w:bottom w:w="75" w:type="dxa"/>
              <w:right w:w="120" w:type="dxa"/>
            </w:tcMar>
            <w:vAlign w:val="center"/>
          </w:tcPr>
          <w:p w14:paraId="3A611E27">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移交情况（完好/缺失/备注）</w:t>
            </w:r>
          </w:p>
        </w:tc>
      </w:tr>
      <w:tr w14:paraId="5F18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7D096376">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机动车登记证书</w:t>
            </w:r>
          </w:p>
        </w:tc>
        <w:tc>
          <w:tcPr>
            <w:tcW w:w="993" w:type="dxa"/>
            <w:shd w:val="clear" w:color="auto" w:fill="auto"/>
            <w:tcMar>
              <w:top w:w="75" w:type="dxa"/>
              <w:left w:w="120" w:type="dxa"/>
              <w:bottom w:w="75" w:type="dxa"/>
              <w:right w:w="120" w:type="dxa"/>
            </w:tcMar>
            <w:vAlign w:val="center"/>
          </w:tcPr>
          <w:p w14:paraId="3E16DA7F">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6186E6DA">
            <w:pPr>
              <w:jc w:val="center"/>
              <w:rPr>
                <w:rFonts w:hint="default" w:ascii="Times New Roman" w:hAnsi="Times New Roman" w:eastAsia="仿宋_GB2312" w:cs="Times New Roman"/>
                <w:color w:val="auto"/>
                <w:sz w:val="30"/>
                <w:szCs w:val="30"/>
                <w:highlight w:val="none"/>
              </w:rPr>
            </w:pPr>
          </w:p>
        </w:tc>
      </w:tr>
      <w:tr w14:paraId="24DE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54E4B2EB">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车辆行驶证</w:t>
            </w:r>
          </w:p>
        </w:tc>
        <w:tc>
          <w:tcPr>
            <w:tcW w:w="993" w:type="dxa"/>
            <w:shd w:val="clear" w:color="auto" w:fill="auto"/>
            <w:tcMar>
              <w:top w:w="75" w:type="dxa"/>
              <w:left w:w="120" w:type="dxa"/>
              <w:bottom w:w="75" w:type="dxa"/>
              <w:right w:w="120" w:type="dxa"/>
            </w:tcMar>
            <w:vAlign w:val="center"/>
          </w:tcPr>
          <w:p w14:paraId="34285C14">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6CCFCECA">
            <w:pPr>
              <w:jc w:val="center"/>
              <w:rPr>
                <w:rFonts w:hint="default" w:ascii="Times New Roman" w:hAnsi="Times New Roman" w:eastAsia="仿宋_GB2312" w:cs="Times New Roman"/>
                <w:color w:val="auto"/>
                <w:sz w:val="30"/>
                <w:szCs w:val="30"/>
                <w:highlight w:val="none"/>
              </w:rPr>
            </w:pPr>
          </w:p>
        </w:tc>
      </w:tr>
      <w:tr w14:paraId="19F6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171A474A">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完税证明</w:t>
            </w:r>
          </w:p>
        </w:tc>
        <w:tc>
          <w:tcPr>
            <w:tcW w:w="993" w:type="dxa"/>
            <w:shd w:val="clear" w:color="auto" w:fill="auto"/>
            <w:tcMar>
              <w:top w:w="75" w:type="dxa"/>
              <w:left w:w="120" w:type="dxa"/>
              <w:bottom w:w="75" w:type="dxa"/>
              <w:right w:w="120" w:type="dxa"/>
            </w:tcMar>
            <w:vAlign w:val="center"/>
          </w:tcPr>
          <w:p w14:paraId="1DD5A547">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181C2469">
            <w:pPr>
              <w:jc w:val="center"/>
              <w:rPr>
                <w:rFonts w:hint="default" w:ascii="Times New Roman" w:hAnsi="Times New Roman" w:eastAsia="仿宋_GB2312" w:cs="Times New Roman"/>
                <w:color w:val="auto"/>
                <w:sz w:val="30"/>
                <w:szCs w:val="30"/>
                <w:highlight w:val="none"/>
              </w:rPr>
            </w:pPr>
          </w:p>
        </w:tc>
      </w:tr>
      <w:tr w14:paraId="2826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11E22716">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车辆登记入户相关文件</w:t>
            </w:r>
          </w:p>
        </w:tc>
        <w:tc>
          <w:tcPr>
            <w:tcW w:w="993" w:type="dxa"/>
            <w:shd w:val="clear" w:color="auto" w:fill="auto"/>
            <w:tcMar>
              <w:top w:w="75" w:type="dxa"/>
              <w:left w:w="120" w:type="dxa"/>
              <w:bottom w:w="75" w:type="dxa"/>
              <w:right w:w="120" w:type="dxa"/>
            </w:tcMar>
            <w:vAlign w:val="center"/>
          </w:tcPr>
          <w:p w14:paraId="10C05042">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49DB95B6">
            <w:pPr>
              <w:jc w:val="center"/>
              <w:rPr>
                <w:rFonts w:hint="default" w:ascii="Times New Roman" w:hAnsi="Times New Roman" w:eastAsia="仿宋_GB2312" w:cs="Times New Roman"/>
                <w:color w:val="auto"/>
                <w:sz w:val="30"/>
                <w:szCs w:val="30"/>
                <w:highlight w:val="none"/>
              </w:rPr>
            </w:pPr>
          </w:p>
        </w:tc>
      </w:tr>
      <w:tr w14:paraId="3B4F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5702245A">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lang w:val="en-US"/>
              </w:rPr>
            </w:pPr>
            <w:r>
              <w:rPr>
                <w:rFonts w:hint="eastAsia" w:ascii="Times New Roman" w:hAnsi="Times New Roman" w:eastAsia="仿宋_GB2312" w:cs="Times New Roman"/>
                <w:color w:val="auto"/>
                <w:kern w:val="0"/>
                <w:sz w:val="30"/>
                <w:szCs w:val="30"/>
                <w:highlight w:val="none"/>
                <w:lang w:val="en-US" w:eastAsia="zh-CN" w:bidi="ar"/>
              </w:rPr>
              <w:t>质量服务卡或保修手册</w:t>
            </w:r>
          </w:p>
        </w:tc>
        <w:tc>
          <w:tcPr>
            <w:tcW w:w="993" w:type="dxa"/>
            <w:shd w:val="clear" w:color="auto" w:fill="auto"/>
            <w:tcMar>
              <w:top w:w="75" w:type="dxa"/>
              <w:left w:w="120" w:type="dxa"/>
              <w:bottom w:w="75" w:type="dxa"/>
              <w:right w:w="120" w:type="dxa"/>
            </w:tcMar>
            <w:vAlign w:val="center"/>
          </w:tcPr>
          <w:p w14:paraId="2E5CE3FC">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1502CE3D">
            <w:pPr>
              <w:jc w:val="center"/>
              <w:rPr>
                <w:rFonts w:hint="default" w:ascii="Times New Roman" w:hAnsi="Times New Roman" w:eastAsia="仿宋_GB2312" w:cs="Times New Roman"/>
                <w:color w:val="auto"/>
                <w:sz w:val="30"/>
                <w:szCs w:val="30"/>
                <w:highlight w:val="none"/>
              </w:rPr>
            </w:pPr>
          </w:p>
        </w:tc>
      </w:tr>
      <w:tr w14:paraId="528C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3A2EB381">
            <w:pPr>
              <w:keepNext w:val="0"/>
              <w:keepLines w:val="0"/>
              <w:widowControl/>
              <w:suppressLineNumbers w:val="0"/>
              <w:spacing w:line="188" w:lineRule="atLeast"/>
              <w:jc w:val="center"/>
              <w:rPr>
                <w:rFonts w:hint="eastAsia" w:ascii="Times New Roman" w:hAnsi="Times New Roman" w:eastAsia="仿宋_GB2312" w:cs="Times New Roman"/>
                <w:color w:val="auto"/>
                <w:kern w:val="0"/>
                <w:sz w:val="30"/>
                <w:szCs w:val="30"/>
                <w:highlight w:val="none"/>
                <w:lang w:val="en-US" w:eastAsia="zh-CN" w:bidi="ar"/>
              </w:rPr>
            </w:pPr>
            <w:r>
              <w:rPr>
                <w:rFonts w:hint="eastAsia" w:ascii="Times New Roman" w:hAnsi="Times New Roman" w:eastAsia="仿宋_GB2312" w:cs="Times New Roman"/>
                <w:color w:val="auto"/>
                <w:kern w:val="0"/>
                <w:sz w:val="30"/>
                <w:szCs w:val="30"/>
                <w:highlight w:val="none"/>
                <w:lang w:val="en-US" w:eastAsia="zh-CN" w:bidi="ar"/>
              </w:rPr>
              <w:t>车辆使用说明书或</w:t>
            </w:r>
          </w:p>
          <w:p w14:paraId="2A1E7F7B">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lang w:val="en-US"/>
              </w:rPr>
            </w:pPr>
            <w:r>
              <w:rPr>
                <w:rFonts w:hint="eastAsia" w:ascii="Times New Roman" w:hAnsi="Times New Roman" w:eastAsia="仿宋_GB2312" w:cs="Times New Roman"/>
                <w:color w:val="auto"/>
                <w:kern w:val="0"/>
                <w:sz w:val="30"/>
                <w:szCs w:val="30"/>
                <w:highlight w:val="none"/>
                <w:lang w:val="en-US" w:eastAsia="zh-CN" w:bidi="ar"/>
              </w:rPr>
              <w:t>用户手册</w:t>
            </w:r>
          </w:p>
        </w:tc>
        <w:tc>
          <w:tcPr>
            <w:tcW w:w="993" w:type="dxa"/>
            <w:shd w:val="clear" w:color="auto" w:fill="auto"/>
            <w:tcMar>
              <w:top w:w="75" w:type="dxa"/>
              <w:left w:w="120" w:type="dxa"/>
              <w:bottom w:w="75" w:type="dxa"/>
              <w:right w:w="120" w:type="dxa"/>
            </w:tcMar>
            <w:vAlign w:val="center"/>
          </w:tcPr>
          <w:p w14:paraId="2B617D30">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6E3FE692">
            <w:pPr>
              <w:jc w:val="center"/>
              <w:rPr>
                <w:rFonts w:hint="default" w:ascii="Times New Roman" w:hAnsi="Times New Roman" w:eastAsia="仿宋_GB2312" w:cs="Times New Roman"/>
                <w:color w:val="auto"/>
                <w:sz w:val="30"/>
                <w:szCs w:val="30"/>
                <w:highlight w:val="none"/>
              </w:rPr>
            </w:pPr>
          </w:p>
        </w:tc>
      </w:tr>
      <w:tr w14:paraId="3719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52E98901">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lang w:val="en-US"/>
              </w:rPr>
            </w:pPr>
            <w:r>
              <w:rPr>
                <w:rFonts w:hint="default" w:ascii="Times New Roman" w:hAnsi="Times New Roman" w:eastAsia="仿宋_GB2312" w:cs="Times New Roman"/>
                <w:color w:val="auto"/>
                <w:kern w:val="0"/>
                <w:sz w:val="30"/>
                <w:szCs w:val="30"/>
                <w:highlight w:val="none"/>
                <w:lang w:val="en-US" w:eastAsia="zh-CN" w:bidi="ar"/>
              </w:rPr>
              <w:t>随车工具</w:t>
            </w:r>
            <w:r>
              <w:rPr>
                <w:rFonts w:hint="eastAsia" w:ascii="Times New Roman" w:hAnsi="Times New Roman" w:eastAsia="仿宋_GB2312" w:cs="Times New Roman"/>
                <w:color w:val="auto"/>
                <w:kern w:val="0"/>
                <w:sz w:val="30"/>
                <w:szCs w:val="30"/>
                <w:highlight w:val="none"/>
                <w:lang w:val="en-US" w:eastAsia="zh-CN" w:bidi="ar"/>
              </w:rPr>
              <w:t>及备件清单</w:t>
            </w:r>
          </w:p>
        </w:tc>
        <w:tc>
          <w:tcPr>
            <w:tcW w:w="993" w:type="dxa"/>
            <w:shd w:val="clear" w:color="auto" w:fill="auto"/>
            <w:tcMar>
              <w:top w:w="75" w:type="dxa"/>
              <w:left w:w="120" w:type="dxa"/>
              <w:bottom w:w="75" w:type="dxa"/>
              <w:right w:w="120" w:type="dxa"/>
            </w:tcMar>
            <w:vAlign w:val="center"/>
          </w:tcPr>
          <w:p w14:paraId="0E37F9E9">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65C6562F">
            <w:pPr>
              <w:jc w:val="center"/>
              <w:rPr>
                <w:rFonts w:hint="default" w:ascii="Times New Roman" w:hAnsi="Times New Roman" w:eastAsia="仿宋_GB2312" w:cs="Times New Roman"/>
                <w:color w:val="auto"/>
                <w:sz w:val="30"/>
                <w:szCs w:val="30"/>
                <w:highlight w:val="none"/>
              </w:rPr>
            </w:pPr>
          </w:p>
        </w:tc>
      </w:tr>
      <w:tr w14:paraId="0011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04D01F5F">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lang w:val="en-US"/>
              </w:rPr>
            </w:pPr>
            <w:r>
              <w:rPr>
                <w:rFonts w:hint="eastAsia" w:ascii="Times New Roman" w:hAnsi="Times New Roman" w:eastAsia="仿宋_GB2312" w:cs="Times New Roman"/>
                <w:color w:val="auto"/>
                <w:kern w:val="0"/>
                <w:sz w:val="30"/>
                <w:szCs w:val="30"/>
                <w:highlight w:val="none"/>
                <w:lang w:val="en-US" w:eastAsia="zh-CN" w:bidi="ar"/>
              </w:rPr>
              <w:t>三包凭证</w:t>
            </w:r>
          </w:p>
        </w:tc>
        <w:tc>
          <w:tcPr>
            <w:tcW w:w="993" w:type="dxa"/>
            <w:shd w:val="clear" w:color="auto" w:fill="auto"/>
            <w:tcMar>
              <w:top w:w="75" w:type="dxa"/>
              <w:left w:w="120" w:type="dxa"/>
              <w:bottom w:w="75" w:type="dxa"/>
              <w:right w:w="120" w:type="dxa"/>
            </w:tcMar>
            <w:vAlign w:val="center"/>
          </w:tcPr>
          <w:p w14:paraId="1415E070">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3D2D035A">
            <w:pPr>
              <w:jc w:val="center"/>
              <w:rPr>
                <w:rFonts w:hint="default" w:ascii="Times New Roman" w:hAnsi="Times New Roman" w:eastAsia="仿宋_GB2312" w:cs="Times New Roman"/>
                <w:color w:val="auto"/>
                <w:sz w:val="30"/>
                <w:szCs w:val="30"/>
                <w:highlight w:val="none"/>
              </w:rPr>
            </w:pPr>
          </w:p>
        </w:tc>
      </w:tr>
      <w:tr w14:paraId="0060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263" w:type="dxa"/>
            <w:shd w:val="clear" w:color="auto" w:fill="auto"/>
            <w:tcMar>
              <w:top w:w="75" w:type="dxa"/>
              <w:left w:w="0" w:type="dxa"/>
              <w:bottom w:w="75" w:type="dxa"/>
              <w:right w:w="120" w:type="dxa"/>
            </w:tcMar>
            <w:vAlign w:val="center"/>
          </w:tcPr>
          <w:p w14:paraId="1DF74A13">
            <w:pPr>
              <w:keepNext w:val="0"/>
              <w:keepLines w:val="0"/>
              <w:widowControl/>
              <w:suppressLineNumbers w:val="0"/>
              <w:spacing w:line="188" w:lineRule="atLeast"/>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其他：______________</w:t>
            </w:r>
          </w:p>
        </w:tc>
        <w:tc>
          <w:tcPr>
            <w:tcW w:w="993" w:type="dxa"/>
            <w:shd w:val="clear" w:color="auto" w:fill="auto"/>
            <w:tcMar>
              <w:top w:w="75" w:type="dxa"/>
              <w:left w:w="120" w:type="dxa"/>
              <w:bottom w:w="75" w:type="dxa"/>
              <w:right w:w="120" w:type="dxa"/>
            </w:tcMar>
            <w:vAlign w:val="center"/>
          </w:tcPr>
          <w:p w14:paraId="191D9548">
            <w:pPr>
              <w:jc w:val="center"/>
              <w:rPr>
                <w:rFonts w:hint="default" w:ascii="Times New Roman" w:hAnsi="Times New Roman" w:eastAsia="仿宋_GB2312" w:cs="Times New Roman"/>
                <w:color w:val="auto"/>
                <w:sz w:val="30"/>
                <w:szCs w:val="30"/>
                <w:highlight w:val="none"/>
              </w:rPr>
            </w:pPr>
          </w:p>
        </w:tc>
        <w:tc>
          <w:tcPr>
            <w:tcW w:w="4033" w:type="dxa"/>
            <w:shd w:val="clear" w:color="auto" w:fill="auto"/>
            <w:tcMar>
              <w:top w:w="75" w:type="dxa"/>
              <w:left w:w="120" w:type="dxa"/>
              <w:bottom w:w="75" w:type="dxa"/>
              <w:right w:w="0" w:type="dxa"/>
            </w:tcMar>
            <w:vAlign w:val="center"/>
          </w:tcPr>
          <w:p w14:paraId="3415EDDA">
            <w:pPr>
              <w:jc w:val="center"/>
              <w:rPr>
                <w:rFonts w:hint="default" w:ascii="Times New Roman" w:hAnsi="Times New Roman" w:eastAsia="仿宋_GB2312" w:cs="Times New Roman"/>
                <w:color w:val="auto"/>
                <w:sz w:val="30"/>
                <w:szCs w:val="30"/>
                <w:highlight w:val="none"/>
              </w:rPr>
            </w:pPr>
          </w:p>
        </w:tc>
      </w:tr>
    </w:tbl>
    <w:p w14:paraId="0A9F2471">
      <w:pPr>
        <w:pStyle w:val="15"/>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仿宋_GB2312" w:cs="Times New Roman"/>
          <w:i w:val="0"/>
          <w:iCs w:val="0"/>
          <w:caps w:val="0"/>
          <w:color w:val="auto"/>
          <w:spacing w:val="0"/>
          <w:sz w:val="30"/>
          <w:szCs w:val="30"/>
          <w:highlight w:val="none"/>
        </w:rPr>
      </w:pPr>
      <w:r>
        <w:rPr>
          <w:rStyle w:val="19"/>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四</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、车辆状况确认</w:t>
      </w:r>
    </w:p>
    <w:p w14:paraId="315756D5">
      <w:pPr>
        <w:pStyle w:val="15"/>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1.</w:t>
      </w:r>
      <w:r>
        <w:rPr>
          <w:rFonts w:hint="default" w:ascii="Times New Roman" w:hAnsi="Times New Roman" w:eastAsia="仿宋_GB2312" w:cs="Times New Roman"/>
          <w:b/>
          <w:bCs/>
          <w:i w:val="0"/>
          <w:iCs w:val="0"/>
          <w:caps w:val="0"/>
          <w:color w:val="auto"/>
          <w:spacing w:val="0"/>
          <w:sz w:val="30"/>
          <w:szCs w:val="30"/>
          <w:highlight w:val="none"/>
          <w:shd w:val="clear" w:fill="FFFFFF"/>
        </w:rPr>
        <w:t>车身是否存在结构性损伤、变形：</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 xml:space="preserve">□是 / </w:t>
      </w:r>
      <w:r>
        <w:rPr>
          <w:rStyle w:val="19"/>
          <w:rFonts w:hint="eastAsia" w:ascii="Times New Roman" w:hAnsi="Times New Roman" w:eastAsia="仿宋_GB2312" w:cs="Times New Roman"/>
          <w:b/>
          <w:bCs/>
          <w:i w:val="0"/>
          <w:iCs w:val="0"/>
          <w:caps w:val="0"/>
          <w:color w:val="auto"/>
          <w:spacing w:val="0"/>
          <w:sz w:val="30"/>
          <w:szCs w:val="30"/>
          <w:highlight w:val="none"/>
          <w:shd w:val="clear" w:fill="FFFFFF"/>
          <w:lang w:eastAsia="zh-CN"/>
        </w:rPr>
        <w:t>□</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否</w:t>
      </w:r>
      <w:r>
        <w:rPr>
          <w:rFonts w:hint="default" w:ascii="Times New Roman" w:hAnsi="Times New Roman" w:eastAsia="仿宋_GB2312" w:cs="Times New Roman"/>
          <w:i w:val="0"/>
          <w:iCs w:val="0"/>
          <w:caps w:val="0"/>
          <w:color w:val="auto"/>
          <w:spacing w:val="0"/>
          <w:sz w:val="30"/>
          <w:szCs w:val="30"/>
          <w:highlight w:val="none"/>
          <w:shd w:val="clear" w:fill="FFFFFF"/>
        </w:rPr>
        <w:t>（如“是”，详见备注）。</w:t>
      </w:r>
    </w:p>
    <w:p w14:paraId="4C4F07A0">
      <w:pPr>
        <w:pStyle w:val="15"/>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2.</w:t>
      </w:r>
      <w:r>
        <w:rPr>
          <w:rFonts w:hint="default" w:ascii="Times New Roman" w:hAnsi="Times New Roman" w:eastAsia="仿宋_GB2312" w:cs="Times New Roman"/>
          <w:b/>
          <w:bCs/>
          <w:i w:val="0"/>
          <w:iCs w:val="0"/>
          <w:caps w:val="0"/>
          <w:color w:val="auto"/>
          <w:spacing w:val="0"/>
          <w:sz w:val="30"/>
          <w:szCs w:val="30"/>
          <w:highlight w:val="none"/>
          <w:shd w:val="clear" w:fill="FFFFFF"/>
        </w:rPr>
        <w:t>车辆外部油漆是否完好，无明显划痕、锈蚀：</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□是 / □否</w:t>
      </w:r>
      <w:r>
        <w:rPr>
          <w:rFonts w:hint="default" w:ascii="Times New Roman" w:hAnsi="Times New Roman" w:eastAsia="仿宋_GB2312" w:cs="Times New Roman"/>
          <w:i w:val="0"/>
          <w:iCs w:val="0"/>
          <w:caps w:val="0"/>
          <w:color w:val="auto"/>
          <w:spacing w:val="0"/>
          <w:sz w:val="30"/>
          <w:szCs w:val="30"/>
          <w:highlight w:val="none"/>
          <w:shd w:val="clear" w:fill="FFFFFF"/>
        </w:rPr>
        <w:t>。</w:t>
      </w:r>
    </w:p>
    <w:p w14:paraId="4DAD02C7">
      <w:pPr>
        <w:pStyle w:val="15"/>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3.</w:t>
      </w:r>
      <w:r>
        <w:rPr>
          <w:rFonts w:hint="default" w:ascii="Times New Roman" w:hAnsi="Times New Roman" w:eastAsia="仿宋_GB2312" w:cs="Times New Roman"/>
          <w:b/>
          <w:bCs/>
          <w:i w:val="0"/>
          <w:iCs w:val="0"/>
          <w:caps w:val="0"/>
          <w:color w:val="auto"/>
          <w:spacing w:val="0"/>
          <w:sz w:val="30"/>
          <w:szCs w:val="30"/>
          <w:highlight w:val="none"/>
          <w:shd w:val="clear" w:fill="FFFFFF"/>
        </w:rPr>
        <w:t>甲方指定的企业标识、Logo是否完整、清晰、无褪色：</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□是 / □否</w:t>
      </w:r>
      <w:r>
        <w:rPr>
          <w:rFonts w:hint="default" w:ascii="Times New Roman" w:hAnsi="Times New Roman" w:eastAsia="仿宋_GB2312" w:cs="Times New Roman"/>
          <w:i w:val="0"/>
          <w:iCs w:val="0"/>
          <w:caps w:val="0"/>
          <w:color w:val="auto"/>
          <w:spacing w:val="0"/>
          <w:sz w:val="30"/>
          <w:szCs w:val="30"/>
          <w:highlight w:val="none"/>
          <w:shd w:val="clear" w:fill="FFFFFF"/>
        </w:rPr>
        <w:t>（如“否”，乙方已于______年______月______日完成修复）。</w:t>
      </w:r>
    </w:p>
    <w:p w14:paraId="7E70BE2E">
      <w:pPr>
        <w:pStyle w:val="15"/>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4.</w:t>
      </w:r>
      <w:r>
        <w:rPr>
          <w:rFonts w:hint="default" w:ascii="Times New Roman" w:hAnsi="Times New Roman" w:eastAsia="仿宋_GB2312" w:cs="Times New Roman"/>
          <w:b/>
          <w:bCs/>
          <w:i w:val="0"/>
          <w:iCs w:val="0"/>
          <w:caps w:val="0"/>
          <w:color w:val="auto"/>
          <w:spacing w:val="0"/>
          <w:sz w:val="30"/>
          <w:szCs w:val="30"/>
          <w:highlight w:val="none"/>
          <w:shd w:val="clear" w:fill="FFFFFF"/>
        </w:rPr>
        <w:t>是否存在未经甲方书面同意的改装或加装：</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□是 / □否</w:t>
      </w:r>
      <w:r>
        <w:rPr>
          <w:rFonts w:hint="default" w:ascii="Times New Roman" w:hAnsi="Times New Roman" w:eastAsia="仿宋_GB2312" w:cs="Times New Roman"/>
          <w:i w:val="0"/>
          <w:iCs w:val="0"/>
          <w:caps w:val="0"/>
          <w:color w:val="auto"/>
          <w:spacing w:val="0"/>
          <w:sz w:val="30"/>
          <w:szCs w:val="30"/>
          <w:highlight w:val="none"/>
          <w:shd w:val="clear" w:fill="FFFFFF"/>
        </w:rPr>
        <w:t>（如“是”，详见备注）。</w:t>
      </w:r>
    </w:p>
    <w:p w14:paraId="3426FBC9">
      <w:pPr>
        <w:pStyle w:val="15"/>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仿宋_GB2312" w:cs="Times New Roman"/>
          <w:i w:val="0"/>
          <w:iCs w:val="0"/>
          <w:caps w:val="0"/>
          <w:color w:val="auto"/>
          <w:spacing w:val="0"/>
          <w:sz w:val="30"/>
          <w:szCs w:val="30"/>
          <w:highlight w:val="none"/>
        </w:rPr>
      </w:pPr>
      <w:r>
        <w:rPr>
          <w:rStyle w:val="19"/>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五</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、交接结论</w:t>
      </w:r>
    </w:p>
    <w:p w14:paraId="2382BFDE">
      <w:pPr>
        <w:pStyle w:val="15"/>
        <w:keepNext w:val="0"/>
        <w:keepLines w:val="0"/>
        <w:widowControl/>
        <w:suppressLineNumbers w:val="0"/>
        <w:shd w:val="clear" w:fill="FFFFFF"/>
        <w:spacing w:before="120" w:beforeAutospacing="0" w:after="120" w:afterAutospacing="0"/>
        <w:ind w:left="0" w:right="0" w:firstLine="600" w:firstLineChars="200"/>
        <w:rPr>
          <w:rFonts w:hint="default" w:ascii="Times New Roman" w:hAnsi="Times New Roman" w:eastAsia="仿宋_GB2312" w:cs="Times New Roman"/>
          <w:i w:val="0"/>
          <w:iCs w:val="0"/>
          <w:caps w:val="0"/>
          <w:color w:val="auto"/>
          <w:spacing w:val="0"/>
          <w:sz w:val="30"/>
          <w:szCs w:val="30"/>
          <w:highlight w:val="none"/>
        </w:rPr>
      </w:pPr>
      <w:r>
        <w:rPr>
          <w:rFonts w:hint="default" w:ascii="Times New Roman" w:hAnsi="Times New Roman" w:eastAsia="仿宋_GB2312" w:cs="Times New Roman"/>
          <w:i w:val="0"/>
          <w:iCs w:val="0"/>
          <w:caps w:val="0"/>
          <w:color w:val="auto"/>
          <w:spacing w:val="0"/>
          <w:sz w:val="30"/>
          <w:szCs w:val="30"/>
          <w:highlight w:val="none"/>
          <w:shd w:val="clear" w:fill="FFFFFF"/>
        </w:rPr>
        <w:t>经双方现场清点与确认：</w:t>
      </w:r>
    </w:p>
    <w:p w14:paraId="76C3EDD5">
      <w:pPr>
        <w:pStyle w:val="15"/>
        <w:keepNext w:val="0"/>
        <w:keepLines w:val="0"/>
        <w:widowControl/>
        <w:suppressLineNumbers w:val="0"/>
        <w:spacing w:before="0" w:beforeAutospacing="0" w:after="0" w:afterAutospacing="0"/>
        <w:ind w:left="0" w:right="0"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i w:val="0"/>
          <w:iCs w:val="0"/>
          <w:caps w:val="0"/>
          <w:color w:val="auto"/>
          <w:spacing w:val="0"/>
          <w:sz w:val="30"/>
          <w:szCs w:val="30"/>
          <w:highlight w:val="none"/>
          <w:shd w:val="clear" w:fill="FFFFFF"/>
        </w:rPr>
        <w:t>甲方确认已收到本确认书第一、二条所列的全部车辆、文件及物品。双方确认，上述车辆的状况、外观及随车物品 </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□符合 / □基本符合 / □不符合</w:t>
      </w:r>
      <w:r>
        <w:rPr>
          <w:rFonts w:hint="default" w:ascii="Times New Roman" w:hAnsi="Times New Roman" w:eastAsia="仿宋_GB2312" w:cs="Times New Roman"/>
          <w:i w:val="0"/>
          <w:iCs w:val="0"/>
          <w:caps w:val="0"/>
          <w:color w:val="auto"/>
          <w:spacing w:val="0"/>
          <w:sz w:val="30"/>
          <w:szCs w:val="30"/>
          <w:highlight w:val="none"/>
          <w:shd w:val="clear" w:fill="FFFFFF"/>
        </w:rPr>
        <w:t> 原合同约定的移交标准。</w:t>
      </w:r>
    </w:p>
    <w:p w14:paraId="5300C212">
      <w:pPr>
        <w:pStyle w:val="15"/>
        <w:keepNext w:val="0"/>
        <w:keepLines w:val="0"/>
        <w:widowControl/>
        <w:suppressLineNumbers w:val="0"/>
        <w:spacing w:before="0" w:beforeAutospacing="0" w:after="0" w:afterAutospacing="0"/>
        <w:ind w:left="0" w:right="0"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i w:val="0"/>
          <w:iCs w:val="0"/>
          <w:caps w:val="0"/>
          <w:color w:val="auto"/>
          <w:spacing w:val="0"/>
          <w:sz w:val="30"/>
          <w:szCs w:val="30"/>
          <w:highlight w:val="none"/>
          <w:shd w:val="clear" w:fill="FFFFFF"/>
        </w:rPr>
        <w:t>对于存在不符合项的车辆，双方同意按以下第______种方式处理：</w:t>
      </w:r>
      <w:r>
        <w:rPr>
          <w:rFonts w:hint="default" w:ascii="Times New Roman" w:hAnsi="Times New Roman" w:eastAsia="仿宋_GB2312" w:cs="Times New Roman"/>
          <w:i w:val="0"/>
          <w:iCs w:val="0"/>
          <w:caps w:val="0"/>
          <w:color w:val="auto"/>
          <w:spacing w:val="0"/>
          <w:sz w:val="30"/>
          <w:szCs w:val="30"/>
          <w:highlight w:val="none"/>
          <w:shd w:val="clear" w:fill="FFFFFF"/>
        </w:rPr>
        <w:br w:type="textWrapping"/>
      </w:r>
      <w:r>
        <w:rPr>
          <w:rFonts w:hint="default" w:ascii="Times New Roman" w:hAnsi="Times New Roman" w:eastAsia="仿宋_GB2312" w:cs="Times New Roman"/>
          <w:i w:val="0"/>
          <w:iCs w:val="0"/>
          <w:caps w:val="0"/>
          <w:color w:val="auto"/>
          <w:spacing w:val="0"/>
          <w:sz w:val="30"/>
          <w:szCs w:val="30"/>
          <w:highlight w:val="none"/>
          <w:shd w:val="clear" w:fill="FFFFFF"/>
        </w:rPr>
        <w:t>（1）乙方在______年______月______日前自费完成修复，并再次经甲方验收。</w:t>
      </w:r>
      <w:r>
        <w:rPr>
          <w:rFonts w:hint="default" w:ascii="Times New Roman" w:hAnsi="Times New Roman" w:eastAsia="仿宋_GB2312" w:cs="Times New Roman"/>
          <w:i w:val="0"/>
          <w:iCs w:val="0"/>
          <w:caps w:val="0"/>
          <w:color w:val="auto"/>
          <w:spacing w:val="0"/>
          <w:sz w:val="30"/>
          <w:szCs w:val="30"/>
          <w:highlight w:val="none"/>
          <w:shd w:val="clear" w:fill="FFFFFF"/>
        </w:rPr>
        <w:br w:type="textWrapping"/>
      </w:r>
      <w:r>
        <w:rPr>
          <w:rFonts w:hint="eastAsia" w:ascii="Times New Roman" w:hAnsi="Times New Roman" w:eastAsia="仿宋_GB2312" w:cs="Times New Roman"/>
          <w:i w:val="0"/>
          <w:iCs w:val="0"/>
          <w:caps w:val="0"/>
          <w:color w:val="auto"/>
          <w:spacing w:val="0"/>
          <w:sz w:val="30"/>
          <w:szCs w:val="30"/>
          <w:highlight w:val="none"/>
          <w:shd w:val="clear" w:fill="FFFFFF"/>
          <w:lang w:eastAsia="zh-CN"/>
        </w:rPr>
        <w:t>（</w:t>
      </w:r>
      <w:r>
        <w:rPr>
          <w:rFonts w:hint="eastAsia" w:ascii="Times New Roman" w:hAnsi="Times New Roman" w:eastAsia="仿宋_GB2312" w:cs="Times New Roman"/>
          <w:i w:val="0"/>
          <w:iCs w:val="0"/>
          <w:caps w:val="0"/>
          <w:color w:val="auto"/>
          <w:spacing w:val="0"/>
          <w:sz w:val="30"/>
          <w:szCs w:val="30"/>
          <w:highlight w:val="none"/>
          <w:shd w:val="clear" w:fill="FFFFFF"/>
          <w:lang w:val="en-US" w:eastAsia="zh-CN"/>
        </w:rPr>
        <w:t>2</w:t>
      </w:r>
      <w:r>
        <w:rPr>
          <w:rFonts w:hint="default" w:ascii="Times New Roman" w:hAnsi="Times New Roman" w:eastAsia="仿宋_GB2312" w:cs="Times New Roman"/>
          <w:i w:val="0"/>
          <w:iCs w:val="0"/>
          <w:caps w:val="0"/>
          <w:color w:val="auto"/>
          <w:spacing w:val="0"/>
          <w:sz w:val="30"/>
          <w:szCs w:val="30"/>
          <w:highlight w:val="none"/>
          <w:shd w:val="clear" w:fill="FFFFFF"/>
        </w:rPr>
        <w:t>）其他：___________</w:t>
      </w:r>
      <w:r>
        <w:rPr>
          <w:rFonts w:hint="eastAsia" w:ascii="Times New Roman" w:hAnsi="Times New Roman" w:eastAsia="仿宋_GB2312" w:cs="Times New Roman"/>
          <w:i w:val="0"/>
          <w:iCs w:val="0"/>
          <w:caps w:val="0"/>
          <w:color w:val="auto"/>
          <w:spacing w:val="0"/>
          <w:sz w:val="30"/>
          <w:szCs w:val="30"/>
          <w:highlight w:val="none"/>
          <w:shd w:val="clear" w:fill="FFFFFF"/>
          <w:lang w:val="en-US" w:eastAsia="zh-CN"/>
        </w:rPr>
        <w:t xml:space="preserve">                    </w:t>
      </w:r>
    </w:p>
    <w:p w14:paraId="52211B71">
      <w:pPr>
        <w:pStyle w:val="15"/>
        <w:keepNext w:val="0"/>
        <w:keepLines w:val="0"/>
        <w:widowControl/>
        <w:suppressLineNumbers w:val="0"/>
        <w:shd w:val="clear" w:fill="FFFFFF"/>
        <w:spacing w:before="120" w:beforeAutospacing="0" w:after="120" w:afterAutospacing="0"/>
        <w:ind w:left="0" w:right="0" w:firstLine="600" w:firstLineChars="200"/>
        <w:rPr>
          <w:rFonts w:hint="default" w:ascii="Times New Roman" w:hAnsi="Times New Roman" w:eastAsia="仿宋_GB2312" w:cs="Times New Roman"/>
          <w:i w:val="0"/>
          <w:iCs w:val="0"/>
          <w:caps w:val="0"/>
          <w:color w:val="auto"/>
          <w:spacing w:val="0"/>
          <w:sz w:val="30"/>
          <w:szCs w:val="30"/>
          <w:highlight w:val="none"/>
        </w:rPr>
      </w:pPr>
      <w:r>
        <w:rPr>
          <w:rFonts w:hint="default" w:ascii="Times New Roman" w:hAnsi="Times New Roman" w:eastAsia="仿宋_GB2312" w:cs="Times New Roman"/>
          <w:i w:val="0"/>
          <w:iCs w:val="0"/>
          <w:caps w:val="0"/>
          <w:color w:val="auto"/>
          <w:spacing w:val="0"/>
          <w:sz w:val="30"/>
          <w:szCs w:val="30"/>
          <w:highlight w:val="none"/>
          <w:shd w:val="clear" w:fill="FFFFFF"/>
        </w:rPr>
        <w:t>自本确认书签署之日起，上述车辆的保管责任、损毁及灭失风险正式由乙方转移至甲方。原合同项下关于车辆使用的权利与义务即告终止，但不影响原合同中关于保密、争议解决等持续性条款的效力。</w:t>
      </w:r>
    </w:p>
    <w:p w14:paraId="107BB74B">
      <w:pPr>
        <w:pStyle w:val="15"/>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仿宋_GB2312" w:cs="Times New Roman"/>
          <w:i w:val="0"/>
          <w:iCs w:val="0"/>
          <w:caps w:val="0"/>
          <w:color w:val="auto"/>
          <w:spacing w:val="0"/>
          <w:sz w:val="30"/>
          <w:szCs w:val="30"/>
          <w:highlight w:val="none"/>
        </w:rPr>
      </w:pPr>
      <w:r>
        <w:rPr>
          <w:rStyle w:val="19"/>
          <w:rFonts w:hint="eastAsia" w:ascii="Times New Roman" w:hAnsi="Times New Roman" w:eastAsia="仿宋_GB2312" w:cs="Times New Roman"/>
          <w:b/>
          <w:bCs/>
          <w:i w:val="0"/>
          <w:iCs w:val="0"/>
          <w:caps w:val="0"/>
          <w:color w:val="auto"/>
          <w:spacing w:val="0"/>
          <w:sz w:val="30"/>
          <w:szCs w:val="30"/>
          <w:highlight w:val="none"/>
          <w:shd w:val="clear" w:fill="FFFFFF"/>
          <w:lang w:val="en-US" w:eastAsia="zh-CN"/>
        </w:rPr>
        <w:t>六</w:t>
      </w:r>
      <w:r>
        <w:rPr>
          <w:rStyle w:val="19"/>
          <w:rFonts w:hint="default" w:ascii="Times New Roman" w:hAnsi="Times New Roman" w:eastAsia="仿宋_GB2312" w:cs="Times New Roman"/>
          <w:b/>
          <w:bCs/>
          <w:i w:val="0"/>
          <w:iCs w:val="0"/>
          <w:caps w:val="0"/>
          <w:color w:val="auto"/>
          <w:spacing w:val="0"/>
          <w:sz w:val="30"/>
          <w:szCs w:val="30"/>
          <w:highlight w:val="none"/>
          <w:shd w:val="clear" w:fill="FFFFFF"/>
        </w:rPr>
        <w:t>、签署</w:t>
      </w:r>
    </w:p>
    <w:p w14:paraId="12E2BD08">
      <w:pPr>
        <w:pStyle w:val="15"/>
        <w:keepNext w:val="0"/>
        <w:keepLines w:val="0"/>
        <w:widowControl/>
        <w:suppressLineNumbers w:val="0"/>
        <w:shd w:val="clear" w:fill="FFFFFF"/>
        <w:spacing w:before="120" w:beforeAutospacing="0" w:after="120" w:afterAutospacing="0"/>
        <w:ind w:left="0" w:right="0" w:firstLine="600" w:firstLineChars="200"/>
        <w:rPr>
          <w:rFonts w:hint="default" w:ascii="Times New Roman" w:hAnsi="Times New Roman" w:eastAsia="仿宋_GB2312" w:cs="Times New Roman"/>
          <w:i w:val="0"/>
          <w:iCs w:val="0"/>
          <w:caps w:val="0"/>
          <w:color w:val="auto"/>
          <w:spacing w:val="0"/>
          <w:sz w:val="30"/>
          <w:szCs w:val="30"/>
          <w:highlight w:val="none"/>
          <w:shd w:val="clear" w:fill="FFFFFF"/>
        </w:rPr>
      </w:pPr>
      <w:r>
        <w:rPr>
          <w:rFonts w:hint="default" w:ascii="Times New Roman" w:hAnsi="Times New Roman" w:eastAsia="仿宋_GB2312" w:cs="Times New Roman"/>
          <w:i w:val="0"/>
          <w:iCs w:val="0"/>
          <w:caps w:val="0"/>
          <w:color w:val="auto"/>
          <w:spacing w:val="0"/>
          <w:sz w:val="30"/>
          <w:szCs w:val="30"/>
          <w:highlight w:val="none"/>
          <w:shd w:val="clear" w:fill="FFFFFF"/>
        </w:rPr>
        <w:t>本确认书一式贰份，甲、乙双方各执壹份，自双方盖章并经授权代表签字之日起生效，作为原合同的有效组成部分。</w:t>
      </w:r>
    </w:p>
    <w:p w14:paraId="1F51D376">
      <w:pPr>
        <w:pStyle w:val="15"/>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仿宋_GB2312" w:cs="Times New Roman"/>
          <w:i w:val="0"/>
          <w:iCs w:val="0"/>
          <w:caps w:val="0"/>
          <w:color w:val="auto"/>
          <w:spacing w:val="0"/>
          <w:sz w:val="30"/>
          <w:szCs w:val="30"/>
          <w:highlight w:val="none"/>
          <w:shd w:val="clear" w:fill="FFFFFF"/>
        </w:rPr>
      </w:pPr>
    </w:p>
    <w:p w14:paraId="770D36C9">
      <w:pPr>
        <w:pStyle w:val="15"/>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仿宋_GB2312" w:cs="Times New Roman"/>
          <w:i w:val="0"/>
          <w:iCs w:val="0"/>
          <w:caps w:val="0"/>
          <w:color w:val="auto"/>
          <w:spacing w:val="0"/>
          <w:sz w:val="30"/>
          <w:szCs w:val="30"/>
          <w:highlight w:val="none"/>
          <w:shd w:val="clear" w:fill="FFFFFF"/>
        </w:rPr>
      </w:pPr>
    </w:p>
    <w:tbl>
      <w:tblPr>
        <w:tblStyle w:val="17"/>
        <w:tblW w:w="82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03"/>
        <w:gridCol w:w="4266"/>
      </w:tblGrid>
      <w:tr w14:paraId="0723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4003" w:type="dxa"/>
            <w:tcBorders>
              <w:top w:val="nil"/>
            </w:tcBorders>
            <w:shd w:val="clear" w:color="auto" w:fill="auto"/>
            <w:tcMar>
              <w:top w:w="75" w:type="dxa"/>
              <w:left w:w="0" w:type="dxa"/>
              <w:bottom w:w="75" w:type="dxa"/>
              <w:right w:w="120" w:type="dxa"/>
            </w:tcMar>
            <w:vAlign w:val="center"/>
          </w:tcPr>
          <w:p w14:paraId="785C89F8">
            <w:pPr>
              <w:keepNext w:val="0"/>
              <w:keepLines w:val="0"/>
              <w:widowControl/>
              <w:suppressLineNumbers w:val="0"/>
              <w:spacing w:line="188" w:lineRule="atLeast"/>
              <w:jc w:val="left"/>
              <w:rPr>
                <w:rFonts w:hint="default" w:ascii="Times New Roman" w:hAnsi="Times New Roman" w:eastAsia="仿宋_GB2312" w:cs="Times New Roman"/>
                <w:color w:val="auto"/>
                <w:sz w:val="30"/>
                <w:szCs w:val="30"/>
                <w:highlight w:val="none"/>
              </w:rPr>
            </w:pPr>
            <w:r>
              <w:rPr>
                <w:rStyle w:val="19"/>
                <w:rFonts w:hint="default" w:ascii="Times New Roman" w:hAnsi="Times New Roman" w:eastAsia="仿宋_GB2312" w:cs="Times New Roman"/>
                <w:b/>
                <w:bCs/>
                <w:color w:val="auto"/>
                <w:kern w:val="0"/>
                <w:sz w:val="30"/>
                <w:szCs w:val="30"/>
                <w:highlight w:val="none"/>
                <w:lang w:val="en-US" w:eastAsia="zh-CN" w:bidi="ar"/>
              </w:rPr>
              <w:t>移交方（乙方）确认：</w:t>
            </w:r>
          </w:p>
        </w:tc>
        <w:tc>
          <w:tcPr>
            <w:tcW w:w="4266" w:type="dxa"/>
            <w:tcBorders>
              <w:top w:val="nil"/>
            </w:tcBorders>
            <w:shd w:val="clear" w:color="auto" w:fill="auto"/>
            <w:tcMar>
              <w:top w:w="75" w:type="dxa"/>
              <w:left w:w="120" w:type="dxa"/>
              <w:bottom w:w="75" w:type="dxa"/>
              <w:right w:w="120" w:type="dxa"/>
            </w:tcMar>
            <w:vAlign w:val="center"/>
          </w:tcPr>
          <w:p w14:paraId="121F6585">
            <w:pPr>
              <w:keepNext w:val="0"/>
              <w:keepLines w:val="0"/>
              <w:widowControl/>
              <w:suppressLineNumbers w:val="0"/>
              <w:spacing w:line="188" w:lineRule="atLeast"/>
              <w:jc w:val="left"/>
              <w:rPr>
                <w:rFonts w:hint="default" w:ascii="Times New Roman" w:hAnsi="Times New Roman" w:eastAsia="仿宋_GB2312" w:cs="Times New Roman"/>
                <w:color w:val="auto"/>
                <w:sz w:val="30"/>
                <w:szCs w:val="30"/>
                <w:highlight w:val="none"/>
              </w:rPr>
            </w:pPr>
            <w:r>
              <w:rPr>
                <w:rStyle w:val="19"/>
                <w:rFonts w:hint="default" w:ascii="Times New Roman" w:hAnsi="Times New Roman" w:eastAsia="仿宋_GB2312" w:cs="Times New Roman"/>
                <w:b/>
                <w:bCs/>
                <w:color w:val="auto"/>
                <w:kern w:val="0"/>
                <w:sz w:val="30"/>
                <w:szCs w:val="30"/>
                <w:highlight w:val="none"/>
                <w:lang w:val="en-US" w:eastAsia="zh-CN" w:bidi="ar"/>
              </w:rPr>
              <w:t>接收方（甲方）确认：</w:t>
            </w:r>
          </w:p>
        </w:tc>
      </w:tr>
      <w:tr w14:paraId="4D9E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003" w:type="dxa"/>
            <w:shd w:val="clear" w:color="auto" w:fill="auto"/>
            <w:tcMar>
              <w:top w:w="75" w:type="dxa"/>
              <w:left w:w="0" w:type="dxa"/>
              <w:bottom w:w="75" w:type="dxa"/>
              <w:right w:w="120" w:type="dxa"/>
            </w:tcMar>
            <w:vAlign w:val="center"/>
          </w:tcPr>
          <w:p w14:paraId="3FEC9627">
            <w:pPr>
              <w:keepNext w:val="0"/>
              <w:keepLines w:val="0"/>
              <w:widowControl/>
              <w:suppressLineNumbers w:val="0"/>
              <w:spacing w:line="188" w:lineRule="atLeast"/>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单位（盖章）：_________________</w:t>
            </w:r>
          </w:p>
        </w:tc>
        <w:tc>
          <w:tcPr>
            <w:tcW w:w="4266" w:type="dxa"/>
            <w:shd w:val="clear" w:color="auto" w:fill="auto"/>
            <w:tcMar>
              <w:top w:w="75" w:type="dxa"/>
              <w:left w:w="120" w:type="dxa"/>
              <w:bottom w:w="75" w:type="dxa"/>
              <w:right w:w="0" w:type="dxa"/>
            </w:tcMar>
            <w:vAlign w:val="center"/>
          </w:tcPr>
          <w:p w14:paraId="582D01B2">
            <w:pPr>
              <w:keepNext w:val="0"/>
              <w:keepLines w:val="0"/>
              <w:widowControl/>
              <w:suppressLineNumbers w:val="0"/>
              <w:spacing w:line="188" w:lineRule="atLeast"/>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单位（盖章）：_________________</w:t>
            </w:r>
          </w:p>
        </w:tc>
      </w:tr>
      <w:tr w14:paraId="2B87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003" w:type="dxa"/>
            <w:shd w:val="clear" w:color="auto" w:fill="auto"/>
            <w:tcMar>
              <w:top w:w="75" w:type="dxa"/>
              <w:left w:w="0" w:type="dxa"/>
              <w:bottom w:w="75" w:type="dxa"/>
              <w:right w:w="120" w:type="dxa"/>
            </w:tcMar>
            <w:vAlign w:val="center"/>
          </w:tcPr>
          <w:p w14:paraId="01BDBECC">
            <w:pPr>
              <w:keepNext w:val="0"/>
              <w:keepLines w:val="0"/>
              <w:widowControl/>
              <w:suppressLineNumbers w:val="0"/>
              <w:spacing w:line="188" w:lineRule="atLeast"/>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授权代表（签字）：_____________</w:t>
            </w:r>
          </w:p>
        </w:tc>
        <w:tc>
          <w:tcPr>
            <w:tcW w:w="4266" w:type="dxa"/>
            <w:shd w:val="clear" w:color="auto" w:fill="auto"/>
            <w:tcMar>
              <w:top w:w="75" w:type="dxa"/>
              <w:left w:w="120" w:type="dxa"/>
              <w:bottom w:w="75" w:type="dxa"/>
              <w:right w:w="0" w:type="dxa"/>
            </w:tcMar>
            <w:vAlign w:val="center"/>
          </w:tcPr>
          <w:p w14:paraId="2ABBBB4D">
            <w:pPr>
              <w:keepNext w:val="0"/>
              <w:keepLines w:val="0"/>
              <w:widowControl/>
              <w:suppressLineNumbers w:val="0"/>
              <w:spacing w:line="188" w:lineRule="atLeast"/>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授权代表（签字）：_____________</w:t>
            </w:r>
          </w:p>
        </w:tc>
      </w:tr>
      <w:tr w14:paraId="373A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003" w:type="dxa"/>
            <w:shd w:val="clear" w:color="auto" w:fill="auto"/>
            <w:tcMar>
              <w:top w:w="75" w:type="dxa"/>
              <w:left w:w="0" w:type="dxa"/>
              <w:bottom w:w="75" w:type="dxa"/>
              <w:right w:w="120" w:type="dxa"/>
            </w:tcMar>
            <w:vAlign w:val="center"/>
          </w:tcPr>
          <w:p w14:paraId="1669784B">
            <w:pPr>
              <w:keepNext w:val="0"/>
              <w:keepLines w:val="0"/>
              <w:widowControl/>
              <w:suppressLineNumbers w:val="0"/>
              <w:spacing w:line="188" w:lineRule="atLeast"/>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日期：______年______月______日</w:t>
            </w:r>
          </w:p>
        </w:tc>
        <w:tc>
          <w:tcPr>
            <w:tcW w:w="4266" w:type="dxa"/>
            <w:shd w:val="clear" w:color="auto" w:fill="auto"/>
            <w:tcMar>
              <w:top w:w="75" w:type="dxa"/>
              <w:left w:w="120" w:type="dxa"/>
              <w:bottom w:w="75" w:type="dxa"/>
              <w:right w:w="0" w:type="dxa"/>
            </w:tcMar>
            <w:vAlign w:val="center"/>
          </w:tcPr>
          <w:p w14:paraId="03B58B89">
            <w:pPr>
              <w:keepNext w:val="0"/>
              <w:keepLines w:val="0"/>
              <w:widowControl/>
              <w:suppressLineNumbers w:val="0"/>
              <w:spacing w:line="188" w:lineRule="atLeast"/>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lang w:val="en-US" w:eastAsia="zh-CN" w:bidi="ar"/>
              </w:rPr>
              <w:t>日期：______年______月______日</w:t>
            </w:r>
          </w:p>
        </w:tc>
      </w:tr>
    </w:tbl>
    <w:p w14:paraId="238D660D">
      <w:pPr>
        <w:pStyle w:val="33"/>
        <w:numPr>
          <w:ilvl w:val="-1"/>
          <w:numId w:val="0"/>
        </w:numPr>
        <w:spacing w:line="360" w:lineRule="auto"/>
        <w:ind w:left="0" w:leftChars="0" w:firstLine="0" w:firstLineChars="0"/>
        <w:contextualSpacing w:val="0"/>
        <w:jc w:val="left"/>
        <w:rPr>
          <w:rFonts w:hint="default" w:ascii="宋体" w:hAnsi="宋体" w:eastAsia="宋体" w:cs="宋体"/>
          <w:snapToGrid w:val="0"/>
          <w:color w:val="auto"/>
          <w:spacing w:val="5"/>
          <w:kern w:val="0"/>
          <w:sz w:val="21"/>
          <w:szCs w:val="21"/>
          <w:highlight w:val="none"/>
          <w:lang w:val="en-US" w:eastAsia="zh-CN"/>
        </w:rPr>
      </w:pPr>
    </w:p>
    <w:p w14:paraId="3C6E756D">
      <w:pPr>
        <w:pStyle w:val="33"/>
        <w:numPr>
          <w:ilvl w:val="-1"/>
          <w:numId w:val="0"/>
        </w:numPr>
        <w:spacing w:line="360" w:lineRule="auto"/>
        <w:ind w:left="0" w:leftChars="0" w:firstLine="0" w:firstLineChars="0"/>
        <w:contextualSpacing w:val="0"/>
        <w:jc w:val="left"/>
        <w:rPr>
          <w:rFonts w:hint="default" w:ascii="宋体" w:hAnsi="宋体" w:eastAsia="宋体" w:cs="宋体"/>
          <w:snapToGrid w:val="0"/>
          <w:color w:val="auto"/>
          <w:spacing w:val="5"/>
          <w:kern w:val="0"/>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B4C61"/>
    <w:multiLevelType w:val="multilevel"/>
    <w:tmpl w:val="5F5B4C6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default"/>
        <w:b w:val="0"/>
        <w:bCs w:val="0"/>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FA"/>
    <w:rsid w:val="000042B9"/>
    <w:rsid w:val="000705DC"/>
    <w:rsid w:val="000C2932"/>
    <w:rsid w:val="001517AF"/>
    <w:rsid w:val="00185444"/>
    <w:rsid w:val="001C0F4C"/>
    <w:rsid w:val="001D0286"/>
    <w:rsid w:val="002051B3"/>
    <w:rsid w:val="00225C95"/>
    <w:rsid w:val="00251B8A"/>
    <w:rsid w:val="002763C0"/>
    <w:rsid w:val="002926A7"/>
    <w:rsid w:val="002D7D1F"/>
    <w:rsid w:val="003B39FE"/>
    <w:rsid w:val="00432E42"/>
    <w:rsid w:val="004506A4"/>
    <w:rsid w:val="004C6F96"/>
    <w:rsid w:val="004E0552"/>
    <w:rsid w:val="006306FA"/>
    <w:rsid w:val="0065622E"/>
    <w:rsid w:val="00671687"/>
    <w:rsid w:val="00684AB6"/>
    <w:rsid w:val="006B218A"/>
    <w:rsid w:val="006B35EA"/>
    <w:rsid w:val="00750FC5"/>
    <w:rsid w:val="007E0336"/>
    <w:rsid w:val="00810CE6"/>
    <w:rsid w:val="00834BEE"/>
    <w:rsid w:val="00857C58"/>
    <w:rsid w:val="00994ECE"/>
    <w:rsid w:val="009C2120"/>
    <w:rsid w:val="00A33F51"/>
    <w:rsid w:val="00A47284"/>
    <w:rsid w:val="00AB31F2"/>
    <w:rsid w:val="00AE732E"/>
    <w:rsid w:val="00B61221"/>
    <w:rsid w:val="00B761F9"/>
    <w:rsid w:val="00BB1609"/>
    <w:rsid w:val="00D30C96"/>
    <w:rsid w:val="00D772E8"/>
    <w:rsid w:val="00D96B4C"/>
    <w:rsid w:val="00DC7313"/>
    <w:rsid w:val="00E14E8B"/>
    <w:rsid w:val="00E769D8"/>
    <w:rsid w:val="00E97C27"/>
    <w:rsid w:val="00F564B8"/>
    <w:rsid w:val="00FE482B"/>
    <w:rsid w:val="01D657BB"/>
    <w:rsid w:val="04F35535"/>
    <w:rsid w:val="08A70B11"/>
    <w:rsid w:val="0DB241E0"/>
    <w:rsid w:val="128B3251"/>
    <w:rsid w:val="14DC7D94"/>
    <w:rsid w:val="19087493"/>
    <w:rsid w:val="1A295829"/>
    <w:rsid w:val="1A385A6D"/>
    <w:rsid w:val="2120377E"/>
    <w:rsid w:val="26AB7B5B"/>
    <w:rsid w:val="26F70A5D"/>
    <w:rsid w:val="279D1605"/>
    <w:rsid w:val="2959155B"/>
    <w:rsid w:val="31933592"/>
    <w:rsid w:val="324C4353"/>
    <w:rsid w:val="3543266F"/>
    <w:rsid w:val="354C553D"/>
    <w:rsid w:val="37875834"/>
    <w:rsid w:val="39072D82"/>
    <w:rsid w:val="3A3F084E"/>
    <w:rsid w:val="423D15C3"/>
    <w:rsid w:val="488C704D"/>
    <w:rsid w:val="4CC441C3"/>
    <w:rsid w:val="4E790363"/>
    <w:rsid w:val="527C6137"/>
    <w:rsid w:val="5D79574D"/>
    <w:rsid w:val="5EEB6A6F"/>
    <w:rsid w:val="5F8D77B0"/>
    <w:rsid w:val="5F9C24F1"/>
    <w:rsid w:val="63A07A3C"/>
    <w:rsid w:val="68614103"/>
    <w:rsid w:val="71CF28B7"/>
    <w:rsid w:val="7A5C165D"/>
    <w:rsid w:val="7BFA5853"/>
    <w:rsid w:val="7F45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qFormat/>
    <w:uiPriority w:val="0"/>
    <w:pPr>
      <w:jc w:val="left"/>
    </w:pPr>
    <w:rPr>
      <w:rFonts w:ascii="等线" w:hAnsi="等线" w:eastAsia="等线" w:cs="黑体"/>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0"/>
    <w:rPr>
      <w:b/>
    </w:rPr>
  </w:style>
  <w:style w:type="character" w:customStyle="1" w:styleId="20">
    <w:name w:val="标题 1 字符"/>
    <w:basedOn w:val="18"/>
    <w:link w:val="2"/>
    <w:qFormat/>
    <w:uiPriority w:val="9"/>
    <w:rPr>
      <w:rFonts w:asciiTheme="majorHAnsi" w:hAnsiTheme="majorHAnsi" w:eastAsiaTheme="majorEastAsia" w:cstheme="majorBidi"/>
      <w:color w:val="37609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3">
    <w:name w:val="标题 4 字符"/>
    <w:basedOn w:val="18"/>
    <w:link w:val="5"/>
    <w:semiHidden/>
    <w:qFormat/>
    <w:uiPriority w:val="9"/>
    <w:rPr>
      <w:rFonts w:cstheme="majorBidi"/>
      <w:color w:val="376092" w:themeColor="accent1" w:themeShade="BF"/>
      <w:sz w:val="28"/>
      <w:szCs w:val="28"/>
    </w:rPr>
  </w:style>
  <w:style w:type="character" w:customStyle="1" w:styleId="24">
    <w:name w:val="标题 5 字符"/>
    <w:basedOn w:val="18"/>
    <w:link w:val="6"/>
    <w:semiHidden/>
    <w:qFormat/>
    <w:uiPriority w:val="9"/>
    <w:rPr>
      <w:rFonts w:cstheme="majorBidi"/>
      <w:color w:val="376092" w:themeColor="accent1" w:themeShade="BF"/>
      <w:sz w:val="24"/>
      <w:szCs w:val="24"/>
    </w:rPr>
  </w:style>
  <w:style w:type="character" w:customStyle="1" w:styleId="25">
    <w:name w:val="标题 6 字符"/>
    <w:basedOn w:val="18"/>
    <w:link w:val="7"/>
    <w:semiHidden/>
    <w:qFormat/>
    <w:uiPriority w:val="9"/>
    <w:rPr>
      <w:rFonts w:cstheme="majorBidi"/>
      <w:b/>
      <w:bCs/>
      <w:color w:val="37609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376092"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6">
    <w:name w:val="明显引用 字符"/>
    <w:basedOn w:val="18"/>
    <w:link w:val="35"/>
    <w:qFormat/>
    <w:uiPriority w:val="30"/>
    <w:rPr>
      <w:i/>
      <w:iCs/>
      <w:color w:val="376092" w:themeColor="accent1" w:themeShade="BF"/>
    </w:rPr>
  </w:style>
  <w:style w:type="character" w:customStyle="1" w:styleId="37">
    <w:name w:val="Intense Reference"/>
    <w:basedOn w:val="18"/>
    <w:qFormat/>
    <w:uiPriority w:val="32"/>
    <w:rPr>
      <w:b/>
      <w:bCs/>
      <w:smallCaps/>
      <w:color w:val="37609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paragraph" w:customStyle="1" w:styleId="40">
    <w:name w:val="List Paragraph1"/>
    <w:basedOn w:val="1"/>
    <w:qFormat/>
    <w:uiPriority w:val="34"/>
    <w:pPr>
      <w:ind w:firstLine="420" w:firstLineChars="200"/>
    </w:pPr>
    <w:rPr>
      <w:rFonts w:ascii="等线" w:hAnsi="等线" w:eastAsia="等线" w:cs="黑体"/>
    </w:rPr>
  </w:style>
  <w:style w:type="character" w:customStyle="1" w:styleId="41">
    <w:name w:val="批注文字 字符"/>
    <w:basedOn w:val="18"/>
    <w:link w:val="11"/>
    <w:qFormat/>
    <w:uiPriority w:val="0"/>
    <w:rPr>
      <w:rFonts w:ascii="等线" w:hAnsi="等线" w:eastAsia="等线"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6627</Words>
  <Characters>7464</Characters>
  <Lines>363</Lines>
  <Paragraphs>489</Paragraphs>
  <TotalTime>24</TotalTime>
  <ScaleCrop>false</ScaleCrop>
  <LinksUpToDate>false</LinksUpToDate>
  <CharactersWithSpaces>7641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2026-01-22T02:33:00Z</dcterms:created>
  <dc:creator>新东泰综合岗</dc:creator>
  <cp:lastModifiedBy>熊拓</cp:lastModifiedBy>
  <dcterms:modified xsi:type="dcterms:W3CDTF">2026-02-13T03:00:24Z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eyJoZGlkIjoiOGEwNmI0MGJkZmY0YTI4OTkwYjljODJiMjg5ZDkxMjMiLCJ1c2VySWQiOiIxNjAzMzg3NTA1In0=</vt:lpwstr>
  </property>
  <property fmtid="{D5CDD505-2E9C-101B-9397-08002B2CF9AE}" pid="3" name="KSOProductBuildVer">
    <vt:lpwstr>2052-12.1.0.21541</vt:lpwstr>
  </property>
  <property fmtid="{D5CDD505-2E9C-101B-9397-08002B2CF9AE}" pid="4" name="ICV">
    <vt:lpwstr>66FE2C1C459543DA9B921C3B29AE9A03_13</vt:lpwstr>
  </property>
</Properties>
</file>