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80"/>
          <w:kern w:val="2"/>
          <w:sz w:val="56"/>
          <w:szCs w:val="56"/>
          <w:highlight w:val="none"/>
          <w:lang w:val="zh-CN"/>
        </w:rPr>
      </w:pPr>
      <w:r>
        <w:rPr>
          <w:rFonts w:hint="eastAsia" w:hAnsi="宋体" w:cs="宋体"/>
          <w:b/>
          <w:bCs/>
          <w:color w:val="auto"/>
          <w:w w:val="80"/>
          <w:kern w:val="2"/>
          <w:sz w:val="60"/>
          <w:szCs w:val="60"/>
          <w:highlight w:val="none"/>
          <w:lang w:val="zh-CN"/>
        </w:rPr>
        <w:t>东莞市石鼓净水有限公司万江厂二期2026年高低压配电系统预防性试验服务项目</w:t>
      </w:r>
    </w:p>
    <w:p w14:paraId="0018FCBA">
      <w:pPr>
        <w:spacing w:line="360" w:lineRule="auto"/>
        <w:ind w:right="-26"/>
        <w:jc w:val="center"/>
        <w:rPr>
          <w:rFonts w:hint="eastAsia" w:hAnsi="宋体" w:cs="宋体"/>
          <w:b/>
          <w:bCs/>
          <w:color w:val="auto"/>
          <w:kern w:val="2"/>
          <w:sz w:val="48"/>
          <w:szCs w:val="48"/>
          <w:highlight w:val="none"/>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Times New Roman"/>
          <w:b/>
          <w:bCs/>
          <w:color w:val="auto"/>
          <w:kern w:val="2"/>
          <w:sz w:val="32"/>
          <w:szCs w:val="32"/>
          <w:highlight w:val="none"/>
          <w:lang w:val="zh-CN"/>
        </w:rPr>
        <w:t>2026年</w:t>
      </w:r>
      <w:r>
        <w:rPr>
          <w:rFonts w:hint="eastAsia" w:ascii="Times New Roman"/>
          <w:b/>
          <w:bCs/>
          <w:color w:val="auto"/>
          <w:kern w:val="2"/>
          <w:sz w:val="32"/>
          <w:szCs w:val="32"/>
          <w:highlight w:val="none"/>
          <w:lang w:val="en-US" w:eastAsia="zh-CN"/>
        </w:rPr>
        <w:t>2</w:t>
      </w:r>
      <w:r>
        <w:rPr>
          <w:rFonts w:hint="eastAsia" w:ascii="Times New Roman"/>
          <w:b/>
          <w:bCs/>
          <w:color w:val="auto"/>
          <w:kern w:val="2"/>
          <w:sz w:val="32"/>
          <w:szCs w:val="32"/>
          <w:highlight w:val="none"/>
          <w:lang w:val="zh-CN"/>
        </w:rPr>
        <w:t>月</w:t>
      </w:r>
      <w:r>
        <w:rPr>
          <w:rFonts w:hint="eastAsia" w:ascii="Times New Roman"/>
          <w:b/>
          <w:bCs/>
          <w:color w:val="auto"/>
          <w:kern w:val="2"/>
          <w:sz w:val="32"/>
          <w:szCs w:val="32"/>
          <w:highlight w:val="none"/>
          <w:lang w:val="en-US" w:eastAsia="zh-CN"/>
        </w:rPr>
        <w:t>27</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29"/>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19983C80">
          <w:pPr>
            <w:pStyle w:val="15"/>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rPr>
            <w:fldChar w:fldCharType="begin"/>
          </w:r>
          <w:r>
            <w:rPr>
              <w:rFonts w:ascii="Times New Roman"/>
              <w:szCs w:val="40"/>
              <w:highlight w:val="none"/>
            </w:rPr>
            <w:instrText xml:space="preserve"> HYPERLINK \l _Toc19761 </w:instrText>
          </w:r>
          <w:r>
            <w:rPr>
              <w:rFonts w:ascii="Times New Roman"/>
              <w:szCs w:val="40"/>
              <w:highlight w:val="none"/>
            </w:rPr>
            <w:fldChar w:fldCharType="separate"/>
          </w:r>
          <w:r>
            <w:rPr>
              <w:rFonts w:hint="eastAsia" w:hAnsi="宋体" w:cs="宋体"/>
              <w:szCs w:val="32"/>
              <w:highlight w:val="none"/>
            </w:rPr>
            <w:t>第一章 询价邀请函</w:t>
          </w:r>
          <w:r>
            <w:tab/>
          </w:r>
          <w:r>
            <w:fldChar w:fldCharType="begin"/>
          </w:r>
          <w:r>
            <w:instrText xml:space="preserve"> PAGEREF _Toc19761 \h </w:instrText>
          </w:r>
          <w:r>
            <w:fldChar w:fldCharType="separate"/>
          </w:r>
          <w:r>
            <w:t>3</w:t>
          </w:r>
          <w:r>
            <w:fldChar w:fldCharType="end"/>
          </w:r>
          <w:r>
            <w:rPr>
              <w:rFonts w:ascii="Times New Roman"/>
              <w:color w:val="auto"/>
              <w:szCs w:val="40"/>
              <w:highlight w:val="none"/>
            </w:rPr>
            <w:fldChar w:fldCharType="end"/>
          </w:r>
        </w:p>
        <w:p w14:paraId="51C7A9E9">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_Toc26865 </w:instrText>
          </w:r>
          <w:r>
            <w:rPr>
              <w:rFonts w:ascii="Times New Roman"/>
              <w:szCs w:val="40"/>
              <w:highlight w:val="none"/>
              <w:lang w:val="zh-CN"/>
            </w:rPr>
            <w:fldChar w:fldCharType="separate"/>
          </w:r>
          <w:r>
            <w:rPr>
              <w:rFonts w:hint="eastAsia" w:hAnsi="宋体" w:cs="宋体"/>
              <w:szCs w:val="32"/>
              <w:highlight w:val="none"/>
            </w:rPr>
            <w:t>第二章 用户需求</w:t>
          </w:r>
          <w:r>
            <w:tab/>
          </w:r>
          <w:r>
            <w:fldChar w:fldCharType="begin"/>
          </w:r>
          <w:r>
            <w:instrText xml:space="preserve"> PAGEREF _Toc26865 \h </w:instrText>
          </w:r>
          <w:r>
            <w:fldChar w:fldCharType="separate"/>
          </w:r>
          <w:r>
            <w:t>5</w:t>
          </w:r>
          <w:r>
            <w:fldChar w:fldCharType="end"/>
          </w:r>
          <w:r>
            <w:rPr>
              <w:rFonts w:ascii="Times New Roman"/>
              <w:color w:val="auto"/>
              <w:szCs w:val="40"/>
              <w:highlight w:val="none"/>
              <w:lang w:val="zh-CN"/>
            </w:rPr>
            <w:fldChar w:fldCharType="end"/>
          </w:r>
        </w:p>
        <w:p w14:paraId="6F4D8277">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_Toc22543 </w:instrText>
          </w:r>
          <w:r>
            <w:rPr>
              <w:rFonts w:ascii="Times New Roman"/>
              <w:szCs w:val="40"/>
              <w:highlight w:val="none"/>
              <w:lang w:val="zh-CN"/>
            </w:rPr>
            <w:fldChar w:fldCharType="separate"/>
          </w:r>
          <w:r>
            <w:rPr>
              <w:rFonts w:hint="eastAsia" w:hAnsi="宋体" w:cs="宋体"/>
              <w:szCs w:val="32"/>
              <w:highlight w:val="none"/>
            </w:rPr>
            <w:t>第三章 合同条款</w:t>
          </w:r>
          <w:r>
            <w:tab/>
          </w:r>
          <w:r>
            <w:fldChar w:fldCharType="begin"/>
          </w:r>
          <w:r>
            <w:instrText xml:space="preserve"> PAGEREF _Toc22543 \h </w:instrText>
          </w:r>
          <w:r>
            <w:fldChar w:fldCharType="separate"/>
          </w:r>
          <w:r>
            <w:t>13</w:t>
          </w:r>
          <w:r>
            <w:fldChar w:fldCharType="end"/>
          </w:r>
          <w:r>
            <w:rPr>
              <w:rFonts w:ascii="Times New Roman"/>
              <w:color w:val="auto"/>
              <w:szCs w:val="40"/>
              <w:highlight w:val="none"/>
              <w:lang w:val="zh-CN"/>
            </w:rPr>
            <w:fldChar w:fldCharType="end"/>
          </w:r>
        </w:p>
        <w:p w14:paraId="162D54CC">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_Toc29280 </w:instrText>
          </w:r>
          <w:r>
            <w:rPr>
              <w:rFonts w:ascii="Times New Roman"/>
              <w:szCs w:val="40"/>
              <w:highlight w:val="none"/>
              <w:lang w:val="zh-CN"/>
            </w:rPr>
            <w:fldChar w:fldCharType="separate"/>
          </w:r>
          <w:r>
            <w:rPr>
              <w:rFonts w:hint="eastAsia" w:hAnsi="宋体" w:cs="宋体"/>
              <w:szCs w:val="32"/>
              <w:highlight w:val="none"/>
            </w:rPr>
            <w:t>第四章 报价须知</w:t>
          </w:r>
          <w:r>
            <w:tab/>
          </w:r>
          <w:r>
            <w:fldChar w:fldCharType="begin"/>
          </w:r>
          <w:r>
            <w:instrText xml:space="preserve"> PAGEREF _Toc29280 \h </w:instrText>
          </w:r>
          <w:r>
            <w:fldChar w:fldCharType="separate"/>
          </w:r>
          <w:r>
            <w:t>40</w:t>
          </w:r>
          <w:r>
            <w:fldChar w:fldCharType="end"/>
          </w:r>
          <w:r>
            <w:rPr>
              <w:rFonts w:ascii="Times New Roman"/>
              <w:color w:val="auto"/>
              <w:szCs w:val="40"/>
              <w:highlight w:val="none"/>
              <w:lang w:val="zh-CN"/>
            </w:rPr>
            <w:fldChar w:fldCharType="end"/>
          </w:r>
        </w:p>
        <w:p w14:paraId="7F1C9B18">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_Toc3402 </w:instrText>
          </w:r>
          <w:r>
            <w:rPr>
              <w:rFonts w:ascii="Times New Roman"/>
              <w:szCs w:val="40"/>
              <w:highlight w:val="none"/>
              <w:lang w:val="zh-CN"/>
            </w:rPr>
            <w:fldChar w:fldCharType="separate"/>
          </w:r>
          <w:r>
            <w:rPr>
              <w:rFonts w:hint="eastAsia" w:hAnsi="宋体" w:cs="宋体"/>
              <w:szCs w:val="32"/>
              <w:highlight w:val="none"/>
            </w:rPr>
            <w:t>第五章 报价文件（格式）</w:t>
          </w:r>
          <w:r>
            <w:tab/>
          </w:r>
          <w:r>
            <w:fldChar w:fldCharType="begin"/>
          </w:r>
          <w:r>
            <w:instrText xml:space="preserve"> PAGEREF _Toc3402 \h </w:instrText>
          </w:r>
          <w:r>
            <w:fldChar w:fldCharType="separate"/>
          </w:r>
          <w:r>
            <w:t>42</w:t>
          </w:r>
          <w: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cols w:space="0" w:num="1"/>
              <w:docGrid w:type="lines" w:linePitch="332" w:charSpace="0"/>
            </w:sectPr>
          </w:pPr>
          <w:r>
            <w:rPr>
              <w:rFonts w:ascii="Times New Roman"/>
              <w:color w:val="auto"/>
              <w:szCs w:val="40"/>
              <w:highlight w:val="none"/>
              <w:lang w:val="zh-CN"/>
            </w:rPr>
            <w:fldChar w:fldCharType="end"/>
          </w:r>
        </w:p>
      </w:sdtContent>
    </w:sdt>
    <w:p w14:paraId="3076CB0C">
      <w:pPr>
        <w:pStyle w:val="3"/>
        <w:spacing w:before="0" w:after="0"/>
        <w:jc w:val="center"/>
        <w:rPr>
          <w:rFonts w:hAnsi="宋体" w:cs="宋体"/>
          <w:b w:val="0"/>
          <w:bCs w:val="0"/>
          <w:color w:val="auto"/>
          <w:szCs w:val="32"/>
          <w:highlight w:val="none"/>
        </w:rPr>
      </w:pPr>
      <w:bookmarkStart w:id="1" w:name="_Toc19761"/>
      <w:r>
        <w:rPr>
          <w:rFonts w:hint="eastAsia" w:hAnsi="宋体" w:cs="宋体"/>
          <w:color w:val="auto"/>
          <w:szCs w:val="32"/>
          <w:highlight w:val="none"/>
        </w:rPr>
        <w:t>第一章 询价邀请函</w:t>
      </w:r>
      <w:bookmarkEnd w:id="1"/>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东莞市石鼓净水有限公司万江厂二期2026年高低压配电系统预防性试验服务项目</w:t>
      </w:r>
      <w:r>
        <w:rPr>
          <w:rFonts w:hint="eastAsia" w:hAnsi="宋体" w:cs="宋体"/>
          <w:color w:val="auto"/>
          <w:highlight w:val="none"/>
          <w:u w:val="single"/>
        </w:rPr>
        <w:t>”</w:t>
      </w:r>
      <w:r>
        <w:rPr>
          <w:rFonts w:hint="eastAsia" w:hAnsi="宋体" w:cs="宋体"/>
          <w:color w:val="auto"/>
          <w:highlight w:val="none"/>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cs="宋体"/>
          <w:color w:val="auto"/>
          <w:highlight w:val="none"/>
          <w:lang w:val="en-US" w:eastAsia="zh-CN"/>
        </w:rPr>
      </w:pPr>
      <w:r>
        <w:rPr>
          <w:rFonts w:hint="eastAsia" w:hAnsi="宋体" w:cs="宋体"/>
          <w:color w:val="auto"/>
          <w:highlight w:val="none"/>
        </w:rPr>
        <w:t>一、采购项目编号：</w:t>
      </w:r>
      <w:r>
        <w:rPr>
          <w:rFonts w:hint="eastAsia" w:hAnsi="宋体" w:cs="宋体"/>
          <w:color w:val="auto"/>
          <w:highlight w:val="none"/>
          <w:lang w:eastAsia="zh-CN"/>
        </w:rPr>
        <w:t xml:space="preserve">JS-2026-008 </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东莞市石鼓净水有限公司万江厂二期2026年高低压配电系统预防性试验服务项目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eastAsia" w:ascii="Times New Roman" w:cs="宋体"/>
          <w:color w:val="auto"/>
          <w:highlight w:val="none"/>
        </w:rPr>
        <w:t>预算：</w:t>
      </w:r>
      <w:r>
        <w:rPr>
          <w:rFonts w:hint="eastAsia" w:ascii="Times New Roman" w:hAnsi="Times New Roman" w:cs="宋体"/>
          <w:color w:val="auto"/>
          <w:highlight w:val="none"/>
          <w:u w:val="single"/>
          <w:lang w:val="en-US" w:eastAsia="zh-CN"/>
        </w:rPr>
        <w:t>不含税</w:t>
      </w:r>
      <w:r>
        <w:rPr>
          <w:rFonts w:hint="eastAsia" w:ascii="Times New Roman" w:hAnsi="Times New Roman" w:eastAsia="宋体" w:cs="宋体"/>
          <w:color w:val="auto"/>
          <w:highlight w:val="none"/>
          <w:u w:val="single"/>
          <w:lang w:val="en-US" w:eastAsia="zh-CN"/>
        </w:rPr>
        <w:t>最高限价为</w:t>
      </w:r>
      <w:r>
        <w:rPr>
          <w:rFonts w:hint="eastAsia" w:ascii="Times New Roman" w:eastAsia="宋体" w:cs="宋体"/>
          <w:color w:val="auto"/>
          <w:highlight w:val="none"/>
          <w:u w:val="single"/>
          <w:lang w:val="en-US" w:eastAsia="zh-CN"/>
        </w:rPr>
        <w:t>46,847.84</w:t>
      </w:r>
      <w:r>
        <w:rPr>
          <w:rFonts w:hint="eastAsia" w:ascii="Times New Roman" w:hAnsi="Times New Roman" w:eastAsia="宋体" w:cs="宋体"/>
          <w:color w:val="auto"/>
          <w:highlight w:val="none"/>
          <w:u w:val="single"/>
          <w:lang w:val="en-US" w:eastAsia="zh-CN"/>
        </w:rPr>
        <w:t>元</w:t>
      </w:r>
      <w:r>
        <w:rPr>
          <w:rFonts w:hint="eastAsia" w:ascii="Times New Roman" w:cs="宋体"/>
          <w:color w:val="auto"/>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ascii="Times New Roman" w:cs="宋体"/>
          <w:color w:val="auto"/>
          <w:highlight w:val="none"/>
          <w:u w:val="single"/>
          <w:lang w:eastAsia="zh-CN"/>
        </w:rPr>
        <w:t>高低压配电系统预防性试验服务</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2" w:name="_Hlk27138410"/>
      <w:r>
        <w:rPr>
          <w:rFonts w:hint="eastAsia" w:hAnsi="宋体" w:cs="宋体"/>
          <w:color w:val="auto"/>
          <w:highlight w:val="none"/>
        </w:rPr>
        <w:t>五、资质要求：</w:t>
      </w:r>
    </w:p>
    <w:p w14:paraId="20CD3D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报价人具备国家能源局派出机构颁发的承装（修、试）电力设施许可证资质证书，证书类别包括承修类、承试类且类别等级为四级或以上【或具有2025年7月1日之后日期颁发或换领的承装（修、试）电力设施许可证三级或以上】；</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2</w:t>
      </w:r>
      <w:r>
        <w:rPr>
          <w:rFonts w:ascii="宋体" w:hAnsi="宋体" w:eastAsia="宋体" w:cs="宋体"/>
          <w:color w:val="auto"/>
          <w:highlight w:val="none"/>
        </w:rPr>
        <w:t>.</w:t>
      </w:r>
      <w:r>
        <w:rPr>
          <w:rFonts w:hint="eastAsia" w:ascii="宋体" w:hAnsi="宋体" w:eastAsia="宋体" w:cs="宋体"/>
          <w:color w:val="auto"/>
          <w:highlight w:val="none"/>
        </w:rPr>
        <w:t>报价人</w:t>
      </w:r>
      <w:r>
        <w:rPr>
          <w:rFonts w:ascii="宋体" w:hAnsi="宋体" w:eastAsia="宋体" w:cs="宋体"/>
          <w:color w:val="auto"/>
          <w:highlight w:val="none"/>
        </w:rPr>
        <w:t>自</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以来，至少具备一</w:t>
      </w:r>
      <w:r>
        <w:rPr>
          <w:rFonts w:hint="eastAsia" w:ascii="宋体" w:hAnsi="宋体" w:eastAsia="宋体" w:cs="宋体"/>
          <w:color w:val="auto"/>
          <w:highlight w:val="none"/>
          <w:lang w:val="en-US" w:eastAsia="zh-CN"/>
        </w:rPr>
        <w:t>份</w:t>
      </w:r>
      <w:r>
        <w:rPr>
          <w:rFonts w:hint="eastAsia" w:ascii="宋体" w:hAnsi="宋体" w:eastAsia="宋体" w:cs="宋体"/>
          <w:color w:val="auto"/>
          <w:highlight w:val="none"/>
          <w:u w:val="single"/>
          <w:lang w:val="en-US" w:eastAsia="zh-CN"/>
        </w:rPr>
        <w:t>电气设备</w:t>
      </w:r>
      <w:r>
        <w:rPr>
          <w:rFonts w:hint="eastAsia" w:ascii="宋体" w:hAnsi="宋体" w:eastAsia="宋体" w:cs="宋体"/>
          <w:color w:val="auto"/>
          <w:highlight w:val="none"/>
          <w:u w:val="single"/>
          <w:lang w:eastAsia="zh-CN"/>
        </w:rPr>
        <w:t>预防性试验服务</w:t>
      </w:r>
      <w:r>
        <w:rPr>
          <w:rFonts w:hint="eastAsia" w:ascii="宋体" w:hAnsi="宋体" w:eastAsia="宋体" w:cs="宋体"/>
          <w:color w:val="auto"/>
          <w:highlight w:val="none"/>
          <w:lang w:val="en-US" w:eastAsia="zh-CN"/>
        </w:rPr>
        <w:t>相关</w:t>
      </w:r>
      <w:r>
        <w:rPr>
          <w:rFonts w:ascii="宋体" w:hAnsi="宋体" w:eastAsia="宋体" w:cs="宋体"/>
          <w:color w:val="auto"/>
          <w:highlight w:val="none"/>
        </w:rPr>
        <w:t>业绩（合同签订日期为</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或以后</w:t>
      </w:r>
      <w:r>
        <w:rPr>
          <w:rFonts w:hint="eastAsia" w:ascii="宋体" w:hAnsi="宋体" w:eastAsia="宋体" w:cs="宋体"/>
          <w:color w:val="auto"/>
          <w:highlight w:val="none"/>
        </w:rPr>
        <w:t>）；</w:t>
      </w:r>
    </w:p>
    <w:p w14:paraId="6F99D70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ascii="宋体" w:hAnsi="宋体" w:eastAsia="宋体" w:cs="宋体"/>
          <w:color w:val="auto"/>
          <w:highlight w:val="none"/>
          <w:lang w:val="en-US" w:eastAsia="zh-CN"/>
        </w:rPr>
        <w:t>3</w:t>
      </w:r>
      <w:r>
        <w:rPr>
          <w:rFonts w:ascii="宋体" w:hAnsi="宋体" w:eastAsia="宋体" w:cs="宋体"/>
          <w:color w:val="auto"/>
          <w:highlight w:val="none"/>
        </w:rPr>
        <w:t>.</w:t>
      </w:r>
      <w:r>
        <w:rPr>
          <w:rFonts w:hint="eastAsia" w:ascii="宋体" w:hAnsi="宋体" w:eastAsia="宋体" w:cs="宋体"/>
          <w:color w:val="auto"/>
          <w:highlight w:val="none"/>
        </w:rPr>
        <w:t>报价人未被列入“信用中国”网站（www.creditchina.gov.cn）失信被执行人、重大税收违法</w:t>
      </w:r>
      <w:r>
        <w:rPr>
          <w:rFonts w:hint="eastAsia" w:hAnsi="宋体" w:cs="宋体"/>
          <w:color w:val="auto"/>
          <w:highlight w:val="none"/>
        </w:rPr>
        <w:t>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成交原则：从实质性满足采购需求的供应商中，按不含税价最低成交原则确定成交供应商</w:t>
      </w:r>
      <w:r>
        <w:rPr>
          <w:rFonts w:hint="eastAsia" w:hAnsi="宋体" w:cs="宋体"/>
          <w:b/>
          <w:bCs/>
          <w:color w:val="auto"/>
          <w:highlight w:val="none"/>
          <w:lang w:eastAsia="zh-CN"/>
        </w:rPr>
        <w:t>。</w:t>
      </w:r>
    </w:p>
    <w:p w14:paraId="4FB13E3C">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、报价文件递交截止时间：</w:t>
      </w:r>
      <w:bookmarkStart w:id="3"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3"/>
      <w:r>
        <w:rPr>
          <w:rFonts w:hint="eastAsia" w:ascii="Times New Roman"/>
          <w:color w:val="000000" w:themeColor="text1"/>
          <w:lang w:val="en-US" w:eastAsia="zh-CN"/>
          <w14:textFill>
            <w14:solidFill>
              <w14:schemeClr w14:val="tx1"/>
            </w14:solidFill>
          </w14:textFill>
        </w:rPr>
        <w:t>3</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color w:val="auto"/>
          <w:highlight w:val="none"/>
          <w:lang w:eastAsia="zh-CN"/>
        </w:rPr>
        <w:t>东莞市水务环境投资控股集团净水有限公司招标成本部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、报价文件开封时间：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000000" w:themeColor="text1"/>
          <w:lang w:val="en-US" w:eastAsia="zh-CN"/>
          <w14:textFill>
            <w14:solidFill>
              <w14:schemeClr w14:val="tx1"/>
            </w14:solidFill>
          </w14:textFill>
        </w:rPr>
        <w:t>3</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4楼开标室。</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4" w:name="_Hlk27138405"/>
      <w:r>
        <w:rPr>
          <w:rFonts w:hint="eastAsia" w:hAnsi="宋体" w:cs="宋体"/>
          <w:color w:val="auto"/>
          <w:highlight w:val="none"/>
        </w:rPr>
        <w:t>采购联系人：</w:t>
      </w:r>
      <w:r>
        <w:rPr>
          <w:rFonts w:hint="eastAsia" w:hAnsi="宋体" w:cs="宋体"/>
          <w:color w:val="auto"/>
          <w:highlight w:val="none"/>
          <w:lang w:val="en-US" w:eastAsia="zh-CN"/>
        </w:rPr>
        <w:t>黄工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联系电话：</w:t>
      </w:r>
      <w:r>
        <w:rPr>
          <w:rFonts w:ascii="Times New Roman" w:cs="宋体"/>
          <w:color w:val="auto"/>
          <w:highlight w:val="none"/>
        </w:rPr>
        <w:t>0769</w:t>
      </w:r>
      <w:r>
        <w:rPr>
          <w:rFonts w:hint="eastAsia" w:ascii="Times New Roman" w:cs="宋体"/>
          <w:color w:val="auto"/>
          <w:highlight w:val="none"/>
        </w:rPr>
        <w:t>-23286160</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联系地址：东莞市南城街道滨河路</w:t>
      </w:r>
      <w:r>
        <w:rPr>
          <w:rFonts w:ascii="Times New Roman"/>
          <w:color w:val="auto"/>
          <w:highlight w:val="none"/>
        </w:rPr>
        <w:t>100</w:t>
      </w:r>
      <w:r>
        <w:rPr>
          <w:rFonts w:hint="eastAsia" w:hAnsi="宋体" w:cs="宋体"/>
          <w:color w:val="auto"/>
          <w:highlight w:val="none"/>
        </w:rPr>
        <w:t>号（</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w:t>
      </w:r>
    </w:p>
    <w:bookmarkEnd w:id="4"/>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2026年</w:t>
      </w:r>
      <w:r>
        <w:rPr>
          <w:rFonts w:hint="eastAsia" w:ascii="Times New Roman"/>
          <w:color w:val="auto"/>
          <w:highlight w:val="none"/>
          <w:lang w:val="en-US" w:eastAsia="zh-CN"/>
        </w:rPr>
        <w:t>2</w:t>
      </w:r>
      <w:r>
        <w:rPr>
          <w:rFonts w:hint="eastAsia" w:ascii="Times New Roman"/>
          <w:color w:val="auto"/>
          <w:highlight w:val="none"/>
          <w:lang w:eastAsia="zh-CN"/>
        </w:rPr>
        <w:t>月</w:t>
      </w:r>
      <w:r>
        <w:rPr>
          <w:rFonts w:hint="eastAsia" w:ascii="Times New Roman"/>
          <w:color w:val="auto"/>
          <w:highlight w:val="none"/>
          <w:lang w:val="en-US" w:eastAsia="zh-CN"/>
        </w:rPr>
        <w:t>27</w:t>
      </w:r>
      <w:bookmarkStart w:id="24" w:name="_GoBack"/>
      <w:bookmarkEnd w:id="24"/>
      <w:r>
        <w:rPr>
          <w:rFonts w:hint="eastAsia" w:ascii="Times New Roman"/>
          <w:color w:val="auto"/>
          <w:highlight w:val="none"/>
          <w:lang w:eastAsia="zh-CN"/>
        </w:rPr>
        <w:t>日</w:t>
      </w:r>
      <w:r>
        <w:rPr>
          <w:rFonts w:hint="eastAsia" w:ascii="Times New Roman"/>
          <w:color w:val="auto"/>
          <w:highlight w:val="none"/>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color w:val="auto"/>
          <w:szCs w:val="32"/>
          <w:highlight w:val="none"/>
        </w:rPr>
      </w:pPr>
      <w:bookmarkStart w:id="5" w:name="_Toc26865"/>
      <w:r>
        <w:rPr>
          <w:rFonts w:hint="eastAsia" w:hAnsi="宋体" w:cs="宋体"/>
          <w:color w:val="auto"/>
          <w:szCs w:val="32"/>
          <w:highlight w:val="none"/>
        </w:rPr>
        <w:t>第二章 用户需求</w:t>
      </w:r>
      <w:bookmarkEnd w:id="5"/>
    </w:p>
    <w:p w14:paraId="548B809A">
      <w:pPr>
        <w:rPr>
          <w:rFonts w:hAnsi="宋体"/>
          <w:b/>
          <w:color w:val="auto"/>
          <w:highlight w:val="none"/>
        </w:rPr>
      </w:pPr>
      <w:bookmarkStart w:id="6" w:name="_Toc447044476"/>
      <w:bookmarkStart w:id="7" w:name="_Toc447045087"/>
      <w:bookmarkStart w:id="8" w:name="_Toc447044600"/>
    </w:p>
    <w:p w14:paraId="6FDDB8F4">
      <w:pPr>
        <w:pStyle w:val="3"/>
        <w:tabs>
          <w:tab w:val="left" w:pos="1080"/>
        </w:tabs>
        <w:autoSpaceDE w:val="0"/>
        <w:autoSpaceDN w:val="0"/>
        <w:adjustRightInd w:val="0"/>
        <w:spacing w:line="360" w:lineRule="auto"/>
        <w:ind w:left="0"/>
        <w:jc w:val="center"/>
        <w:rPr>
          <w:rFonts w:ascii="宋体" w:hAnsi="宋体" w:cs="宋体"/>
          <w:b/>
          <w:bCs/>
          <w:kern w:val="44"/>
          <w:sz w:val="32"/>
          <w:szCs w:val="32"/>
          <w:lang w:val="zh-CN"/>
        </w:rPr>
      </w:pPr>
      <w:bookmarkStart w:id="9" w:name="_Toc28008"/>
      <w:r>
        <w:rPr>
          <w:rFonts w:hint="eastAsia" w:ascii="宋体" w:hAnsi="宋体" w:cs="宋体"/>
          <w:b/>
          <w:bCs/>
          <w:kern w:val="44"/>
          <w:sz w:val="32"/>
          <w:szCs w:val="32"/>
          <w:lang w:val="en-US" w:eastAsia="zh-CN"/>
        </w:rPr>
        <w:t>东莞市石鼓净水有限公司万江厂二期2026年高低压配电系统预防性试验服务项目</w:t>
      </w:r>
      <w:r>
        <w:rPr>
          <w:rFonts w:hint="eastAsia" w:ascii="宋体" w:hAnsi="宋体" w:cs="宋体"/>
          <w:b/>
          <w:bCs/>
          <w:kern w:val="44"/>
          <w:sz w:val="32"/>
          <w:szCs w:val="32"/>
          <w:lang w:val="zh-CN"/>
        </w:rPr>
        <w:t>用户需求书</w:t>
      </w:r>
      <w:bookmarkEnd w:id="9"/>
    </w:p>
    <w:p w14:paraId="11126677">
      <w:pPr>
        <w:spacing w:line="240" w:lineRule="exact"/>
        <w:jc w:val="center"/>
        <w:rPr>
          <w:b/>
          <w:sz w:val="18"/>
          <w:szCs w:val="18"/>
        </w:rPr>
      </w:pPr>
    </w:p>
    <w:p w14:paraId="32B9FD50">
      <w:pPr>
        <w:pStyle w:val="30"/>
        <w:numPr>
          <w:ilvl w:val="0"/>
          <w:numId w:val="1"/>
        </w:numPr>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项目信息</w:t>
      </w:r>
    </w:p>
    <w:p w14:paraId="6ECBA3EF">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采购人：东莞市</w:t>
      </w:r>
      <w:r>
        <w:rPr>
          <w:rFonts w:hint="eastAsia" w:ascii="宋体" w:hAnsi="宋体" w:eastAsia="宋体" w:cs="宋体"/>
          <w:sz w:val="21"/>
          <w:szCs w:val="21"/>
          <w:lang w:val="en-US" w:eastAsia="zh-CN"/>
        </w:rPr>
        <w:t>石鼓净水</w:t>
      </w:r>
      <w:r>
        <w:rPr>
          <w:rFonts w:hint="eastAsia" w:ascii="宋体" w:hAnsi="宋体" w:eastAsia="宋体" w:cs="宋体"/>
          <w:sz w:val="21"/>
          <w:szCs w:val="21"/>
        </w:rPr>
        <w:t>有限公司</w:t>
      </w:r>
    </w:p>
    <w:p w14:paraId="3C5041D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采购内容：</w:t>
      </w:r>
      <w:r>
        <w:rPr>
          <w:rFonts w:hint="eastAsia" w:ascii="宋体" w:hAnsi="宋体" w:eastAsia="宋体" w:cs="宋体"/>
          <w:sz w:val="21"/>
          <w:szCs w:val="21"/>
          <w:lang w:val="en-US" w:eastAsia="zh-CN"/>
        </w:rPr>
        <w:t>万江污水处理厂二期</w:t>
      </w:r>
      <w:r>
        <w:rPr>
          <w:rFonts w:hint="eastAsia" w:ascii="宋体" w:hAnsi="宋体" w:eastAsia="宋体" w:cs="宋体"/>
          <w:kern w:val="2"/>
          <w:sz w:val="21"/>
          <w:szCs w:val="21"/>
        </w:rPr>
        <w:t>202</w:t>
      </w:r>
      <w:r>
        <w:rPr>
          <w:rFonts w:hint="eastAsia" w:ascii="宋体" w:hAnsi="宋体" w:eastAsia="宋体" w:cs="宋体"/>
          <w:kern w:val="2"/>
          <w:sz w:val="21"/>
          <w:szCs w:val="21"/>
          <w:lang w:val="en-US" w:eastAsia="zh-CN"/>
        </w:rPr>
        <w:t>6</w:t>
      </w:r>
      <w:r>
        <w:rPr>
          <w:rFonts w:hint="eastAsia" w:ascii="宋体" w:hAnsi="宋体" w:eastAsia="宋体" w:cs="宋体"/>
          <w:sz w:val="21"/>
          <w:szCs w:val="21"/>
        </w:rPr>
        <w:t>年高低压</w:t>
      </w:r>
      <w:r>
        <w:rPr>
          <w:rFonts w:hint="eastAsia" w:ascii="宋体" w:hAnsi="宋体" w:eastAsia="宋体" w:cs="宋体"/>
          <w:sz w:val="21"/>
          <w:szCs w:val="21"/>
          <w:lang w:val="zh-CN"/>
        </w:rPr>
        <w:t>配电系统预防性试验</w:t>
      </w:r>
      <w:r>
        <w:rPr>
          <w:rFonts w:hint="eastAsia" w:ascii="宋体" w:hAnsi="宋体" w:eastAsia="宋体" w:cs="宋体"/>
          <w:sz w:val="21"/>
          <w:szCs w:val="21"/>
        </w:rPr>
        <w:t>服务</w:t>
      </w:r>
    </w:p>
    <w:p w14:paraId="46ABE21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采购限价：46,847.84元（不含税）</w:t>
      </w:r>
    </w:p>
    <w:p w14:paraId="2A2F4154">
      <w:pPr>
        <w:pStyle w:val="2"/>
        <w:ind w:firstLine="420"/>
        <w:rPr>
          <w:rFonts w:hint="eastAsia" w:ascii="宋体" w:hAnsi="宋体" w:eastAsia="宋体" w:cs="宋体"/>
          <w:sz w:val="21"/>
          <w:szCs w:val="21"/>
          <w:lang w:val="en-US"/>
        </w:rPr>
      </w:pPr>
    </w:p>
    <w:p w14:paraId="7D98B78E">
      <w:pPr>
        <w:pStyle w:val="30"/>
        <w:numPr>
          <w:ilvl w:val="0"/>
          <w:numId w:val="1"/>
        </w:numPr>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项目概况</w:t>
      </w:r>
    </w:p>
    <w:p w14:paraId="375F0544">
      <w:pPr>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本项目是采购具有高低压配电系统设备预防性试</w:t>
      </w:r>
      <w:r>
        <w:rPr>
          <w:rFonts w:hint="eastAsia" w:ascii="宋体" w:hAnsi="宋体" w:eastAsia="宋体" w:cs="宋体"/>
          <w:kern w:val="0"/>
          <w:sz w:val="21"/>
          <w:szCs w:val="21"/>
          <w:lang w:val="zh-CN"/>
        </w:rPr>
        <w:t>验资质单位为</w:t>
      </w:r>
      <w:r>
        <w:rPr>
          <w:rFonts w:hint="eastAsia" w:ascii="宋体" w:hAnsi="宋体" w:eastAsia="宋体" w:cs="宋体"/>
          <w:sz w:val="21"/>
          <w:szCs w:val="21"/>
          <w:lang w:val="en-US" w:eastAsia="zh-CN"/>
        </w:rPr>
        <w:t>万江污水处理厂二期</w:t>
      </w:r>
      <w:r>
        <w:rPr>
          <w:rFonts w:hint="eastAsia" w:ascii="宋体" w:hAnsi="宋体" w:eastAsia="宋体" w:cs="宋体"/>
          <w:kern w:val="0"/>
          <w:sz w:val="21"/>
          <w:szCs w:val="21"/>
          <w:lang w:val="zh-CN"/>
        </w:rPr>
        <w:t>项目的</w:t>
      </w:r>
      <w:r>
        <w:rPr>
          <w:rFonts w:hint="eastAsia" w:ascii="宋体" w:hAnsi="宋体" w:eastAsia="宋体" w:cs="宋体"/>
          <w:kern w:val="0"/>
          <w:sz w:val="21"/>
          <w:szCs w:val="21"/>
        </w:rPr>
        <w:t>高低压</w:t>
      </w:r>
      <w:r>
        <w:rPr>
          <w:rFonts w:hint="eastAsia" w:ascii="宋体" w:hAnsi="宋体" w:eastAsia="宋体" w:cs="宋体"/>
          <w:kern w:val="0"/>
          <w:sz w:val="21"/>
          <w:szCs w:val="21"/>
          <w:lang w:val="zh-CN"/>
        </w:rPr>
        <w:t>配电系统开展预防性试验，</w:t>
      </w:r>
      <w:r>
        <w:rPr>
          <w:rFonts w:hint="eastAsia" w:ascii="宋体" w:hAnsi="宋体" w:eastAsia="宋体" w:cs="宋体"/>
          <w:kern w:val="0"/>
          <w:sz w:val="21"/>
          <w:szCs w:val="21"/>
        </w:rPr>
        <w:t>检测出配电系统设备存在的安全隐患，为后续维护、维修工作提供指导性意见。</w:t>
      </w:r>
    </w:p>
    <w:p w14:paraId="5552D78A">
      <w:pPr>
        <w:pStyle w:val="2"/>
        <w:ind w:firstLine="420"/>
        <w:rPr>
          <w:rFonts w:hint="eastAsia" w:ascii="宋体" w:hAnsi="宋体" w:eastAsia="宋体" w:cs="宋体"/>
          <w:sz w:val="21"/>
          <w:szCs w:val="21"/>
        </w:rPr>
      </w:pPr>
    </w:p>
    <w:p w14:paraId="17E912A3">
      <w:pPr>
        <w:pStyle w:val="30"/>
        <w:numPr>
          <w:ilvl w:val="0"/>
          <w:numId w:val="1"/>
        </w:numPr>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lang w:val="en-US" w:eastAsia="zh-CN"/>
        </w:rPr>
        <w:t>预防性试验</w:t>
      </w:r>
      <w:r>
        <w:rPr>
          <w:rFonts w:hint="eastAsia" w:ascii="宋体" w:hAnsi="宋体" w:eastAsia="宋体" w:cs="宋体"/>
          <w:b/>
          <w:sz w:val="21"/>
          <w:szCs w:val="21"/>
        </w:rPr>
        <w:t xml:space="preserve">项目清单  </w:t>
      </w:r>
    </w:p>
    <w:tbl>
      <w:tblPr>
        <w:tblStyle w:val="22"/>
        <w:tblW w:w="87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760"/>
        <w:gridCol w:w="2802"/>
        <w:gridCol w:w="1938"/>
        <w:gridCol w:w="800"/>
        <w:gridCol w:w="737"/>
      </w:tblGrid>
      <w:tr w14:paraId="0C38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CD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36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BC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项目试验内容</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AC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09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2C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327C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DB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EA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变压器</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7C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绝缘电阻，交流耐压试验，直流电阳，变比测试，油耐压试验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B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SCB11-800KVA</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C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DD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台</w:t>
            </w:r>
          </w:p>
        </w:tc>
      </w:tr>
      <w:tr w14:paraId="5116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8E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D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10kV母排</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3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绝缘电阻，交流耐压试验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E1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TMY-3×(80×10)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24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A4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套</w:t>
            </w:r>
          </w:p>
        </w:tc>
      </w:tr>
      <w:tr w14:paraId="6035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2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3</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DE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0.4kV母排</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C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绝缘电阻，交流耐压试验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BB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TMY-3×(125×10)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A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D2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套</w:t>
            </w:r>
          </w:p>
        </w:tc>
      </w:tr>
      <w:tr w14:paraId="0A52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23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4</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B1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高压电力电缆（进线电缆）</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C4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绝缘电阻，交流耐压试验，电流局放试验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3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ZRC-YJV22-3*120mm²/35m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1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B8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根</w:t>
            </w:r>
          </w:p>
        </w:tc>
      </w:tr>
      <w:tr w14:paraId="3BB2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0A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5</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AE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高压电缆电缆（至变压器、环网出线柜）</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绝缘电阻，交流耐压试验，电流局放试验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A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YJV-10KV 3×120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2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E0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根</w:t>
            </w:r>
          </w:p>
        </w:tc>
      </w:tr>
      <w:tr w14:paraId="39C3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4A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07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低压进线柜</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2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绝缘电阻，交流耐压试验，手动电动分合闸动作情况</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5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MNS</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02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4A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台</w:t>
            </w:r>
          </w:p>
        </w:tc>
      </w:tr>
      <w:tr w14:paraId="27DA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9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7</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9B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低压出线柜</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F6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绝缘电阻，交流耐压试验，手动电动分合闸动作情况</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4B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MNS</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FE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8</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4D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台</w:t>
            </w:r>
          </w:p>
        </w:tc>
      </w:tr>
      <w:tr w14:paraId="3461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64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8</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B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电容补偿柜</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C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绝緣电阻，交流耐压试验，电容值测量</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C4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MNS</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9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88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台</w:t>
            </w:r>
          </w:p>
        </w:tc>
      </w:tr>
      <w:tr w14:paraId="61FF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68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9</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03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高压柜（断路器）</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49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绝缘电阻，交流耐压，机械特性试验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D6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630A/31.5KA</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37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4F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台</w:t>
            </w:r>
          </w:p>
        </w:tc>
      </w:tr>
      <w:tr w14:paraId="5154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A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10</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4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高压柜</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17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校验准确度，二次过流保护，二次速断保护，零序保护，KVA一次过流二次速断保护，二次回路绝缘电阻，一次升流试验保护、信号动作情况</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E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KYN28-12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C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12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EF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台</w:t>
            </w:r>
          </w:p>
        </w:tc>
      </w:tr>
      <w:tr w14:paraId="5DCE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12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11</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8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0.4kV断路器试验</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C1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耐压前绝缘电阻、交流耐压试验、时间、合闸</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143D">
            <w:pPr>
              <w:jc w:val="center"/>
              <w:textAlignment w:val="center"/>
              <w:rPr>
                <w:rFonts w:hint="eastAsia" w:ascii="宋体" w:hAnsi="宋体" w:eastAsia="宋体" w:cs="宋体"/>
                <w:i w:val="0"/>
                <w:iCs w:val="0"/>
                <w:color w:val="000000"/>
                <w:kern w:val="0"/>
                <w:sz w:val="21"/>
                <w:szCs w:val="21"/>
                <w:u w:val="none"/>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F0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43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7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套</w:t>
            </w:r>
          </w:p>
        </w:tc>
      </w:tr>
      <w:tr w14:paraId="373C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EE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12</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AD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直流系统和中央信号屏系统</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C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测量直流母线电压值，测量充电机直流电压值，测量蓄电池组电压值，测量蓄电池容量</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3EAF">
            <w:pPr>
              <w:jc w:val="center"/>
              <w:textAlignment w:val="center"/>
              <w:rPr>
                <w:rFonts w:hint="eastAsia" w:ascii="宋体" w:hAnsi="宋体" w:eastAsia="宋体" w:cs="宋体"/>
                <w:i w:val="0"/>
                <w:iCs w:val="0"/>
                <w:color w:val="000000"/>
                <w:kern w:val="0"/>
                <w:sz w:val="21"/>
                <w:szCs w:val="21"/>
                <w:u w:val="none"/>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F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2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套</w:t>
            </w:r>
          </w:p>
        </w:tc>
      </w:tr>
      <w:tr w14:paraId="5A57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B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67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电流互感器</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8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绝缘电阻、耐压试验、伏安特性、变流比、二次负载特性试验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BB7E">
            <w:pPr>
              <w:jc w:val="center"/>
              <w:textAlignment w:val="center"/>
              <w:rPr>
                <w:rFonts w:hint="eastAsia" w:ascii="宋体" w:hAnsi="宋体" w:eastAsia="宋体" w:cs="宋体"/>
                <w:i w:val="0"/>
                <w:iCs w:val="0"/>
                <w:color w:val="000000"/>
                <w:kern w:val="0"/>
                <w:sz w:val="21"/>
                <w:szCs w:val="21"/>
                <w:u w:val="none"/>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86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45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93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台</w:t>
            </w:r>
          </w:p>
        </w:tc>
      </w:tr>
      <w:tr w14:paraId="5DC1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9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C3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电压互感器</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C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绝缘电阻、耐压试验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513C">
            <w:pPr>
              <w:jc w:val="center"/>
              <w:textAlignment w:val="center"/>
              <w:rPr>
                <w:rFonts w:hint="eastAsia" w:ascii="宋体" w:hAnsi="宋体" w:eastAsia="宋体" w:cs="宋体"/>
                <w:i w:val="0"/>
                <w:iCs w:val="0"/>
                <w:color w:val="000000"/>
                <w:kern w:val="0"/>
                <w:sz w:val="21"/>
                <w:szCs w:val="21"/>
                <w:u w:val="none"/>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BD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D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台</w:t>
            </w:r>
          </w:p>
        </w:tc>
      </w:tr>
      <w:tr w14:paraId="2EA9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F1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15</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49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避雷器</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C2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绝缘电阻，交流直流泄露电流</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D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BRBP-12.7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48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6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1E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套</w:t>
            </w:r>
          </w:p>
        </w:tc>
      </w:tr>
      <w:tr w14:paraId="7E59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7E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16</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E0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接地装置</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6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接地电阻测量</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02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JN15-12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32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A0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套</w:t>
            </w:r>
          </w:p>
        </w:tc>
      </w:tr>
      <w:tr w14:paraId="3CEC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62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17</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6F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设备清理</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6668">
            <w:pPr>
              <w:jc w:val="center"/>
              <w:textAlignment w:val="center"/>
              <w:rPr>
                <w:rFonts w:hint="eastAsia" w:ascii="宋体" w:hAnsi="宋体" w:eastAsia="宋体" w:cs="宋体"/>
                <w:i w:val="0"/>
                <w:iCs w:val="0"/>
                <w:color w:val="000000"/>
                <w:kern w:val="0"/>
                <w:sz w:val="21"/>
                <w:szCs w:val="21"/>
                <w:u w:val="none"/>
                <w:lang w:bidi="ar"/>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85D8">
            <w:pPr>
              <w:jc w:val="center"/>
              <w:textAlignment w:val="center"/>
              <w:rPr>
                <w:rFonts w:hint="eastAsia" w:ascii="宋体" w:hAnsi="宋体" w:eastAsia="宋体" w:cs="宋体"/>
                <w:i w:val="0"/>
                <w:iCs w:val="0"/>
                <w:color w:val="000000"/>
                <w:kern w:val="0"/>
                <w:sz w:val="21"/>
                <w:szCs w:val="21"/>
                <w:u w:val="none"/>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D5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F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项</w:t>
            </w:r>
          </w:p>
        </w:tc>
      </w:tr>
      <w:tr w14:paraId="446D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26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18</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AC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办理停电工作票</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CB5">
            <w:pPr>
              <w:jc w:val="center"/>
              <w:textAlignment w:val="center"/>
              <w:rPr>
                <w:rFonts w:hint="eastAsia" w:ascii="宋体" w:hAnsi="宋体" w:eastAsia="宋体" w:cs="宋体"/>
                <w:i w:val="0"/>
                <w:iCs w:val="0"/>
                <w:color w:val="000000"/>
                <w:kern w:val="0"/>
                <w:sz w:val="21"/>
                <w:szCs w:val="21"/>
                <w:u w:val="none"/>
                <w:lang w:bidi="ar"/>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1F92">
            <w:pPr>
              <w:jc w:val="center"/>
              <w:textAlignment w:val="center"/>
              <w:rPr>
                <w:rFonts w:hint="eastAsia" w:ascii="宋体" w:hAnsi="宋体" w:eastAsia="宋体" w:cs="宋体"/>
                <w:i w:val="0"/>
                <w:iCs w:val="0"/>
                <w:color w:val="000000"/>
                <w:kern w:val="0"/>
                <w:sz w:val="21"/>
                <w:szCs w:val="21"/>
                <w:u w:val="none"/>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24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F0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项</w:t>
            </w:r>
          </w:p>
        </w:tc>
      </w:tr>
    </w:tbl>
    <w:p w14:paraId="01A5DF6E">
      <w:pPr>
        <w:pStyle w:val="30"/>
        <w:spacing w:line="360" w:lineRule="auto"/>
        <w:ind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备注：以上清单设备铭牌额定电压最大为17KV。</w:t>
      </w:r>
    </w:p>
    <w:p w14:paraId="41F0E1BE">
      <w:pPr>
        <w:pStyle w:val="62"/>
        <w:spacing w:line="200" w:lineRule="exact"/>
        <w:rPr>
          <w:rFonts w:hint="eastAsia" w:ascii="宋体" w:hAnsi="宋体" w:eastAsia="宋体" w:cs="宋体"/>
          <w:sz w:val="21"/>
          <w:szCs w:val="21"/>
        </w:rPr>
      </w:pPr>
    </w:p>
    <w:p w14:paraId="66C6C5D9">
      <w:pPr>
        <w:pStyle w:val="30"/>
        <w:numPr>
          <w:ilvl w:val="0"/>
          <w:numId w:val="1"/>
        </w:numPr>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服务期限要求</w:t>
      </w:r>
    </w:p>
    <w:p w14:paraId="474E28CB">
      <w:pPr>
        <w:pStyle w:val="62"/>
        <w:spacing w:line="360" w:lineRule="auto"/>
        <w:ind w:firstLine="424" w:firstLineChars="202"/>
        <w:jc w:val="both"/>
        <w:rPr>
          <w:rFonts w:hint="eastAsia" w:ascii="宋体" w:hAnsi="宋体" w:eastAsia="宋体" w:cs="宋体"/>
          <w:sz w:val="21"/>
          <w:szCs w:val="21"/>
        </w:rPr>
      </w:pPr>
      <w:r>
        <w:rPr>
          <w:rFonts w:hint="eastAsia" w:ascii="宋体" w:hAnsi="宋体" w:eastAsia="宋体" w:cs="宋体"/>
          <w:sz w:val="21"/>
          <w:szCs w:val="21"/>
        </w:rPr>
        <w:t>（1） 服务期限：自</w:t>
      </w:r>
      <w:r>
        <w:rPr>
          <w:rFonts w:hint="eastAsia" w:ascii="宋体" w:hAnsi="宋体" w:eastAsia="宋体" w:cs="宋体"/>
          <w:sz w:val="21"/>
          <w:szCs w:val="21"/>
          <w:lang w:val="en-US" w:eastAsia="zh-CN"/>
        </w:rPr>
        <w:t>合同签订之日</w:t>
      </w:r>
      <w:r>
        <w:rPr>
          <w:rFonts w:hint="eastAsia" w:ascii="宋体" w:hAnsi="宋体" w:eastAsia="宋体" w:cs="宋体"/>
          <w:sz w:val="21"/>
          <w:szCs w:val="21"/>
        </w:rPr>
        <w:t>起</w:t>
      </w:r>
      <w:r>
        <w:rPr>
          <w:rFonts w:hint="eastAsia" w:ascii="宋体" w:hAnsi="宋体" w:eastAsia="宋体" w:cs="宋体"/>
          <w:sz w:val="21"/>
          <w:szCs w:val="21"/>
          <w:lang w:val="en-US" w:eastAsia="zh-CN"/>
        </w:rPr>
        <w:t>一年</w:t>
      </w:r>
      <w:r>
        <w:rPr>
          <w:rFonts w:hint="eastAsia" w:ascii="宋体" w:hAnsi="宋体" w:eastAsia="宋体" w:cs="宋体"/>
          <w:sz w:val="21"/>
          <w:szCs w:val="21"/>
        </w:rPr>
        <w:t>，具体预防性试验实施时间以采购人通知约定的时间为准。</w:t>
      </w:r>
    </w:p>
    <w:p w14:paraId="6FC4C226">
      <w:pPr>
        <w:pStyle w:val="62"/>
        <w:spacing w:line="360" w:lineRule="auto"/>
        <w:ind w:firstLine="424" w:firstLineChars="202"/>
        <w:rPr>
          <w:rFonts w:hint="eastAsia" w:ascii="宋体" w:hAnsi="宋体" w:eastAsia="宋体" w:cs="宋体"/>
          <w:sz w:val="21"/>
          <w:szCs w:val="21"/>
          <w:lang w:val="en-US" w:eastAsia="zh-CN"/>
        </w:rPr>
      </w:pPr>
      <w:r>
        <w:rPr>
          <w:rFonts w:hint="eastAsia" w:ascii="宋体" w:hAnsi="宋体" w:eastAsia="宋体" w:cs="宋体"/>
          <w:sz w:val="21"/>
          <w:szCs w:val="21"/>
        </w:rPr>
        <w:t>（2）服务单位在接到采购人服务通知之日起30日内完成万江污水处理厂二期项目内设备的预防性试验及检验工作。</w:t>
      </w:r>
    </w:p>
    <w:p w14:paraId="05BBD387">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（3）服务地址：东莞市万江街道流涌尾社区白水涡万江污水处理厂二期。</w:t>
      </w:r>
    </w:p>
    <w:p w14:paraId="56FA4EF9">
      <w:pPr>
        <w:pStyle w:val="62"/>
        <w:spacing w:line="360" w:lineRule="auto"/>
        <w:ind w:firstLine="424" w:firstLineChars="202"/>
        <w:rPr>
          <w:rFonts w:hint="eastAsia" w:ascii="宋体" w:hAnsi="宋体" w:eastAsia="宋体" w:cs="宋体"/>
          <w:sz w:val="21"/>
          <w:szCs w:val="21"/>
        </w:rPr>
      </w:pPr>
    </w:p>
    <w:p w14:paraId="44E5943B">
      <w:pPr>
        <w:pStyle w:val="30"/>
        <w:numPr>
          <w:ilvl w:val="0"/>
          <w:numId w:val="1"/>
        </w:numPr>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项目数量要求</w:t>
      </w:r>
    </w:p>
    <w:p w14:paraId="2A516A86">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（1）本次采购一家中标单位作为高低压配电系统设备预防性试验服务单位。</w:t>
      </w:r>
    </w:p>
    <w:p w14:paraId="3559D22C">
      <w:pPr>
        <w:pStyle w:val="62"/>
        <w:spacing w:line="360" w:lineRule="auto"/>
        <w:ind w:firstLine="426" w:firstLineChars="202"/>
        <w:rPr>
          <w:rFonts w:hint="eastAsia" w:ascii="宋体" w:hAnsi="宋体" w:eastAsia="宋体" w:cs="宋体"/>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采购项目清单内未列入，但根据</w:t>
      </w:r>
      <w:r>
        <w:rPr>
          <w:rFonts w:hint="eastAsia" w:ascii="宋体" w:hAnsi="宋体" w:eastAsia="宋体" w:cs="宋体"/>
          <w:b/>
          <w:bCs/>
          <w:sz w:val="21"/>
          <w:szCs w:val="21"/>
        </w:rPr>
        <w:t>国家颁布最新的《电力设备预防性试验规程》、《电力安全工器具预防性试验规程》等相关规定</w:t>
      </w:r>
      <w:r>
        <w:rPr>
          <w:rFonts w:hint="eastAsia" w:ascii="宋体" w:hAnsi="宋体" w:eastAsia="宋体" w:cs="宋体"/>
          <w:b/>
          <w:bCs/>
          <w:sz w:val="21"/>
          <w:szCs w:val="21"/>
          <w:lang w:val="en-US" w:eastAsia="zh-CN"/>
        </w:rPr>
        <w:t>应当进行</w:t>
      </w:r>
      <w:r>
        <w:rPr>
          <w:rFonts w:hint="eastAsia" w:ascii="宋体" w:hAnsi="宋体" w:eastAsia="宋体" w:cs="宋体"/>
          <w:b/>
          <w:bCs/>
          <w:sz w:val="21"/>
          <w:szCs w:val="21"/>
        </w:rPr>
        <w:t>预防性试验</w:t>
      </w:r>
      <w:r>
        <w:rPr>
          <w:rFonts w:hint="eastAsia" w:ascii="宋体" w:hAnsi="宋体" w:eastAsia="宋体" w:cs="宋体"/>
          <w:b/>
          <w:bCs/>
          <w:sz w:val="21"/>
          <w:szCs w:val="21"/>
          <w:lang w:val="en-US" w:eastAsia="zh-CN"/>
        </w:rPr>
        <w:t>的内容，</w:t>
      </w:r>
      <w:r>
        <w:rPr>
          <w:rFonts w:hint="eastAsia" w:ascii="宋体" w:hAnsi="宋体" w:eastAsia="宋体" w:cs="宋体"/>
          <w:b/>
          <w:bCs/>
          <w:sz w:val="21"/>
          <w:szCs w:val="21"/>
        </w:rPr>
        <w:t>服务单位</w:t>
      </w:r>
      <w:r>
        <w:rPr>
          <w:rFonts w:hint="eastAsia" w:ascii="宋体" w:hAnsi="宋体" w:eastAsia="宋体" w:cs="宋体"/>
          <w:b/>
          <w:bCs/>
          <w:sz w:val="21"/>
          <w:szCs w:val="21"/>
          <w:lang w:val="en-US" w:eastAsia="zh-CN"/>
        </w:rPr>
        <w:t>同样应当进行预防性试验</w:t>
      </w:r>
      <w:r>
        <w:rPr>
          <w:rFonts w:hint="eastAsia" w:ascii="宋体" w:hAnsi="宋体" w:eastAsia="宋体" w:cs="宋体"/>
          <w:b/>
          <w:bCs/>
          <w:sz w:val="21"/>
          <w:szCs w:val="21"/>
        </w:rPr>
        <w:t>。</w:t>
      </w:r>
    </w:p>
    <w:p w14:paraId="1278D3E2">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）采购人目前无法保证服务单位获得“3.</w:t>
      </w:r>
      <w:r>
        <w:rPr>
          <w:rFonts w:hint="eastAsia" w:ascii="宋体" w:hAnsi="宋体" w:eastAsia="宋体" w:cs="宋体"/>
          <w:b w:val="0"/>
          <w:sz w:val="21"/>
          <w:szCs w:val="21"/>
          <w:lang w:val="en-US" w:eastAsia="zh-CN"/>
        </w:rPr>
        <w:t>预防性试验</w:t>
      </w:r>
      <w:r>
        <w:rPr>
          <w:rFonts w:hint="eastAsia" w:ascii="宋体" w:hAnsi="宋体" w:eastAsia="宋体" w:cs="宋体"/>
          <w:sz w:val="21"/>
          <w:szCs w:val="21"/>
        </w:rPr>
        <w:t>项目清单”项目的具体数量，因此无法保证服务期内服务单位进行高低压配电系统设备预防性试验服务项目的总数量，服务单位不得因采购人实际高低压配电系统设备预防性试验服务项目数量减少或增加而要求提供任何形式的补偿或赔偿。</w:t>
      </w:r>
    </w:p>
    <w:p w14:paraId="2627BA84">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服务单位必须清楚理解：采购人无法预计也无法保证服务单位所能获得的服务项目数量。在服务期限内，根据采购人实际运营项目的具体情况，采购人仍有权通过其他合法方式选择服务单位之外的其他单位提供本高低压配电系统设备预防性试验服务内容。</w:t>
      </w:r>
    </w:p>
    <w:p w14:paraId="5020DD00">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受相关主管部门政策调整的影响或服务单位服务无法满足采购人需要（或服务单位服务质量未达到采购人要求）的情况下，采购人保留将将相关项目委托给服务单位外其他高低压配电系统设备预防性试验服务单位的权利。</w:t>
      </w:r>
    </w:p>
    <w:p w14:paraId="70E2A9DD">
      <w:pPr>
        <w:pStyle w:val="62"/>
        <w:spacing w:line="360" w:lineRule="auto"/>
        <w:ind w:firstLine="424" w:firstLineChars="202"/>
        <w:rPr>
          <w:rFonts w:hint="eastAsia" w:ascii="宋体" w:hAnsi="宋体" w:eastAsia="宋体" w:cs="宋体"/>
          <w:sz w:val="21"/>
          <w:szCs w:val="21"/>
        </w:rPr>
      </w:pPr>
    </w:p>
    <w:p w14:paraId="6CAB02A8">
      <w:pPr>
        <w:pStyle w:val="30"/>
        <w:numPr>
          <w:ilvl w:val="0"/>
          <w:numId w:val="1"/>
        </w:numPr>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lang w:val="en-US" w:eastAsia="zh-CN"/>
        </w:rPr>
        <w:t>预防性试验</w:t>
      </w:r>
      <w:r>
        <w:rPr>
          <w:rFonts w:hint="eastAsia" w:ascii="宋体" w:hAnsi="宋体" w:eastAsia="宋体" w:cs="宋体"/>
          <w:b/>
          <w:sz w:val="21"/>
          <w:szCs w:val="21"/>
        </w:rPr>
        <w:t>及其它技术要求</w:t>
      </w:r>
    </w:p>
    <w:p w14:paraId="0E9AA827">
      <w:pPr>
        <w:pStyle w:val="62"/>
        <w:spacing w:line="360" w:lineRule="auto"/>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（1）资质要求</w:t>
      </w:r>
    </w:p>
    <w:p w14:paraId="41F009DC">
      <w:pPr>
        <w:pStyle w:val="62"/>
        <w:spacing w:line="360" w:lineRule="auto"/>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服务单位具备国家能源局派出机构颁发的承装（修、试）电力设施许可证资质证书，证书类别包括承修类、承试类且类别等级为</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级或以上【或具有2025年7月1日之后日期颁发或换领的承装（修、试）电力设施许可证三级或以上】。</w:t>
      </w:r>
    </w:p>
    <w:p w14:paraId="6249AEF1">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（2）预防性试验要求</w:t>
      </w:r>
    </w:p>
    <w:p w14:paraId="10CB7A2F">
      <w:pPr>
        <w:pStyle w:val="62"/>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服务单位应严格按照国家颁布最新的《电力设备预防性试验规程》、《电力安全工器具预防性试验规程》等相关规定和标准提供服务，在污水厂设备现场实施检验，检验完毕后服务单位需及时与采购人反馈配电设备存在的缺陷和整改建议，协助采购人完成相应的整改工作，最终出具检验合格的报告才可请款。</w:t>
      </w:r>
    </w:p>
    <w:p w14:paraId="39BF5FD4">
      <w:pPr>
        <w:pStyle w:val="62"/>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设备进行试验时，试验结果应与该设备历次试验结果相比较，与同类设备的试验结果相比较，参照相关的试验结果，根据变化规律和趋势，进行全面分析和判断后作出正确结论。</w:t>
      </w:r>
    </w:p>
    <w:p w14:paraId="32EEF8E4">
      <w:pPr>
        <w:pStyle w:val="62"/>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进行附压试验时，应尽量将连在一起的各种设备分离开来单独试验，但同一试验电压的设备可以连在一起进行试验。己有单独试验记录的若干不同试验电压的电力设备，在单独试验有困难时，也可以连在一起进行试验，此时，试验电压应采用所连接设备中的最低试验电压。</w:t>
      </w:r>
    </w:p>
    <w:p w14:paraId="32D23C60">
      <w:pPr>
        <w:pStyle w:val="62"/>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在进行与温度和湿度相关的各种试验时，应同时测量被试品的温度和周围空气的温度和湿度。进行绝缘试验时，被试品温度不应低于+5℃，户外试验应在良好的天气下进行，且空气相对湿度一般不高于80%。</w:t>
      </w:r>
    </w:p>
    <w:p w14:paraId="67B42AC1">
      <w:pPr>
        <w:pStyle w:val="6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切断进线电路后，服务单位需要先对低压配电间的配电设备进行预防性试验，采购人</w:t>
      </w:r>
      <w:r>
        <w:rPr>
          <w:rFonts w:hint="eastAsia" w:ascii="宋体" w:hAnsi="宋体" w:eastAsia="宋体" w:cs="宋体"/>
          <w:sz w:val="21"/>
          <w:szCs w:val="21"/>
          <w:highlight w:val="none"/>
          <w:lang w:val="en-US" w:eastAsia="zh-CN"/>
        </w:rPr>
        <w:t>可</w:t>
      </w:r>
      <w:r>
        <w:rPr>
          <w:rFonts w:hint="eastAsia" w:ascii="宋体" w:hAnsi="宋体" w:eastAsia="宋体" w:cs="宋体"/>
          <w:sz w:val="21"/>
          <w:szCs w:val="21"/>
          <w:highlight w:val="none"/>
        </w:rPr>
        <w:t>在低压配电设备试验完成后，使用自行租赁的发电机在低压联络柜或低压进线柜对全厂设备进行供电，以免影响厂区正常运行生产，</w:t>
      </w:r>
      <w:r>
        <w:rPr>
          <w:rFonts w:hint="eastAsia" w:ascii="宋体" w:hAnsi="宋体" w:eastAsia="宋体" w:cs="宋体"/>
          <w:sz w:val="21"/>
          <w:szCs w:val="21"/>
          <w:highlight w:val="none"/>
          <w:lang w:val="en-US" w:eastAsia="zh-CN"/>
        </w:rPr>
        <w:t>故</w:t>
      </w:r>
      <w:r>
        <w:rPr>
          <w:rFonts w:hint="eastAsia" w:ascii="宋体" w:hAnsi="宋体" w:eastAsia="宋体" w:cs="宋体"/>
          <w:sz w:val="21"/>
          <w:szCs w:val="21"/>
          <w:highlight w:val="none"/>
        </w:rPr>
        <w:t>服务单位办理的停电作业票需满足以上要求。如因服务单位办理的停电作业票有误导致采购人的发电机无法接入供电系统或者损坏其他设备的，采购人一切损失由服务单位承担。</w:t>
      </w:r>
    </w:p>
    <w:p w14:paraId="4444493A">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服务单位负责完成本项目所涉及高压线路的停电、送电等工作，并且负责到供电部门办理相关手续，采购人协助提供相关资料文件。</w:t>
      </w:r>
    </w:p>
    <w:p w14:paraId="12566F7D">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每台检验合格的设备应粘贴有效检验合格证，标明检验日期、检验结果、检验员编号及检验单位等内容。</w:t>
      </w:r>
    </w:p>
    <w:p w14:paraId="4DAC700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（3）安全及其它要求</w:t>
      </w:r>
    </w:p>
    <w:p w14:paraId="08EB6B4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 xml:space="preserve"> 施工设备、工器具：由服务单位自行解决。</w:t>
      </w:r>
    </w:p>
    <w:p w14:paraId="0A1B335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 xml:space="preserve"> 施工用电：采购人在各污水厂内提供电接入点，由服务单位自行接入，服务单位需做好用电安全防护措施并无条件接受采购人监督</w:t>
      </w:r>
      <w:r>
        <w:rPr>
          <w:rFonts w:hint="eastAsia" w:ascii="宋体" w:hAnsi="宋体" w:eastAsia="宋体" w:cs="宋体"/>
          <w:sz w:val="21"/>
          <w:szCs w:val="21"/>
          <w:lang w:val="en-US" w:eastAsia="zh-CN"/>
        </w:rPr>
        <w:t>，水电费用由甲方承担</w:t>
      </w:r>
      <w:r>
        <w:rPr>
          <w:rFonts w:hint="eastAsia" w:ascii="宋体" w:hAnsi="宋体" w:eastAsia="宋体" w:cs="宋体"/>
          <w:sz w:val="21"/>
          <w:szCs w:val="21"/>
        </w:rPr>
        <w:t>。</w:t>
      </w:r>
    </w:p>
    <w:p w14:paraId="437841A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 xml:space="preserve"> 施工安全：服务单位做好施工的安全防护措施，施工过程中出现的安全事故由服务单位自行承担。</w:t>
      </w:r>
    </w:p>
    <w:p w14:paraId="6DC52DA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（4）服务要求</w:t>
      </w:r>
    </w:p>
    <w:p w14:paraId="60D85D3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采购人有权在服务单位开展预防性试验相关工作3日前，通知服务单位取消采购人指定项目的预防性试验服务。在未接到采购人通知之前，服务单位不得单方面开展预防性试验及检验相关工作。</w:t>
      </w:r>
    </w:p>
    <w:p w14:paraId="1B83A13B">
      <w:pPr>
        <w:spacing w:line="200" w:lineRule="exact"/>
        <w:ind w:firstLine="420" w:firstLineChars="200"/>
        <w:rPr>
          <w:rFonts w:hint="eastAsia" w:ascii="宋体" w:hAnsi="宋体" w:eastAsia="宋体" w:cs="宋体"/>
          <w:sz w:val="21"/>
          <w:szCs w:val="21"/>
        </w:rPr>
      </w:pPr>
    </w:p>
    <w:p w14:paraId="5884DC7C">
      <w:pPr>
        <w:pStyle w:val="30"/>
        <w:numPr>
          <w:ilvl w:val="0"/>
          <w:numId w:val="1"/>
        </w:numPr>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安全要求</w:t>
      </w:r>
    </w:p>
    <w:p w14:paraId="3471351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服务单位的维保人员在高低压</w:t>
      </w:r>
      <w:r>
        <w:rPr>
          <w:rFonts w:hint="eastAsia" w:ascii="宋体" w:hAnsi="宋体" w:eastAsia="宋体" w:cs="宋体"/>
          <w:sz w:val="21"/>
          <w:szCs w:val="21"/>
          <w:lang w:val="zh-CN"/>
        </w:rPr>
        <w:t>配电系统预防性试验</w:t>
      </w:r>
      <w:r>
        <w:rPr>
          <w:rFonts w:hint="eastAsia" w:ascii="宋体" w:hAnsi="宋体" w:eastAsia="宋体" w:cs="宋体"/>
          <w:sz w:val="21"/>
          <w:szCs w:val="21"/>
        </w:rPr>
        <w:t>服务过程中需严格执行用电安全等相关规范，遵守采购人的一切规章制度和安全条例，并无条件接受采购人监督，高低压</w:t>
      </w:r>
      <w:r>
        <w:rPr>
          <w:rFonts w:hint="eastAsia" w:ascii="宋体" w:hAnsi="宋体" w:eastAsia="宋体" w:cs="宋体"/>
          <w:sz w:val="21"/>
          <w:szCs w:val="21"/>
          <w:lang w:val="zh-CN"/>
        </w:rPr>
        <w:t>配电系统预防性试验</w:t>
      </w:r>
      <w:r>
        <w:rPr>
          <w:rFonts w:hint="eastAsia" w:ascii="宋体" w:hAnsi="宋体" w:eastAsia="宋体" w:cs="宋体"/>
          <w:sz w:val="21"/>
          <w:szCs w:val="21"/>
        </w:rPr>
        <w:t>服务过程中发生的一切安全事故均由服务单位负责。</w:t>
      </w:r>
    </w:p>
    <w:p w14:paraId="4BABFB94">
      <w:pPr>
        <w:pStyle w:val="2"/>
        <w:ind w:firstLine="420"/>
        <w:rPr>
          <w:rFonts w:hint="eastAsia" w:ascii="宋体" w:hAnsi="宋体" w:eastAsia="宋体" w:cs="宋体"/>
          <w:sz w:val="21"/>
          <w:szCs w:val="21"/>
          <w:lang w:val="en-US" w:eastAsia="zh-CN"/>
        </w:rPr>
      </w:pPr>
    </w:p>
    <w:p w14:paraId="5996D6D6">
      <w:pPr>
        <w:pStyle w:val="30"/>
        <w:numPr>
          <w:ilvl w:val="0"/>
          <w:numId w:val="1"/>
        </w:numPr>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rPr>
        <w:t>履约质量评价</w:t>
      </w:r>
    </w:p>
    <w:p w14:paraId="31B0417E">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 预防性试验结束后，采购人对服务单位所负责项目预防性试验服务质量、配合度等实际履约情况进行评价，填写附件1《供应商履约评价表》。</w:t>
      </w:r>
    </w:p>
    <w:p w14:paraId="681FB933">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(2) 供应商履约评价表满分为100分，评价分数在80分或以上的，采购人全额支付预防性试验服务费；评价分数低于80分、达到60分时，预防性试验服务费按所得分数与满分的百分比进行付费。评价分数低于60分时，采购人无需支付预防性试验服务费，且采购人有权</w:t>
      </w:r>
      <w:r>
        <w:rPr>
          <w:rFonts w:hint="eastAsia" w:ascii="宋体" w:hAnsi="宋体" w:eastAsia="宋体" w:cs="宋体"/>
          <w:sz w:val="21"/>
          <w:szCs w:val="21"/>
          <w:lang w:val="en-US" w:eastAsia="zh-CN"/>
        </w:rPr>
        <w:t>单方</w:t>
      </w:r>
      <w:r>
        <w:rPr>
          <w:rFonts w:hint="eastAsia" w:ascii="宋体" w:hAnsi="宋体" w:eastAsia="宋体" w:cs="宋体"/>
          <w:sz w:val="21"/>
          <w:szCs w:val="21"/>
        </w:rPr>
        <w:t>解除本合同。</w:t>
      </w:r>
    </w:p>
    <w:p w14:paraId="4DAE2B2E">
      <w:pPr>
        <w:pStyle w:val="62"/>
        <w:spacing w:line="360" w:lineRule="auto"/>
        <w:ind w:firstLine="424" w:firstLineChars="202"/>
        <w:rPr>
          <w:rFonts w:hint="eastAsia" w:ascii="宋体" w:hAnsi="宋体" w:eastAsia="宋体" w:cs="宋体"/>
          <w:sz w:val="21"/>
          <w:szCs w:val="21"/>
        </w:rPr>
      </w:pPr>
    </w:p>
    <w:p w14:paraId="5292692A">
      <w:pPr>
        <w:spacing w:line="360" w:lineRule="auto"/>
        <w:rPr>
          <w:rFonts w:hint="eastAsia" w:ascii="宋体" w:hAnsi="宋体" w:eastAsia="宋体" w:cs="宋体"/>
          <w:b/>
          <w:sz w:val="21"/>
          <w:szCs w:val="21"/>
        </w:rPr>
      </w:pPr>
      <w:r>
        <w:rPr>
          <w:rFonts w:hint="eastAsia" w:ascii="宋体" w:hAnsi="宋体" w:eastAsia="宋体" w:cs="宋体"/>
          <w:b/>
          <w:sz w:val="21"/>
          <w:szCs w:val="21"/>
        </w:rPr>
        <w:t>9. 价款要求</w:t>
      </w:r>
    </w:p>
    <w:p w14:paraId="0CA6E721">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 本项目报价为包干价，服务合同单价包含但不限于试验费、服务费、措施费、人工费、证书邮寄费、第三方技术服务费用、交通费用、服务使用的计量器具及工具费用等完成本项目需要的一切费用、</w:t>
      </w:r>
      <w:r>
        <w:rPr>
          <w:rFonts w:hint="eastAsia" w:ascii="宋体" w:hAnsi="宋体" w:eastAsia="宋体" w:cs="宋体"/>
          <w:sz w:val="21"/>
          <w:szCs w:val="21"/>
          <w:lang w:val="en-US" w:eastAsia="zh-CN"/>
        </w:rPr>
        <w:t>服务单位</w:t>
      </w:r>
      <w:r>
        <w:rPr>
          <w:rFonts w:hint="eastAsia" w:ascii="宋体" w:hAnsi="宋体" w:eastAsia="宋体" w:cs="宋体"/>
          <w:sz w:val="21"/>
          <w:szCs w:val="21"/>
        </w:rPr>
        <w:t>销项税额以外税费等完成本项目需要的一切费用，并且报价不随法律法规政策、物价人工、服务期调整而进行调整，未经采购人书面确认，服务单位无权增加任何费用。</w:t>
      </w:r>
    </w:p>
    <w:p w14:paraId="6BE7D241">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(2) 在污水厂设备现场实施检验，检验完毕后</w:t>
      </w:r>
      <w:r>
        <w:rPr>
          <w:rFonts w:hint="eastAsia" w:ascii="宋体" w:hAnsi="宋体" w:eastAsia="宋体" w:cs="宋体"/>
          <w:sz w:val="21"/>
          <w:szCs w:val="21"/>
          <w:lang w:val="en-US" w:eastAsia="zh-CN"/>
        </w:rPr>
        <w:t>服务单位</w:t>
      </w:r>
      <w:r>
        <w:rPr>
          <w:rFonts w:hint="eastAsia" w:ascii="宋体" w:hAnsi="宋体" w:eastAsia="宋体" w:cs="宋体"/>
          <w:sz w:val="21"/>
          <w:szCs w:val="21"/>
        </w:rPr>
        <w:t>需及时与甲方反馈配电设备存在的缺陷和整改建议，协助</w:t>
      </w:r>
      <w:r>
        <w:rPr>
          <w:rFonts w:hint="eastAsia" w:ascii="宋体" w:hAnsi="宋体" w:eastAsia="宋体" w:cs="宋体"/>
          <w:sz w:val="21"/>
          <w:szCs w:val="21"/>
          <w:lang w:val="en-US" w:eastAsia="zh-CN"/>
        </w:rPr>
        <w:t>采购人</w:t>
      </w:r>
      <w:r>
        <w:rPr>
          <w:rFonts w:hint="eastAsia" w:ascii="宋体" w:hAnsi="宋体" w:eastAsia="宋体" w:cs="宋体"/>
          <w:sz w:val="21"/>
          <w:szCs w:val="21"/>
        </w:rPr>
        <w:t>完成相应的整改工作，最终出具检验合格的报告，经</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验收合格后，办理支付实际服务量的款项，服务单位向采购人提交请款报告和等额的合法、有效的增值税专用发票，采购人在收到前述材料并确认无误后</w:t>
      </w:r>
      <w:r>
        <w:rPr>
          <w:rFonts w:hint="eastAsia" w:ascii="宋体" w:hAnsi="宋体" w:eastAsia="宋体" w:cs="宋体"/>
          <w:sz w:val="21"/>
          <w:szCs w:val="21"/>
          <w:lang w:val="en-US" w:eastAsia="zh-CN"/>
        </w:rPr>
        <w:t>30</w:t>
      </w:r>
      <w:r>
        <w:rPr>
          <w:rFonts w:hint="eastAsia" w:ascii="宋体" w:hAnsi="宋体" w:eastAsia="宋体" w:cs="宋体"/>
          <w:sz w:val="21"/>
          <w:szCs w:val="21"/>
        </w:rPr>
        <w:t>个工作日内，支付结算实际服务量的合同价和该合同价对应的税额给服务单位。采购人通过银行转账或银行承兑汇票方式支付相应款项至本合同签署栏中载明的服务单位银行账户中，汇票期限不超过三个月，每期款项支付方式由采购人决定。</w:t>
      </w:r>
    </w:p>
    <w:p w14:paraId="1E481302">
      <w:pPr>
        <w:pStyle w:val="62"/>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3）服务单位提供服务委托清单价款等额合法的增值税专用发票、请款报告等请款资料，逾期提交请款资料及发票或提交资料不符合采购人要求的，采购人付款时间顺延，并不承担途期付款违约责任。由于服务单位提供的发票不符合税法规定，给采购人造成的损失由服务单位承担赔偿责任。</w:t>
      </w:r>
    </w:p>
    <w:p w14:paraId="3330AB08">
      <w:pPr>
        <w:pStyle w:val="62"/>
        <w:spacing w:line="360" w:lineRule="auto"/>
        <w:ind w:firstLine="424" w:firstLineChars="202"/>
        <w:rPr>
          <w:rFonts w:hint="eastAsia" w:ascii="宋体" w:hAnsi="宋体" w:eastAsia="宋体" w:cs="宋体"/>
          <w:sz w:val="21"/>
          <w:szCs w:val="21"/>
        </w:rPr>
      </w:pPr>
    </w:p>
    <w:p w14:paraId="065683DE">
      <w:pPr>
        <w:pStyle w:val="62"/>
        <w:spacing w:line="360" w:lineRule="auto"/>
        <w:rPr>
          <w:rFonts w:hint="eastAsia" w:ascii="宋体" w:hAnsi="宋体" w:eastAsia="宋体" w:cs="宋体"/>
          <w:sz w:val="21"/>
          <w:szCs w:val="21"/>
        </w:rPr>
      </w:pPr>
    </w:p>
    <w:p w14:paraId="36631843">
      <w:pPr>
        <w:pStyle w:val="62"/>
        <w:spacing w:line="360" w:lineRule="auto"/>
        <w:rPr>
          <w:rFonts w:hint="eastAsia" w:ascii="宋体" w:hAnsi="宋体" w:eastAsia="宋体" w:cs="宋体"/>
          <w:sz w:val="21"/>
          <w:szCs w:val="21"/>
        </w:rPr>
      </w:pPr>
    </w:p>
    <w:p w14:paraId="45CDB73B">
      <w:pPr>
        <w:pStyle w:val="62"/>
        <w:spacing w:line="360" w:lineRule="auto"/>
        <w:rPr>
          <w:rFonts w:hint="eastAsia" w:ascii="宋体" w:hAnsi="宋体" w:eastAsia="宋体" w:cs="宋体"/>
          <w:sz w:val="21"/>
          <w:szCs w:val="21"/>
        </w:rPr>
      </w:pPr>
    </w:p>
    <w:p w14:paraId="068FC1F2">
      <w:pPr>
        <w:pStyle w:val="62"/>
        <w:spacing w:line="360" w:lineRule="auto"/>
        <w:rPr>
          <w:rFonts w:hint="eastAsia" w:ascii="宋体" w:hAnsi="宋体" w:eastAsia="宋体" w:cs="宋体"/>
          <w:sz w:val="21"/>
          <w:szCs w:val="21"/>
        </w:rPr>
      </w:pPr>
    </w:p>
    <w:p w14:paraId="4110801A">
      <w:pPr>
        <w:pStyle w:val="62"/>
        <w:spacing w:line="360" w:lineRule="auto"/>
        <w:rPr>
          <w:rFonts w:hint="eastAsia" w:ascii="宋体" w:hAnsi="宋体" w:eastAsia="宋体" w:cs="宋体"/>
          <w:sz w:val="21"/>
          <w:szCs w:val="21"/>
        </w:rPr>
      </w:pPr>
    </w:p>
    <w:p w14:paraId="4D25DF68">
      <w:pPr>
        <w:pStyle w:val="62"/>
        <w:spacing w:line="360" w:lineRule="auto"/>
        <w:rPr>
          <w:rFonts w:hint="eastAsia" w:ascii="宋体" w:hAnsi="宋体" w:eastAsia="宋体" w:cs="宋体"/>
          <w:sz w:val="21"/>
          <w:szCs w:val="21"/>
        </w:rPr>
      </w:pPr>
    </w:p>
    <w:p w14:paraId="7DC6B919">
      <w:pPr>
        <w:pStyle w:val="62"/>
        <w:spacing w:line="360" w:lineRule="auto"/>
        <w:rPr>
          <w:rFonts w:hint="eastAsia" w:ascii="宋体" w:hAnsi="宋体" w:eastAsia="宋体" w:cs="宋体"/>
          <w:sz w:val="21"/>
          <w:szCs w:val="21"/>
        </w:rPr>
      </w:pPr>
    </w:p>
    <w:p w14:paraId="42BD2E27">
      <w:pPr>
        <w:pStyle w:val="62"/>
        <w:spacing w:line="360" w:lineRule="auto"/>
        <w:rPr>
          <w:rFonts w:hint="eastAsia" w:ascii="宋体" w:hAnsi="宋体" w:eastAsia="宋体" w:cs="宋体"/>
          <w:sz w:val="21"/>
          <w:szCs w:val="21"/>
        </w:rPr>
      </w:pPr>
    </w:p>
    <w:p w14:paraId="16BE6BF6">
      <w:pPr>
        <w:pStyle w:val="62"/>
        <w:spacing w:line="360" w:lineRule="auto"/>
        <w:rPr>
          <w:rFonts w:hint="eastAsia" w:ascii="宋体" w:hAnsi="宋体" w:eastAsia="宋体" w:cs="宋体"/>
          <w:sz w:val="21"/>
          <w:szCs w:val="21"/>
        </w:rPr>
      </w:pPr>
    </w:p>
    <w:p w14:paraId="30F7ACD1">
      <w:pPr>
        <w:pStyle w:val="62"/>
        <w:spacing w:line="360" w:lineRule="auto"/>
        <w:rPr>
          <w:rFonts w:hint="eastAsia" w:ascii="宋体" w:hAnsi="宋体" w:eastAsia="宋体" w:cs="宋体"/>
          <w:sz w:val="21"/>
          <w:szCs w:val="21"/>
        </w:rPr>
      </w:pPr>
    </w:p>
    <w:p w14:paraId="1E667610">
      <w:pPr>
        <w:rPr>
          <w:rFonts w:hint="eastAsia" w:ascii="宋体" w:hAnsi="宋体" w:eastAsia="宋体" w:cs="宋体"/>
          <w:sz w:val="21"/>
          <w:szCs w:val="21"/>
        </w:rPr>
      </w:pPr>
      <w:r>
        <w:rPr>
          <w:rFonts w:hint="eastAsia" w:ascii="宋体" w:hAnsi="宋体" w:eastAsia="宋体" w:cs="宋体"/>
          <w:sz w:val="21"/>
          <w:szCs w:val="21"/>
        </w:rPr>
        <w:br w:type="page"/>
      </w:r>
    </w:p>
    <w:p w14:paraId="7E859755">
      <w:pPr>
        <w:spacing w:line="420" w:lineRule="exact"/>
        <w:rPr>
          <w:rFonts w:hint="eastAsia" w:ascii="仿宋_GB2312" w:hAnsi="仿宋_GB2312" w:eastAsia="仿宋_GB2312" w:cs="仿宋_GB2312"/>
          <w:b w:val="0"/>
          <w:bCs w:val="0"/>
        </w:rPr>
      </w:pPr>
      <w:r>
        <w:rPr>
          <w:rFonts w:hint="eastAsia" w:ascii="仿宋_GB2312" w:hAnsi="仿宋_GB2312" w:eastAsia="仿宋_GB2312" w:cs="仿宋_GB2312"/>
          <w:b w:val="0"/>
          <w:bCs w:val="0"/>
        </w:rPr>
        <w:t>附件</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供应商履约评价表</w:t>
      </w:r>
    </w:p>
    <w:p w14:paraId="67821D4D">
      <w:pPr>
        <w:spacing w:line="360" w:lineRule="auto"/>
        <w:ind w:firstLine="422"/>
        <w:jc w:val="center"/>
        <w:rPr>
          <w:rFonts w:hAnsi="宋体" w:cs="宋体"/>
          <w:b/>
          <w:sz w:val="22"/>
          <w:szCs w:val="20"/>
        </w:rPr>
      </w:pPr>
      <w:r>
        <w:rPr>
          <w:rFonts w:hint="eastAsia" w:hAnsi="宋体" w:cs="宋体"/>
          <w:b/>
          <w:sz w:val="22"/>
          <w:szCs w:val="20"/>
        </w:rPr>
        <w:t>预防性试验服务履约评价表</w:t>
      </w:r>
    </w:p>
    <w:tbl>
      <w:tblPr>
        <w:tblStyle w:val="22"/>
        <w:tblW w:w="9114" w:type="dxa"/>
        <w:jc w:val="center"/>
        <w:tblLayout w:type="fixed"/>
        <w:tblCellMar>
          <w:top w:w="0" w:type="dxa"/>
          <w:left w:w="108" w:type="dxa"/>
          <w:bottom w:w="0" w:type="dxa"/>
          <w:right w:w="108" w:type="dxa"/>
        </w:tblCellMar>
      </w:tblPr>
      <w:tblGrid>
        <w:gridCol w:w="664"/>
        <w:gridCol w:w="1788"/>
        <w:gridCol w:w="4282"/>
        <w:gridCol w:w="855"/>
        <w:gridCol w:w="795"/>
        <w:gridCol w:w="730"/>
      </w:tblGrid>
      <w:tr w14:paraId="31C17DD0">
        <w:tblPrEx>
          <w:tblCellMar>
            <w:top w:w="0" w:type="dxa"/>
            <w:left w:w="108" w:type="dxa"/>
            <w:bottom w:w="0" w:type="dxa"/>
            <w:right w:w="108" w:type="dxa"/>
          </w:tblCellMar>
        </w:tblPrEx>
        <w:trPr>
          <w:trHeight w:val="390"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5D193852">
            <w:pPr>
              <w:ind w:firstLine="420"/>
              <w:jc w:val="center"/>
              <w:rPr>
                <w:rFonts w:hint="eastAsia" w:ascii="宋体" w:hAnsi="宋体" w:eastAsia="宋体" w:cs="宋体"/>
                <w:b/>
                <w:sz w:val="21"/>
                <w:szCs w:val="21"/>
              </w:rPr>
            </w:pPr>
            <w:r>
              <w:rPr>
                <w:rFonts w:hint="eastAsia" w:ascii="宋体" w:hAnsi="宋体" w:eastAsia="宋体" w:cs="宋体"/>
                <w:bCs/>
                <w:sz w:val="21"/>
                <w:szCs w:val="21"/>
              </w:rPr>
              <w:t>合同名称</w:t>
            </w:r>
          </w:p>
        </w:tc>
        <w:tc>
          <w:tcPr>
            <w:tcW w:w="6662" w:type="dxa"/>
            <w:gridSpan w:val="4"/>
            <w:tcBorders>
              <w:top w:val="single" w:color="auto" w:sz="4" w:space="0"/>
              <w:left w:val="nil"/>
              <w:bottom w:val="single" w:color="auto" w:sz="4" w:space="0"/>
              <w:right w:val="single" w:color="auto" w:sz="4" w:space="0"/>
            </w:tcBorders>
            <w:vAlign w:val="center"/>
          </w:tcPr>
          <w:p w14:paraId="2412A89B">
            <w:pPr>
              <w:ind w:firstLine="422"/>
              <w:jc w:val="center"/>
              <w:rPr>
                <w:rFonts w:hint="eastAsia" w:ascii="宋体" w:hAnsi="宋体" w:eastAsia="宋体" w:cs="宋体"/>
                <w:b/>
                <w:sz w:val="21"/>
                <w:szCs w:val="21"/>
              </w:rPr>
            </w:pPr>
          </w:p>
        </w:tc>
      </w:tr>
      <w:tr w14:paraId="29368458">
        <w:tblPrEx>
          <w:tblCellMar>
            <w:top w:w="0" w:type="dxa"/>
            <w:left w:w="108" w:type="dxa"/>
            <w:bottom w:w="0" w:type="dxa"/>
            <w:right w:w="108" w:type="dxa"/>
          </w:tblCellMar>
        </w:tblPrEx>
        <w:trPr>
          <w:trHeight w:val="348"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725C1949">
            <w:pPr>
              <w:ind w:firstLine="420"/>
              <w:jc w:val="center"/>
              <w:rPr>
                <w:rFonts w:hint="eastAsia" w:ascii="宋体" w:hAnsi="宋体" w:eastAsia="宋体" w:cs="宋体"/>
                <w:b/>
                <w:sz w:val="21"/>
                <w:szCs w:val="21"/>
              </w:rPr>
            </w:pPr>
            <w:r>
              <w:rPr>
                <w:rFonts w:hint="eastAsia" w:ascii="宋体" w:hAnsi="宋体" w:eastAsia="宋体" w:cs="宋体"/>
                <w:bCs/>
                <w:sz w:val="21"/>
                <w:szCs w:val="21"/>
              </w:rPr>
              <w:t>合同编号</w:t>
            </w:r>
          </w:p>
        </w:tc>
        <w:tc>
          <w:tcPr>
            <w:tcW w:w="6662" w:type="dxa"/>
            <w:gridSpan w:val="4"/>
            <w:tcBorders>
              <w:top w:val="single" w:color="auto" w:sz="4" w:space="0"/>
              <w:left w:val="nil"/>
              <w:bottom w:val="single" w:color="auto" w:sz="4" w:space="0"/>
              <w:right w:val="single" w:color="auto" w:sz="4" w:space="0"/>
            </w:tcBorders>
            <w:vAlign w:val="center"/>
          </w:tcPr>
          <w:p w14:paraId="192C289D">
            <w:pPr>
              <w:ind w:firstLine="422"/>
              <w:jc w:val="center"/>
              <w:rPr>
                <w:rFonts w:hint="eastAsia" w:ascii="宋体" w:hAnsi="宋体" w:eastAsia="宋体" w:cs="宋体"/>
                <w:b/>
                <w:sz w:val="21"/>
                <w:szCs w:val="21"/>
              </w:rPr>
            </w:pPr>
          </w:p>
        </w:tc>
      </w:tr>
      <w:tr w14:paraId="101C30C0">
        <w:tblPrEx>
          <w:tblCellMar>
            <w:top w:w="0" w:type="dxa"/>
            <w:left w:w="108" w:type="dxa"/>
            <w:bottom w:w="0" w:type="dxa"/>
            <w:right w:w="108" w:type="dxa"/>
          </w:tblCellMar>
        </w:tblPrEx>
        <w:trPr>
          <w:trHeight w:val="362"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202C0222">
            <w:pPr>
              <w:ind w:firstLine="420"/>
              <w:jc w:val="center"/>
              <w:rPr>
                <w:rFonts w:hint="eastAsia" w:ascii="宋体" w:hAnsi="宋体" w:eastAsia="宋体" w:cs="宋体"/>
                <w:b/>
                <w:sz w:val="21"/>
                <w:szCs w:val="21"/>
              </w:rPr>
            </w:pPr>
            <w:r>
              <w:rPr>
                <w:rFonts w:hint="eastAsia" w:ascii="宋体" w:hAnsi="宋体" w:eastAsia="宋体" w:cs="宋体"/>
                <w:bCs/>
                <w:sz w:val="21"/>
                <w:szCs w:val="21"/>
              </w:rPr>
              <w:t>甲方名称</w:t>
            </w:r>
          </w:p>
        </w:tc>
        <w:tc>
          <w:tcPr>
            <w:tcW w:w="6662" w:type="dxa"/>
            <w:gridSpan w:val="4"/>
            <w:tcBorders>
              <w:top w:val="single" w:color="auto" w:sz="4" w:space="0"/>
              <w:left w:val="nil"/>
              <w:bottom w:val="single" w:color="auto" w:sz="4" w:space="0"/>
              <w:right w:val="single" w:color="auto" w:sz="4" w:space="0"/>
            </w:tcBorders>
            <w:vAlign w:val="center"/>
          </w:tcPr>
          <w:p w14:paraId="6FF5BC07">
            <w:pPr>
              <w:ind w:firstLine="422"/>
              <w:jc w:val="center"/>
              <w:rPr>
                <w:rFonts w:hint="eastAsia" w:ascii="宋体" w:hAnsi="宋体" w:eastAsia="宋体" w:cs="宋体"/>
                <w:b/>
                <w:sz w:val="21"/>
                <w:szCs w:val="21"/>
              </w:rPr>
            </w:pPr>
          </w:p>
        </w:tc>
      </w:tr>
      <w:tr w14:paraId="47FB505B">
        <w:tblPrEx>
          <w:tblCellMar>
            <w:top w:w="0" w:type="dxa"/>
            <w:left w:w="108" w:type="dxa"/>
            <w:bottom w:w="0" w:type="dxa"/>
            <w:right w:w="108" w:type="dxa"/>
          </w:tblCellMar>
        </w:tblPrEx>
        <w:trPr>
          <w:trHeight w:val="320"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10BC7FE9">
            <w:pPr>
              <w:ind w:firstLine="420"/>
              <w:jc w:val="center"/>
              <w:rPr>
                <w:rFonts w:hint="eastAsia" w:ascii="宋体" w:hAnsi="宋体" w:eastAsia="宋体" w:cs="宋体"/>
                <w:b/>
                <w:sz w:val="21"/>
                <w:szCs w:val="21"/>
              </w:rPr>
            </w:pPr>
            <w:r>
              <w:rPr>
                <w:rFonts w:hint="eastAsia" w:ascii="宋体" w:hAnsi="宋体" w:eastAsia="宋体" w:cs="宋体"/>
                <w:bCs/>
                <w:sz w:val="21"/>
                <w:szCs w:val="21"/>
              </w:rPr>
              <w:t>供应商</w:t>
            </w:r>
            <w:r>
              <w:rPr>
                <w:rFonts w:hint="eastAsia" w:ascii="宋体" w:hAnsi="宋体" w:eastAsia="宋体" w:cs="宋体"/>
                <w:sz w:val="21"/>
                <w:szCs w:val="21"/>
              </w:rPr>
              <w:t>名称</w:t>
            </w:r>
          </w:p>
        </w:tc>
        <w:tc>
          <w:tcPr>
            <w:tcW w:w="6662" w:type="dxa"/>
            <w:gridSpan w:val="4"/>
            <w:tcBorders>
              <w:top w:val="single" w:color="auto" w:sz="4" w:space="0"/>
              <w:left w:val="nil"/>
              <w:bottom w:val="single" w:color="auto" w:sz="4" w:space="0"/>
              <w:right w:val="single" w:color="auto" w:sz="4" w:space="0"/>
            </w:tcBorders>
            <w:vAlign w:val="center"/>
          </w:tcPr>
          <w:p w14:paraId="51FD025A">
            <w:pPr>
              <w:ind w:firstLine="422"/>
              <w:jc w:val="center"/>
              <w:rPr>
                <w:rFonts w:hint="eastAsia" w:ascii="宋体" w:hAnsi="宋体" w:eastAsia="宋体" w:cs="宋体"/>
                <w:b/>
                <w:sz w:val="21"/>
                <w:szCs w:val="21"/>
              </w:rPr>
            </w:pPr>
          </w:p>
        </w:tc>
      </w:tr>
      <w:tr w14:paraId="3C2C92B0">
        <w:tblPrEx>
          <w:tblCellMar>
            <w:top w:w="0" w:type="dxa"/>
            <w:left w:w="108" w:type="dxa"/>
            <w:bottom w:w="0" w:type="dxa"/>
            <w:right w:w="108" w:type="dxa"/>
          </w:tblCellMar>
        </w:tblPrEx>
        <w:trPr>
          <w:trHeight w:val="363"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7130CCA6">
            <w:pPr>
              <w:ind w:firstLine="420"/>
              <w:jc w:val="center"/>
              <w:rPr>
                <w:rFonts w:hint="eastAsia" w:ascii="宋体" w:hAnsi="宋体" w:eastAsia="宋体" w:cs="宋体"/>
                <w:b/>
                <w:sz w:val="21"/>
                <w:szCs w:val="21"/>
              </w:rPr>
            </w:pPr>
            <w:r>
              <w:rPr>
                <w:rFonts w:hint="eastAsia" w:ascii="宋体" w:hAnsi="宋体" w:eastAsia="宋体" w:cs="宋体"/>
                <w:bCs/>
                <w:sz w:val="21"/>
                <w:szCs w:val="21"/>
              </w:rPr>
              <w:t>供应服务内容</w:t>
            </w:r>
          </w:p>
        </w:tc>
        <w:tc>
          <w:tcPr>
            <w:tcW w:w="6662" w:type="dxa"/>
            <w:gridSpan w:val="4"/>
            <w:tcBorders>
              <w:top w:val="single" w:color="auto" w:sz="4" w:space="0"/>
              <w:left w:val="nil"/>
              <w:bottom w:val="single" w:color="auto" w:sz="4" w:space="0"/>
              <w:right w:val="single" w:color="auto" w:sz="4" w:space="0"/>
            </w:tcBorders>
            <w:vAlign w:val="center"/>
          </w:tcPr>
          <w:p w14:paraId="01ACCFE7">
            <w:pPr>
              <w:ind w:firstLine="422"/>
              <w:jc w:val="center"/>
              <w:rPr>
                <w:rFonts w:hint="eastAsia" w:ascii="宋体" w:hAnsi="宋体" w:eastAsia="宋体" w:cs="宋体"/>
                <w:b/>
                <w:sz w:val="21"/>
                <w:szCs w:val="21"/>
              </w:rPr>
            </w:pPr>
          </w:p>
        </w:tc>
      </w:tr>
      <w:tr w14:paraId="0FA4EE03">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7E68BB9C">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788" w:type="dxa"/>
            <w:tcBorders>
              <w:top w:val="single" w:color="auto" w:sz="4" w:space="0"/>
              <w:left w:val="nil"/>
              <w:bottom w:val="single" w:color="auto" w:sz="4" w:space="0"/>
              <w:right w:val="single" w:color="auto" w:sz="4" w:space="0"/>
            </w:tcBorders>
            <w:vAlign w:val="center"/>
          </w:tcPr>
          <w:p w14:paraId="0A13263F">
            <w:pPr>
              <w:jc w:val="center"/>
              <w:rPr>
                <w:rFonts w:hint="eastAsia" w:ascii="宋体" w:hAnsi="宋体" w:eastAsia="宋体" w:cs="宋体"/>
                <w:b/>
                <w:sz w:val="21"/>
                <w:szCs w:val="21"/>
              </w:rPr>
            </w:pPr>
            <w:r>
              <w:rPr>
                <w:rFonts w:hint="eastAsia" w:ascii="宋体" w:hAnsi="宋体" w:eastAsia="宋体" w:cs="宋体"/>
                <w:b/>
                <w:sz w:val="21"/>
                <w:szCs w:val="21"/>
              </w:rPr>
              <w:t>履约评价内容</w:t>
            </w:r>
          </w:p>
        </w:tc>
        <w:tc>
          <w:tcPr>
            <w:tcW w:w="4282" w:type="dxa"/>
            <w:tcBorders>
              <w:top w:val="single" w:color="auto" w:sz="4" w:space="0"/>
              <w:left w:val="nil"/>
              <w:bottom w:val="single" w:color="auto" w:sz="4" w:space="0"/>
              <w:right w:val="single" w:color="auto" w:sz="4" w:space="0"/>
            </w:tcBorders>
            <w:vAlign w:val="center"/>
          </w:tcPr>
          <w:p w14:paraId="124990F9">
            <w:pPr>
              <w:jc w:val="center"/>
              <w:rPr>
                <w:rFonts w:hint="eastAsia" w:ascii="宋体" w:hAnsi="宋体" w:eastAsia="宋体" w:cs="宋体"/>
                <w:b/>
                <w:sz w:val="21"/>
                <w:szCs w:val="21"/>
              </w:rPr>
            </w:pPr>
            <w:r>
              <w:rPr>
                <w:rFonts w:hint="eastAsia" w:ascii="宋体" w:hAnsi="宋体" w:eastAsia="宋体" w:cs="宋体"/>
                <w:b/>
                <w:sz w:val="21"/>
                <w:szCs w:val="21"/>
              </w:rPr>
              <w:t>履约评分标准</w:t>
            </w:r>
          </w:p>
        </w:tc>
        <w:tc>
          <w:tcPr>
            <w:tcW w:w="855" w:type="dxa"/>
            <w:tcBorders>
              <w:top w:val="single" w:color="auto" w:sz="4" w:space="0"/>
              <w:left w:val="nil"/>
              <w:bottom w:val="single" w:color="auto" w:sz="4" w:space="0"/>
              <w:right w:val="single" w:color="auto" w:sz="4" w:space="0"/>
            </w:tcBorders>
            <w:vAlign w:val="center"/>
          </w:tcPr>
          <w:p w14:paraId="1C9CA334">
            <w:pPr>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795" w:type="dxa"/>
            <w:tcBorders>
              <w:top w:val="single" w:color="auto" w:sz="4" w:space="0"/>
              <w:left w:val="nil"/>
              <w:bottom w:val="single" w:color="auto" w:sz="4" w:space="0"/>
              <w:right w:val="single" w:color="auto" w:sz="4" w:space="0"/>
            </w:tcBorders>
            <w:vAlign w:val="center"/>
          </w:tcPr>
          <w:p w14:paraId="7021DF1E">
            <w:pPr>
              <w:jc w:val="center"/>
              <w:rPr>
                <w:rFonts w:hint="eastAsia" w:ascii="宋体" w:hAnsi="宋体" w:eastAsia="宋体" w:cs="宋体"/>
                <w:b/>
                <w:sz w:val="21"/>
                <w:szCs w:val="21"/>
              </w:rPr>
            </w:pPr>
            <w:r>
              <w:rPr>
                <w:rFonts w:hint="eastAsia" w:ascii="宋体" w:hAnsi="宋体" w:eastAsia="宋体" w:cs="宋体"/>
                <w:b/>
                <w:sz w:val="21"/>
                <w:szCs w:val="21"/>
              </w:rPr>
              <w:t>评价得分</w:t>
            </w:r>
          </w:p>
        </w:tc>
        <w:tc>
          <w:tcPr>
            <w:tcW w:w="730" w:type="dxa"/>
            <w:tcBorders>
              <w:top w:val="single" w:color="auto" w:sz="4" w:space="0"/>
              <w:left w:val="nil"/>
              <w:bottom w:val="single" w:color="auto" w:sz="4" w:space="0"/>
              <w:right w:val="single" w:color="auto" w:sz="4" w:space="0"/>
            </w:tcBorders>
            <w:vAlign w:val="center"/>
          </w:tcPr>
          <w:p w14:paraId="27E931E0">
            <w:pPr>
              <w:jc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29D422D1">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3C868DEC">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88" w:type="dxa"/>
            <w:tcBorders>
              <w:top w:val="single" w:color="auto" w:sz="4" w:space="0"/>
              <w:left w:val="nil"/>
              <w:bottom w:val="single" w:color="auto" w:sz="4" w:space="0"/>
              <w:right w:val="single" w:color="auto" w:sz="4" w:space="0"/>
            </w:tcBorders>
            <w:vAlign w:val="center"/>
          </w:tcPr>
          <w:p w14:paraId="6C1216CE">
            <w:pPr>
              <w:jc w:val="center"/>
              <w:rPr>
                <w:rFonts w:hint="eastAsia" w:ascii="宋体" w:hAnsi="宋体" w:eastAsia="宋体" w:cs="宋体"/>
                <w:sz w:val="21"/>
                <w:szCs w:val="21"/>
              </w:rPr>
            </w:pPr>
            <w:r>
              <w:rPr>
                <w:rFonts w:hint="eastAsia" w:ascii="宋体" w:hAnsi="宋体" w:eastAsia="宋体" w:cs="宋体"/>
                <w:sz w:val="21"/>
                <w:szCs w:val="21"/>
              </w:rPr>
              <w:t>试验情况</w:t>
            </w:r>
          </w:p>
        </w:tc>
        <w:tc>
          <w:tcPr>
            <w:tcW w:w="4282" w:type="dxa"/>
            <w:tcBorders>
              <w:top w:val="single" w:color="auto" w:sz="4" w:space="0"/>
              <w:left w:val="nil"/>
              <w:bottom w:val="single" w:color="auto" w:sz="4" w:space="0"/>
              <w:right w:val="single" w:color="auto" w:sz="4" w:space="0"/>
            </w:tcBorders>
            <w:vAlign w:val="center"/>
          </w:tcPr>
          <w:p w14:paraId="0D236B57">
            <w:pPr>
              <w:pStyle w:val="30"/>
              <w:ind w:firstLine="0" w:firstLineChars="0"/>
              <w:rPr>
                <w:rFonts w:hint="eastAsia" w:ascii="宋体" w:hAnsi="宋体" w:eastAsia="宋体" w:cs="宋体"/>
                <w:sz w:val="21"/>
                <w:szCs w:val="21"/>
              </w:rPr>
            </w:pPr>
            <w:r>
              <w:rPr>
                <w:rFonts w:hint="eastAsia" w:ascii="宋体" w:hAnsi="宋体" w:eastAsia="宋体" w:cs="宋体"/>
                <w:sz w:val="21"/>
                <w:szCs w:val="21"/>
              </w:rPr>
              <w:t>1.未按合同检测项目清单完成试验，扣5分/项；2.未按《电力设备预防性试验规程》等相关规定和标准进行试验，扣5分/项；3.试验报告数据记录不清晰或缺失，扣5分/项；4.试验工具或人员准备不充分，延误停电时长，扣5分/项；5.试验完毕后未粘贴标签或标签不规范，扣5分/项。</w:t>
            </w:r>
          </w:p>
        </w:tc>
        <w:tc>
          <w:tcPr>
            <w:tcW w:w="855" w:type="dxa"/>
            <w:tcBorders>
              <w:top w:val="single" w:color="auto" w:sz="4" w:space="0"/>
              <w:left w:val="nil"/>
              <w:bottom w:val="single" w:color="auto" w:sz="4" w:space="0"/>
              <w:right w:val="single" w:color="auto" w:sz="4" w:space="0"/>
            </w:tcBorders>
            <w:vAlign w:val="center"/>
          </w:tcPr>
          <w:p w14:paraId="5FF1BA8E">
            <w:pPr>
              <w:jc w:val="center"/>
              <w:rPr>
                <w:rFonts w:hint="eastAsia" w:ascii="宋体" w:hAnsi="宋体" w:eastAsia="宋体" w:cs="宋体"/>
                <w:sz w:val="21"/>
                <w:szCs w:val="21"/>
              </w:rPr>
            </w:pPr>
            <w:r>
              <w:rPr>
                <w:rFonts w:hint="eastAsia" w:ascii="宋体" w:hAnsi="宋体" w:eastAsia="宋体" w:cs="宋体"/>
                <w:sz w:val="21"/>
                <w:szCs w:val="21"/>
              </w:rPr>
              <w:t>50分</w:t>
            </w:r>
          </w:p>
        </w:tc>
        <w:tc>
          <w:tcPr>
            <w:tcW w:w="795" w:type="dxa"/>
            <w:tcBorders>
              <w:top w:val="single" w:color="auto" w:sz="4" w:space="0"/>
              <w:left w:val="nil"/>
              <w:bottom w:val="single" w:color="auto" w:sz="4" w:space="0"/>
              <w:right w:val="single" w:color="auto" w:sz="4" w:space="0"/>
            </w:tcBorders>
            <w:vAlign w:val="center"/>
          </w:tcPr>
          <w:p w14:paraId="1304DB14">
            <w:pPr>
              <w:jc w:val="center"/>
              <w:rPr>
                <w:rFonts w:hint="eastAsia" w:ascii="宋体" w:hAnsi="宋体" w:eastAsia="宋体" w:cs="宋体"/>
                <w:b/>
                <w:sz w:val="21"/>
                <w:szCs w:val="21"/>
              </w:rPr>
            </w:pPr>
          </w:p>
        </w:tc>
        <w:tc>
          <w:tcPr>
            <w:tcW w:w="730" w:type="dxa"/>
            <w:tcBorders>
              <w:top w:val="single" w:color="auto" w:sz="4" w:space="0"/>
              <w:left w:val="nil"/>
              <w:bottom w:val="single" w:color="auto" w:sz="4" w:space="0"/>
              <w:right w:val="single" w:color="auto" w:sz="4" w:space="0"/>
            </w:tcBorders>
            <w:vAlign w:val="center"/>
          </w:tcPr>
          <w:p w14:paraId="4B350D9A">
            <w:pPr>
              <w:jc w:val="center"/>
              <w:rPr>
                <w:rFonts w:hint="eastAsia" w:ascii="宋体" w:hAnsi="宋体" w:eastAsia="宋体" w:cs="宋体"/>
                <w:b/>
                <w:sz w:val="21"/>
                <w:szCs w:val="21"/>
              </w:rPr>
            </w:pPr>
          </w:p>
        </w:tc>
      </w:tr>
      <w:tr w14:paraId="13DF8C68">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55149231">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88" w:type="dxa"/>
            <w:tcBorders>
              <w:top w:val="single" w:color="auto" w:sz="4" w:space="0"/>
              <w:left w:val="nil"/>
              <w:bottom w:val="single" w:color="auto" w:sz="4" w:space="0"/>
              <w:right w:val="single" w:color="auto" w:sz="4" w:space="0"/>
            </w:tcBorders>
            <w:vAlign w:val="center"/>
          </w:tcPr>
          <w:p w14:paraId="2F53C378">
            <w:pPr>
              <w:jc w:val="center"/>
              <w:rPr>
                <w:rFonts w:hint="eastAsia" w:ascii="宋体" w:hAnsi="宋体" w:eastAsia="宋体" w:cs="宋体"/>
                <w:sz w:val="21"/>
                <w:szCs w:val="21"/>
              </w:rPr>
            </w:pPr>
            <w:r>
              <w:rPr>
                <w:rFonts w:hint="eastAsia" w:ascii="宋体" w:hAnsi="宋体" w:eastAsia="宋体" w:cs="宋体"/>
                <w:sz w:val="21"/>
                <w:szCs w:val="21"/>
              </w:rPr>
              <w:t>问题反馈情况</w:t>
            </w:r>
          </w:p>
        </w:tc>
        <w:tc>
          <w:tcPr>
            <w:tcW w:w="4282" w:type="dxa"/>
            <w:tcBorders>
              <w:top w:val="single" w:color="auto" w:sz="4" w:space="0"/>
              <w:left w:val="nil"/>
              <w:bottom w:val="single" w:color="auto" w:sz="4" w:space="0"/>
              <w:right w:val="single" w:color="auto" w:sz="4" w:space="0"/>
            </w:tcBorders>
            <w:vAlign w:val="center"/>
          </w:tcPr>
          <w:p w14:paraId="188D0ABC">
            <w:pPr>
              <w:rPr>
                <w:rFonts w:hint="eastAsia" w:ascii="宋体" w:hAnsi="宋体" w:eastAsia="宋体" w:cs="宋体"/>
                <w:sz w:val="21"/>
                <w:szCs w:val="21"/>
              </w:rPr>
            </w:pPr>
            <w:r>
              <w:rPr>
                <w:rFonts w:hint="eastAsia" w:ascii="宋体" w:hAnsi="宋体" w:eastAsia="宋体" w:cs="宋体"/>
                <w:sz w:val="21"/>
                <w:szCs w:val="21"/>
              </w:rPr>
              <w:t>1.未及时、主动反馈试验过程中存在的问题，扣2分/项。</w:t>
            </w:r>
          </w:p>
        </w:tc>
        <w:tc>
          <w:tcPr>
            <w:tcW w:w="855" w:type="dxa"/>
            <w:tcBorders>
              <w:top w:val="single" w:color="auto" w:sz="4" w:space="0"/>
              <w:left w:val="nil"/>
              <w:bottom w:val="single" w:color="auto" w:sz="4" w:space="0"/>
              <w:right w:val="single" w:color="auto" w:sz="4" w:space="0"/>
            </w:tcBorders>
            <w:vAlign w:val="center"/>
          </w:tcPr>
          <w:p w14:paraId="43F5B314">
            <w:pPr>
              <w:jc w:val="center"/>
              <w:rPr>
                <w:rFonts w:hint="eastAsia" w:ascii="宋体" w:hAnsi="宋体" w:eastAsia="宋体" w:cs="宋体"/>
                <w:sz w:val="21"/>
                <w:szCs w:val="21"/>
              </w:rPr>
            </w:pPr>
            <w:r>
              <w:rPr>
                <w:rFonts w:hint="eastAsia" w:ascii="宋体" w:hAnsi="宋体" w:eastAsia="宋体" w:cs="宋体"/>
                <w:sz w:val="21"/>
                <w:szCs w:val="21"/>
              </w:rPr>
              <w:t>10分</w:t>
            </w:r>
          </w:p>
        </w:tc>
        <w:tc>
          <w:tcPr>
            <w:tcW w:w="795" w:type="dxa"/>
            <w:tcBorders>
              <w:top w:val="single" w:color="auto" w:sz="4" w:space="0"/>
              <w:left w:val="nil"/>
              <w:bottom w:val="single" w:color="auto" w:sz="4" w:space="0"/>
              <w:right w:val="single" w:color="auto" w:sz="4" w:space="0"/>
            </w:tcBorders>
            <w:vAlign w:val="center"/>
          </w:tcPr>
          <w:p w14:paraId="549C343D">
            <w:pPr>
              <w:jc w:val="center"/>
              <w:rPr>
                <w:rFonts w:hint="eastAsia" w:ascii="宋体" w:hAnsi="宋体" w:eastAsia="宋体" w:cs="宋体"/>
                <w:sz w:val="21"/>
                <w:szCs w:val="21"/>
              </w:rPr>
            </w:pPr>
          </w:p>
        </w:tc>
        <w:tc>
          <w:tcPr>
            <w:tcW w:w="730" w:type="dxa"/>
            <w:tcBorders>
              <w:top w:val="single" w:color="auto" w:sz="4" w:space="0"/>
              <w:left w:val="nil"/>
              <w:bottom w:val="single" w:color="auto" w:sz="4" w:space="0"/>
              <w:right w:val="single" w:color="auto" w:sz="4" w:space="0"/>
            </w:tcBorders>
          </w:tcPr>
          <w:p w14:paraId="444C37FD">
            <w:pPr>
              <w:jc w:val="center"/>
              <w:rPr>
                <w:rFonts w:hint="eastAsia" w:ascii="宋体" w:hAnsi="宋体" w:eastAsia="宋体" w:cs="宋体"/>
                <w:sz w:val="21"/>
                <w:szCs w:val="21"/>
              </w:rPr>
            </w:pPr>
          </w:p>
        </w:tc>
      </w:tr>
      <w:tr w14:paraId="7CAF136D">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1B0CC135">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88" w:type="dxa"/>
            <w:tcBorders>
              <w:top w:val="single" w:color="auto" w:sz="4" w:space="0"/>
              <w:left w:val="nil"/>
              <w:bottom w:val="single" w:color="auto" w:sz="4" w:space="0"/>
              <w:right w:val="single" w:color="auto" w:sz="4" w:space="0"/>
            </w:tcBorders>
            <w:vAlign w:val="center"/>
          </w:tcPr>
          <w:p w14:paraId="2439F7B5">
            <w:pPr>
              <w:jc w:val="center"/>
              <w:rPr>
                <w:rFonts w:hint="eastAsia" w:ascii="宋体" w:hAnsi="宋体" w:eastAsia="宋体" w:cs="宋体"/>
                <w:sz w:val="21"/>
                <w:szCs w:val="21"/>
              </w:rPr>
            </w:pPr>
            <w:r>
              <w:rPr>
                <w:rFonts w:hint="eastAsia" w:ascii="宋体" w:hAnsi="宋体" w:eastAsia="宋体" w:cs="宋体"/>
                <w:sz w:val="21"/>
                <w:szCs w:val="21"/>
              </w:rPr>
              <w:t>整改协助情况</w:t>
            </w:r>
          </w:p>
        </w:tc>
        <w:tc>
          <w:tcPr>
            <w:tcW w:w="4282" w:type="dxa"/>
            <w:tcBorders>
              <w:top w:val="single" w:color="auto" w:sz="4" w:space="0"/>
              <w:left w:val="nil"/>
              <w:bottom w:val="single" w:color="auto" w:sz="4" w:space="0"/>
              <w:right w:val="single" w:color="auto" w:sz="4" w:space="0"/>
            </w:tcBorders>
            <w:vAlign w:val="center"/>
          </w:tcPr>
          <w:p w14:paraId="5C9E158A">
            <w:pPr>
              <w:rPr>
                <w:rFonts w:hint="eastAsia" w:ascii="宋体" w:hAnsi="宋体" w:eastAsia="宋体" w:cs="宋体"/>
                <w:sz w:val="21"/>
                <w:szCs w:val="21"/>
              </w:rPr>
            </w:pPr>
            <w:r>
              <w:rPr>
                <w:rFonts w:hint="eastAsia" w:ascii="宋体" w:hAnsi="宋体" w:eastAsia="宋体" w:cs="宋体"/>
                <w:sz w:val="21"/>
                <w:szCs w:val="21"/>
              </w:rPr>
              <w:t>1.未提供合理整改建议，扣2分/项；2.整改完成后未提供试验合格的报告，扣20分。</w:t>
            </w:r>
          </w:p>
        </w:tc>
        <w:tc>
          <w:tcPr>
            <w:tcW w:w="855" w:type="dxa"/>
            <w:tcBorders>
              <w:top w:val="single" w:color="auto" w:sz="4" w:space="0"/>
              <w:left w:val="nil"/>
              <w:bottom w:val="single" w:color="auto" w:sz="4" w:space="0"/>
              <w:right w:val="single" w:color="auto" w:sz="4" w:space="0"/>
            </w:tcBorders>
            <w:vAlign w:val="center"/>
          </w:tcPr>
          <w:p w14:paraId="374AA1F7">
            <w:pPr>
              <w:jc w:val="center"/>
              <w:rPr>
                <w:rFonts w:hint="eastAsia" w:ascii="宋体" w:hAnsi="宋体" w:eastAsia="宋体" w:cs="宋体"/>
                <w:sz w:val="21"/>
                <w:szCs w:val="21"/>
              </w:rPr>
            </w:pPr>
            <w:r>
              <w:rPr>
                <w:rFonts w:hint="eastAsia" w:ascii="宋体" w:hAnsi="宋体" w:eastAsia="宋体" w:cs="宋体"/>
                <w:sz w:val="21"/>
                <w:szCs w:val="21"/>
              </w:rPr>
              <w:t>20分</w:t>
            </w:r>
          </w:p>
        </w:tc>
        <w:tc>
          <w:tcPr>
            <w:tcW w:w="795" w:type="dxa"/>
            <w:tcBorders>
              <w:top w:val="single" w:color="auto" w:sz="4" w:space="0"/>
              <w:left w:val="nil"/>
              <w:bottom w:val="single" w:color="auto" w:sz="4" w:space="0"/>
              <w:right w:val="single" w:color="auto" w:sz="4" w:space="0"/>
            </w:tcBorders>
            <w:vAlign w:val="center"/>
          </w:tcPr>
          <w:p w14:paraId="0AADA57A">
            <w:pPr>
              <w:jc w:val="center"/>
              <w:rPr>
                <w:rFonts w:hint="eastAsia" w:ascii="宋体" w:hAnsi="宋体" w:eastAsia="宋体" w:cs="宋体"/>
                <w:sz w:val="21"/>
                <w:szCs w:val="21"/>
              </w:rPr>
            </w:pPr>
          </w:p>
        </w:tc>
        <w:tc>
          <w:tcPr>
            <w:tcW w:w="730" w:type="dxa"/>
            <w:tcBorders>
              <w:top w:val="single" w:color="auto" w:sz="4" w:space="0"/>
              <w:left w:val="nil"/>
              <w:bottom w:val="single" w:color="auto" w:sz="4" w:space="0"/>
              <w:right w:val="single" w:color="auto" w:sz="4" w:space="0"/>
            </w:tcBorders>
          </w:tcPr>
          <w:p w14:paraId="1247A403">
            <w:pPr>
              <w:jc w:val="center"/>
              <w:rPr>
                <w:rFonts w:hint="eastAsia" w:ascii="宋体" w:hAnsi="宋体" w:eastAsia="宋体" w:cs="宋体"/>
                <w:sz w:val="21"/>
                <w:szCs w:val="21"/>
              </w:rPr>
            </w:pPr>
          </w:p>
        </w:tc>
      </w:tr>
      <w:tr w14:paraId="14E70A30">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5898D870">
            <w:pPr>
              <w:jc w:val="center"/>
              <w:rPr>
                <w:rFonts w:hint="eastAsia" w:ascii="宋体" w:hAnsi="宋体" w:eastAsia="宋体" w:cs="宋体"/>
                <w:sz w:val="21"/>
                <w:szCs w:val="21"/>
              </w:rPr>
            </w:pPr>
            <w:r>
              <w:rPr>
                <w:rFonts w:hint="eastAsia" w:ascii="宋体" w:hAnsi="宋体" w:eastAsia="宋体" w:cs="宋体"/>
                <w:sz w:val="21"/>
                <w:szCs w:val="21"/>
              </w:rPr>
              <w:t>6</w:t>
            </w:r>
          </w:p>
        </w:tc>
        <w:tc>
          <w:tcPr>
            <w:tcW w:w="1788" w:type="dxa"/>
            <w:tcBorders>
              <w:top w:val="single" w:color="auto" w:sz="4" w:space="0"/>
              <w:left w:val="nil"/>
              <w:bottom w:val="single" w:color="auto" w:sz="4" w:space="0"/>
              <w:right w:val="single" w:color="auto" w:sz="4" w:space="0"/>
            </w:tcBorders>
            <w:vAlign w:val="center"/>
          </w:tcPr>
          <w:p w14:paraId="23CC79CA">
            <w:pPr>
              <w:jc w:val="center"/>
              <w:rPr>
                <w:rFonts w:hint="eastAsia" w:ascii="宋体" w:hAnsi="宋体" w:eastAsia="宋体" w:cs="宋体"/>
                <w:sz w:val="21"/>
                <w:szCs w:val="21"/>
              </w:rPr>
            </w:pPr>
            <w:r>
              <w:rPr>
                <w:rFonts w:hint="eastAsia" w:ascii="宋体" w:hAnsi="宋体" w:eastAsia="宋体" w:cs="宋体"/>
                <w:sz w:val="21"/>
                <w:szCs w:val="21"/>
              </w:rPr>
              <w:t>安全作业</w:t>
            </w:r>
          </w:p>
        </w:tc>
        <w:tc>
          <w:tcPr>
            <w:tcW w:w="4282" w:type="dxa"/>
            <w:tcBorders>
              <w:top w:val="single" w:color="auto" w:sz="4" w:space="0"/>
              <w:left w:val="nil"/>
              <w:bottom w:val="single" w:color="auto" w:sz="4" w:space="0"/>
              <w:right w:val="single" w:color="auto" w:sz="4" w:space="0"/>
            </w:tcBorders>
            <w:vAlign w:val="center"/>
          </w:tcPr>
          <w:p w14:paraId="5342C8AE">
            <w:pPr>
              <w:rPr>
                <w:rFonts w:hint="eastAsia" w:ascii="宋体" w:hAnsi="宋体" w:eastAsia="宋体" w:cs="宋体"/>
                <w:sz w:val="21"/>
                <w:szCs w:val="21"/>
              </w:rPr>
            </w:pPr>
            <w:r>
              <w:rPr>
                <w:rFonts w:hint="eastAsia" w:ascii="宋体" w:hAnsi="宋体" w:eastAsia="宋体" w:cs="宋体"/>
                <w:sz w:val="21"/>
                <w:szCs w:val="21"/>
              </w:rPr>
              <w:t>1.试验过程中未按规范穿戴防护手套、安全帽、安全吊带等安全用具扣2分/项；2.未严格执行高空作业、特种设备操作、用电安全等相关规范，扣10分。</w:t>
            </w:r>
          </w:p>
        </w:tc>
        <w:tc>
          <w:tcPr>
            <w:tcW w:w="855" w:type="dxa"/>
            <w:tcBorders>
              <w:top w:val="single" w:color="auto" w:sz="4" w:space="0"/>
              <w:left w:val="nil"/>
              <w:bottom w:val="single" w:color="auto" w:sz="4" w:space="0"/>
              <w:right w:val="single" w:color="auto" w:sz="4" w:space="0"/>
            </w:tcBorders>
            <w:vAlign w:val="center"/>
          </w:tcPr>
          <w:p w14:paraId="42FC6CC6">
            <w:pPr>
              <w:jc w:val="center"/>
              <w:rPr>
                <w:rFonts w:hint="eastAsia" w:ascii="宋体" w:hAnsi="宋体" w:eastAsia="宋体" w:cs="宋体"/>
                <w:sz w:val="21"/>
                <w:szCs w:val="21"/>
              </w:rPr>
            </w:pPr>
            <w:r>
              <w:rPr>
                <w:rFonts w:hint="eastAsia" w:ascii="宋体" w:hAnsi="宋体" w:eastAsia="宋体" w:cs="宋体"/>
                <w:sz w:val="21"/>
                <w:szCs w:val="21"/>
              </w:rPr>
              <w:t>10分</w:t>
            </w:r>
          </w:p>
        </w:tc>
        <w:tc>
          <w:tcPr>
            <w:tcW w:w="795" w:type="dxa"/>
            <w:tcBorders>
              <w:top w:val="single" w:color="auto" w:sz="4" w:space="0"/>
              <w:left w:val="nil"/>
              <w:bottom w:val="single" w:color="auto" w:sz="4" w:space="0"/>
              <w:right w:val="single" w:color="auto" w:sz="4" w:space="0"/>
            </w:tcBorders>
            <w:vAlign w:val="center"/>
          </w:tcPr>
          <w:p w14:paraId="28F50312">
            <w:pPr>
              <w:jc w:val="center"/>
              <w:rPr>
                <w:rFonts w:hint="eastAsia" w:ascii="宋体" w:hAnsi="宋体" w:eastAsia="宋体" w:cs="宋体"/>
                <w:sz w:val="21"/>
                <w:szCs w:val="21"/>
              </w:rPr>
            </w:pPr>
          </w:p>
        </w:tc>
        <w:tc>
          <w:tcPr>
            <w:tcW w:w="730" w:type="dxa"/>
            <w:tcBorders>
              <w:top w:val="single" w:color="auto" w:sz="4" w:space="0"/>
              <w:left w:val="nil"/>
              <w:bottom w:val="single" w:color="auto" w:sz="4" w:space="0"/>
              <w:right w:val="single" w:color="auto" w:sz="4" w:space="0"/>
            </w:tcBorders>
          </w:tcPr>
          <w:p w14:paraId="6BE46CC2">
            <w:pPr>
              <w:jc w:val="center"/>
              <w:rPr>
                <w:rFonts w:hint="eastAsia" w:ascii="宋体" w:hAnsi="宋体" w:eastAsia="宋体" w:cs="宋体"/>
                <w:sz w:val="21"/>
                <w:szCs w:val="21"/>
              </w:rPr>
            </w:pPr>
          </w:p>
        </w:tc>
      </w:tr>
      <w:tr w14:paraId="383E8D85">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7F4513E1">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88" w:type="dxa"/>
            <w:tcBorders>
              <w:top w:val="single" w:color="auto" w:sz="4" w:space="0"/>
              <w:left w:val="nil"/>
              <w:bottom w:val="single" w:color="auto" w:sz="4" w:space="0"/>
              <w:right w:val="single" w:color="auto" w:sz="4" w:space="0"/>
            </w:tcBorders>
            <w:vAlign w:val="center"/>
          </w:tcPr>
          <w:p w14:paraId="5BCCBC8E">
            <w:pPr>
              <w:jc w:val="center"/>
              <w:rPr>
                <w:rFonts w:hint="eastAsia" w:ascii="宋体" w:hAnsi="宋体" w:eastAsia="宋体" w:cs="宋体"/>
                <w:sz w:val="21"/>
                <w:szCs w:val="21"/>
              </w:rPr>
            </w:pPr>
            <w:r>
              <w:rPr>
                <w:rFonts w:hint="eastAsia" w:ascii="宋体" w:hAnsi="宋体" w:eastAsia="宋体" w:cs="宋体"/>
                <w:sz w:val="21"/>
                <w:szCs w:val="21"/>
              </w:rPr>
              <w:t>沟通配合情况</w:t>
            </w:r>
          </w:p>
        </w:tc>
        <w:tc>
          <w:tcPr>
            <w:tcW w:w="4282" w:type="dxa"/>
            <w:tcBorders>
              <w:top w:val="single" w:color="auto" w:sz="4" w:space="0"/>
              <w:left w:val="nil"/>
              <w:bottom w:val="single" w:color="auto" w:sz="4" w:space="0"/>
              <w:right w:val="single" w:color="auto" w:sz="4" w:space="0"/>
            </w:tcBorders>
            <w:vAlign w:val="center"/>
          </w:tcPr>
          <w:p w14:paraId="02E3C76E">
            <w:pPr>
              <w:rPr>
                <w:rFonts w:hint="eastAsia" w:ascii="宋体" w:hAnsi="宋体" w:eastAsia="宋体" w:cs="宋体"/>
                <w:sz w:val="21"/>
                <w:szCs w:val="21"/>
              </w:rPr>
            </w:pPr>
            <w:r>
              <w:rPr>
                <w:rFonts w:hint="eastAsia" w:ascii="宋体" w:hAnsi="宋体" w:eastAsia="宋体" w:cs="宋体"/>
                <w:sz w:val="21"/>
                <w:szCs w:val="21"/>
              </w:rPr>
              <w:t>1.未提前一周或以上与项目负责人沟通具体实施时间与细节，扣5分；2.未按计划实施时间进行试验，扣5分。</w:t>
            </w:r>
          </w:p>
        </w:tc>
        <w:tc>
          <w:tcPr>
            <w:tcW w:w="855" w:type="dxa"/>
            <w:tcBorders>
              <w:top w:val="single" w:color="auto" w:sz="4" w:space="0"/>
              <w:left w:val="nil"/>
              <w:bottom w:val="single" w:color="auto" w:sz="4" w:space="0"/>
              <w:right w:val="single" w:color="auto" w:sz="4" w:space="0"/>
            </w:tcBorders>
            <w:vAlign w:val="center"/>
          </w:tcPr>
          <w:p w14:paraId="2300FDB2">
            <w:pPr>
              <w:jc w:val="center"/>
              <w:rPr>
                <w:rFonts w:hint="eastAsia" w:ascii="宋体" w:hAnsi="宋体" w:eastAsia="宋体" w:cs="宋体"/>
                <w:sz w:val="21"/>
                <w:szCs w:val="21"/>
              </w:rPr>
            </w:pPr>
            <w:r>
              <w:rPr>
                <w:rFonts w:hint="eastAsia" w:ascii="宋体" w:hAnsi="宋体" w:eastAsia="宋体" w:cs="宋体"/>
                <w:sz w:val="21"/>
                <w:szCs w:val="21"/>
              </w:rPr>
              <w:t>10分</w:t>
            </w:r>
          </w:p>
        </w:tc>
        <w:tc>
          <w:tcPr>
            <w:tcW w:w="795" w:type="dxa"/>
            <w:tcBorders>
              <w:top w:val="single" w:color="auto" w:sz="4" w:space="0"/>
              <w:left w:val="nil"/>
              <w:bottom w:val="single" w:color="auto" w:sz="4" w:space="0"/>
              <w:right w:val="single" w:color="auto" w:sz="4" w:space="0"/>
            </w:tcBorders>
            <w:vAlign w:val="center"/>
          </w:tcPr>
          <w:p w14:paraId="05E92344">
            <w:pPr>
              <w:jc w:val="center"/>
              <w:rPr>
                <w:rFonts w:hint="eastAsia" w:ascii="宋体" w:hAnsi="宋体" w:eastAsia="宋体" w:cs="宋体"/>
                <w:sz w:val="21"/>
                <w:szCs w:val="21"/>
              </w:rPr>
            </w:pPr>
          </w:p>
        </w:tc>
        <w:tc>
          <w:tcPr>
            <w:tcW w:w="730" w:type="dxa"/>
            <w:tcBorders>
              <w:top w:val="single" w:color="auto" w:sz="4" w:space="0"/>
              <w:left w:val="nil"/>
              <w:bottom w:val="single" w:color="auto" w:sz="4" w:space="0"/>
              <w:right w:val="single" w:color="auto" w:sz="4" w:space="0"/>
            </w:tcBorders>
          </w:tcPr>
          <w:p w14:paraId="6C4AC08D">
            <w:pPr>
              <w:jc w:val="center"/>
              <w:rPr>
                <w:rFonts w:hint="eastAsia" w:ascii="宋体" w:hAnsi="宋体" w:eastAsia="宋体" w:cs="宋体"/>
                <w:sz w:val="21"/>
                <w:szCs w:val="21"/>
              </w:rPr>
            </w:pPr>
          </w:p>
        </w:tc>
      </w:tr>
      <w:tr w14:paraId="6B57E785">
        <w:tblPrEx>
          <w:tblCellMar>
            <w:top w:w="0" w:type="dxa"/>
            <w:left w:w="108" w:type="dxa"/>
            <w:bottom w:w="0" w:type="dxa"/>
            <w:right w:w="108" w:type="dxa"/>
          </w:tblCellMar>
        </w:tblPrEx>
        <w:trPr>
          <w:trHeight w:val="458" w:hRule="atLeast"/>
          <w:jc w:val="center"/>
        </w:trPr>
        <w:tc>
          <w:tcPr>
            <w:tcW w:w="6734" w:type="dxa"/>
            <w:gridSpan w:val="3"/>
            <w:tcBorders>
              <w:top w:val="single" w:color="auto" w:sz="4" w:space="0"/>
              <w:left w:val="single" w:color="auto" w:sz="4" w:space="0"/>
              <w:bottom w:val="single" w:color="auto" w:sz="4" w:space="0"/>
              <w:right w:val="single" w:color="auto" w:sz="4" w:space="0"/>
            </w:tcBorders>
            <w:noWrap/>
            <w:vAlign w:val="center"/>
          </w:tcPr>
          <w:p w14:paraId="57C9C7D4">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855" w:type="dxa"/>
            <w:tcBorders>
              <w:top w:val="single" w:color="auto" w:sz="4" w:space="0"/>
              <w:left w:val="nil"/>
              <w:bottom w:val="single" w:color="auto" w:sz="4" w:space="0"/>
              <w:right w:val="single" w:color="auto" w:sz="4" w:space="0"/>
            </w:tcBorders>
            <w:vAlign w:val="center"/>
          </w:tcPr>
          <w:p w14:paraId="60141C5F">
            <w:pPr>
              <w:jc w:val="center"/>
              <w:rPr>
                <w:rFonts w:hint="eastAsia" w:ascii="宋体" w:hAnsi="宋体" w:eastAsia="宋体" w:cs="宋体"/>
                <w:sz w:val="21"/>
                <w:szCs w:val="21"/>
              </w:rPr>
            </w:pPr>
            <w:r>
              <w:rPr>
                <w:rFonts w:hint="eastAsia" w:ascii="宋体" w:hAnsi="宋体" w:eastAsia="宋体" w:cs="宋体"/>
                <w:sz w:val="21"/>
                <w:szCs w:val="21"/>
              </w:rPr>
              <w:t>100分</w:t>
            </w:r>
          </w:p>
        </w:tc>
        <w:tc>
          <w:tcPr>
            <w:tcW w:w="795" w:type="dxa"/>
            <w:tcBorders>
              <w:top w:val="single" w:color="auto" w:sz="4" w:space="0"/>
              <w:left w:val="nil"/>
              <w:bottom w:val="single" w:color="auto" w:sz="4" w:space="0"/>
              <w:right w:val="single" w:color="auto" w:sz="4" w:space="0"/>
            </w:tcBorders>
            <w:vAlign w:val="center"/>
          </w:tcPr>
          <w:p w14:paraId="64FD8E26">
            <w:pPr>
              <w:jc w:val="center"/>
              <w:rPr>
                <w:rFonts w:hint="eastAsia" w:ascii="宋体" w:hAnsi="宋体" w:eastAsia="宋体" w:cs="宋体"/>
                <w:sz w:val="21"/>
                <w:szCs w:val="21"/>
              </w:rPr>
            </w:pPr>
          </w:p>
        </w:tc>
        <w:tc>
          <w:tcPr>
            <w:tcW w:w="730" w:type="dxa"/>
            <w:tcBorders>
              <w:top w:val="single" w:color="auto" w:sz="4" w:space="0"/>
              <w:left w:val="nil"/>
              <w:bottom w:val="single" w:color="auto" w:sz="4" w:space="0"/>
              <w:right w:val="single" w:color="auto" w:sz="4" w:space="0"/>
            </w:tcBorders>
          </w:tcPr>
          <w:p w14:paraId="621B9B2B">
            <w:pPr>
              <w:jc w:val="center"/>
              <w:rPr>
                <w:rFonts w:hint="eastAsia" w:ascii="宋体" w:hAnsi="宋体" w:eastAsia="宋体" w:cs="宋体"/>
                <w:sz w:val="21"/>
                <w:szCs w:val="21"/>
              </w:rPr>
            </w:pPr>
          </w:p>
        </w:tc>
      </w:tr>
      <w:tr w14:paraId="398B41FB">
        <w:tblPrEx>
          <w:tblCellMar>
            <w:top w:w="0" w:type="dxa"/>
            <w:left w:w="108" w:type="dxa"/>
            <w:bottom w:w="0" w:type="dxa"/>
            <w:right w:w="108" w:type="dxa"/>
          </w:tblCellMar>
        </w:tblPrEx>
        <w:trPr>
          <w:trHeight w:val="698"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683447E6">
            <w:pPr>
              <w:jc w:val="center"/>
              <w:rPr>
                <w:rFonts w:hint="eastAsia" w:ascii="宋体" w:hAnsi="宋体" w:eastAsia="宋体" w:cs="宋体"/>
                <w:sz w:val="21"/>
                <w:szCs w:val="21"/>
              </w:rPr>
            </w:pPr>
            <w:r>
              <w:rPr>
                <w:rFonts w:hint="eastAsia" w:ascii="宋体" w:hAnsi="宋体" w:eastAsia="宋体" w:cs="宋体"/>
                <w:sz w:val="21"/>
                <w:szCs w:val="21"/>
              </w:rPr>
              <w:t>考核结论</w:t>
            </w:r>
          </w:p>
        </w:tc>
        <w:tc>
          <w:tcPr>
            <w:tcW w:w="6662" w:type="dxa"/>
            <w:gridSpan w:val="4"/>
            <w:tcBorders>
              <w:top w:val="single" w:color="auto" w:sz="4" w:space="0"/>
              <w:left w:val="nil"/>
              <w:bottom w:val="single" w:color="auto" w:sz="4" w:space="0"/>
              <w:right w:val="single" w:color="auto" w:sz="4" w:space="0"/>
            </w:tcBorders>
            <w:vAlign w:val="center"/>
          </w:tcPr>
          <w:p w14:paraId="291B08F9">
            <w:pPr>
              <w:rPr>
                <w:rFonts w:hint="eastAsia" w:ascii="宋体" w:hAnsi="宋体" w:eastAsia="宋体" w:cs="宋体"/>
                <w:sz w:val="21"/>
                <w:szCs w:val="21"/>
              </w:rPr>
            </w:pPr>
            <w:r>
              <w:rPr>
                <w:rFonts w:hint="eastAsia" w:ascii="宋体" w:hAnsi="宋体" w:eastAsia="宋体" w:cs="宋体"/>
                <w:bCs/>
                <w:sz w:val="21"/>
                <w:szCs w:val="21"/>
              </w:rPr>
              <w:t>□合计得分不低于80分，支付全额服务费</w:t>
            </w:r>
          </w:p>
          <w:p w14:paraId="1D838F78">
            <w:pPr>
              <w:rPr>
                <w:rFonts w:hint="eastAsia" w:ascii="宋体" w:hAnsi="宋体" w:eastAsia="宋体" w:cs="宋体"/>
                <w:bCs/>
                <w:sz w:val="21"/>
                <w:szCs w:val="21"/>
                <w:u w:val="single"/>
              </w:rPr>
            </w:pPr>
            <w:r>
              <w:rPr>
                <w:rFonts w:hint="eastAsia" w:ascii="宋体" w:hAnsi="宋体" w:eastAsia="宋体" w:cs="宋体"/>
                <w:bCs/>
                <w:sz w:val="21"/>
                <w:szCs w:val="21"/>
              </w:rPr>
              <w:t>□合计得分低于80分，达到60分的，支付____%服务费</w:t>
            </w:r>
          </w:p>
          <w:p w14:paraId="42F2A50D">
            <w:pPr>
              <w:rPr>
                <w:rFonts w:hint="eastAsia" w:ascii="宋体" w:hAnsi="宋体" w:eastAsia="宋体" w:cs="宋体"/>
                <w:bCs/>
                <w:sz w:val="21"/>
                <w:szCs w:val="21"/>
                <w:u w:val="single"/>
              </w:rPr>
            </w:pPr>
            <w:r>
              <w:rPr>
                <w:rFonts w:hint="eastAsia" w:ascii="宋体" w:hAnsi="宋体" w:eastAsia="宋体" w:cs="宋体"/>
                <w:bCs/>
                <w:sz w:val="21"/>
                <w:szCs w:val="21"/>
              </w:rPr>
              <w:t>□合计得分低于60分，无需支付服务费</w:t>
            </w:r>
          </w:p>
          <w:p w14:paraId="46130D6D">
            <w:pPr>
              <w:rPr>
                <w:rFonts w:hint="eastAsia" w:ascii="宋体" w:hAnsi="宋体" w:eastAsia="宋体" w:cs="宋体"/>
                <w:bCs/>
                <w:sz w:val="21"/>
                <w:szCs w:val="21"/>
                <w:u w:val="single"/>
              </w:rPr>
            </w:pPr>
            <w:r>
              <w:rPr>
                <w:rFonts w:hint="eastAsia" w:ascii="宋体" w:hAnsi="宋体" w:eastAsia="宋体" w:cs="宋体"/>
                <w:bCs/>
                <w:sz w:val="21"/>
                <w:szCs w:val="21"/>
                <w:u w:val="single"/>
              </w:rPr>
              <w:t xml:space="preserve">补充说明：                                         </w:t>
            </w:r>
          </w:p>
        </w:tc>
      </w:tr>
      <w:tr w14:paraId="03278062">
        <w:tblPrEx>
          <w:tblCellMar>
            <w:top w:w="0" w:type="dxa"/>
            <w:left w:w="108" w:type="dxa"/>
            <w:bottom w:w="0" w:type="dxa"/>
            <w:right w:w="108" w:type="dxa"/>
          </w:tblCellMar>
        </w:tblPrEx>
        <w:trPr>
          <w:trHeight w:val="458" w:hRule="atLeast"/>
          <w:jc w:val="center"/>
        </w:trPr>
        <w:tc>
          <w:tcPr>
            <w:tcW w:w="245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68579F0">
            <w:pPr>
              <w:jc w:val="center"/>
              <w:rPr>
                <w:rFonts w:hint="eastAsia" w:ascii="宋体" w:hAnsi="宋体" w:eastAsia="宋体" w:cs="宋体"/>
                <w:sz w:val="21"/>
                <w:szCs w:val="21"/>
              </w:rPr>
            </w:pPr>
            <w:r>
              <w:rPr>
                <w:rFonts w:hint="eastAsia" w:ascii="宋体" w:hAnsi="宋体" w:eastAsia="宋体" w:cs="宋体"/>
                <w:sz w:val="21"/>
                <w:szCs w:val="21"/>
              </w:rPr>
              <w:t>履约考核意见及签署</w:t>
            </w:r>
          </w:p>
        </w:tc>
        <w:tc>
          <w:tcPr>
            <w:tcW w:w="6662" w:type="dxa"/>
            <w:gridSpan w:val="4"/>
            <w:tcBorders>
              <w:top w:val="single" w:color="auto" w:sz="4" w:space="0"/>
              <w:left w:val="nil"/>
              <w:bottom w:val="single" w:color="auto" w:sz="4" w:space="0"/>
              <w:right w:val="single" w:color="auto" w:sz="4" w:space="0"/>
            </w:tcBorders>
            <w:vAlign w:val="center"/>
          </w:tcPr>
          <w:p w14:paraId="2D9827A5">
            <w:pPr>
              <w:rPr>
                <w:rFonts w:hint="eastAsia" w:ascii="宋体" w:hAnsi="宋体" w:eastAsia="宋体" w:cs="宋体"/>
                <w:sz w:val="21"/>
                <w:szCs w:val="21"/>
              </w:rPr>
            </w:pPr>
            <w:r>
              <w:rPr>
                <w:rFonts w:hint="eastAsia" w:ascii="宋体" w:hAnsi="宋体" w:eastAsia="宋体" w:cs="宋体"/>
                <w:sz w:val="21"/>
                <w:szCs w:val="21"/>
              </w:rPr>
              <w:t>经办人：</w:t>
            </w:r>
          </w:p>
        </w:tc>
      </w:tr>
      <w:tr w14:paraId="013EF5D0">
        <w:tblPrEx>
          <w:tblCellMar>
            <w:top w:w="0" w:type="dxa"/>
            <w:left w:w="108" w:type="dxa"/>
            <w:bottom w:w="0" w:type="dxa"/>
            <w:right w:w="108" w:type="dxa"/>
          </w:tblCellMar>
        </w:tblPrEx>
        <w:trPr>
          <w:trHeight w:val="458" w:hRule="atLeast"/>
          <w:jc w:val="center"/>
        </w:trPr>
        <w:tc>
          <w:tcPr>
            <w:tcW w:w="2452"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A2F678A">
            <w:pPr>
              <w:ind w:firstLine="420"/>
              <w:jc w:val="center"/>
              <w:rPr>
                <w:rFonts w:hint="eastAsia" w:ascii="宋体" w:hAnsi="宋体" w:eastAsia="宋体" w:cs="宋体"/>
                <w:sz w:val="21"/>
                <w:szCs w:val="21"/>
              </w:rPr>
            </w:pPr>
          </w:p>
        </w:tc>
        <w:tc>
          <w:tcPr>
            <w:tcW w:w="6662" w:type="dxa"/>
            <w:gridSpan w:val="4"/>
            <w:tcBorders>
              <w:top w:val="single" w:color="auto" w:sz="4" w:space="0"/>
              <w:left w:val="nil"/>
              <w:bottom w:val="single" w:color="auto" w:sz="4" w:space="0"/>
              <w:right w:val="single" w:color="auto" w:sz="4" w:space="0"/>
            </w:tcBorders>
            <w:vAlign w:val="center"/>
          </w:tcPr>
          <w:p w14:paraId="6F569C9C">
            <w:pPr>
              <w:rPr>
                <w:rFonts w:hint="eastAsia" w:ascii="宋体" w:hAnsi="宋体" w:eastAsia="宋体" w:cs="宋体"/>
                <w:sz w:val="21"/>
                <w:szCs w:val="21"/>
              </w:rPr>
            </w:pPr>
            <w:r>
              <w:rPr>
                <w:rFonts w:hint="eastAsia" w:ascii="宋体" w:hAnsi="宋体" w:eastAsia="宋体" w:cs="宋体"/>
                <w:sz w:val="21"/>
                <w:szCs w:val="21"/>
              </w:rPr>
              <w:t>运营项目负责人：</w:t>
            </w:r>
          </w:p>
        </w:tc>
      </w:tr>
      <w:tr w14:paraId="54DE8106">
        <w:tblPrEx>
          <w:tblCellMar>
            <w:top w:w="0" w:type="dxa"/>
            <w:left w:w="108" w:type="dxa"/>
            <w:bottom w:w="0" w:type="dxa"/>
            <w:right w:w="108" w:type="dxa"/>
          </w:tblCellMar>
        </w:tblPrEx>
        <w:trPr>
          <w:trHeight w:val="458"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6AE138D0">
            <w:pPr>
              <w:ind w:firstLine="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供应商意见及签署</w:t>
            </w:r>
          </w:p>
        </w:tc>
        <w:tc>
          <w:tcPr>
            <w:tcW w:w="6662" w:type="dxa"/>
            <w:gridSpan w:val="4"/>
            <w:tcBorders>
              <w:top w:val="single" w:color="auto" w:sz="4" w:space="0"/>
              <w:left w:val="nil"/>
              <w:bottom w:val="single" w:color="auto" w:sz="4" w:space="0"/>
              <w:right w:val="single" w:color="auto" w:sz="4" w:space="0"/>
            </w:tcBorders>
            <w:vAlign w:val="center"/>
          </w:tcPr>
          <w:p w14:paraId="48BF1AD1">
            <w:pPr>
              <w:rPr>
                <w:rFonts w:hint="eastAsia" w:ascii="宋体" w:hAnsi="宋体" w:eastAsia="宋体" w:cs="宋体"/>
                <w:sz w:val="21"/>
                <w:szCs w:val="21"/>
              </w:rPr>
            </w:pPr>
          </w:p>
        </w:tc>
      </w:tr>
    </w:tbl>
    <w:p w14:paraId="0544D79C">
      <w:pPr>
        <w:spacing w:line="420" w:lineRule="exact"/>
        <w:rPr>
          <w:rFonts w:hint="eastAsia" w:ascii="仿宋_GB2312" w:hAnsi="仿宋_GB2312" w:eastAsia="仿宋_GB2312" w:cs="仿宋_GB2312"/>
          <w:b w:val="0"/>
          <w:bCs w:val="0"/>
        </w:rPr>
      </w:pPr>
    </w:p>
    <w:p w14:paraId="7839B73B">
      <w:pPr>
        <w:spacing w:line="360" w:lineRule="auto"/>
        <w:ind w:firstLine="480" w:firstLineChars="200"/>
        <w:rPr>
          <w:rFonts w:ascii="Times New Roman"/>
          <w:color w:val="auto"/>
          <w:szCs w:val="21"/>
          <w:highlight w:val="none"/>
        </w:rPr>
      </w:pPr>
    </w:p>
    <w:bookmarkEnd w:id="6"/>
    <w:bookmarkEnd w:id="7"/>
    <w:bookmarkEnd w:id="8"/>
    <w:p w14:paraId="32A89517">
      <w:pPr>
        <w:rPr>
          <w:rFonts w:hint="eastAsia" w:hAnsi="宋体" w:cs="宋体"/>
          <w:color w:val="auto"/>
          <w:szCs w:val="32"/>
          <w:highlight w:val="none"/>
        </w:rPr>
      </w:pPr>
      <w:bookmarkStart w:id="10" w:name="_Toc27990830"/>
      <w:r>
        <w:rPr>
          <w:rFonts w:hint="eastAsia" w:hAnsi="宋体" w:cs="宋体"/>
          <w:color w:val="auto"/>
          <w:szCs w:val="32"/>
          <w:highlight w:val="none"/>
        </w:rPr>
        <w:br w:type="page"/>
      </w:r>
    </w:p>
    <w:p w14:paraId="17C457CD">
      <w:pPr>
        <w:pStyle w:val="3"/>
        <w:spacing w:before="0" w:after="0"/>
        <w:jc w:val="center"/>
        <w:rPr>
          <w:rFonts w:hAnsi="宋体" w:cs="宋体"/>
          <w:color w:val="auto"/>
          <w:szCs w:val="32"/>
          <w:highlight w:val="none"/>
        </w:rPr>
      </w:pPr>
      <w:bookmarkStart w:id="11" w:name="_Toc22543"/>
      <w:r>
        <w:rPr>
          <w:rFonts w:hint="eastAsia" w:hAnsi="宋体" w:cs="宋体"/>
          <w:color w:val="auto"/>
          <w:szCs w:val="32"/>
          <w:highlight w:val="none"/>
        </w:rPr>
        <w:t>第三章 合同条款</w:t>
      </w:r>
      <w:bookmarkEnd w:id="10"/>
      <w:bookmarkEnd w:id="11"/>
    </w:p>
    <w:p w14:paraId="428A569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b/>
          <w:szCs w:val="21"/>
          <w:lang w:val="en-US" w:eastAsia="zh-CN"/>
        </w:rPr>
      </w:pPr>
      <w:r>
        <w:rPr>
          <w:rFonts w:hint="eastAsia" w:ascii="宋体" w:hAnsi="宋体"/>
          <w:b/>
          <w:szCs w:val="21"/>
          <w:lang w:val="en-US" w:eastAsia="zh-CN"/>
        </w:rPr>
        <w:t xml:space="preserve">                  </w:t>
      </w:r>
    </w:p>
    <w:p w14:paraId="7745ADC0">
      <w:pPr>
        <w:wordWrap w:val="0"/>
        <w:spacing w:line="360" w:lineRule="auto"/>
        <w:jc w:val="right"/>
        <w:rPr>
          <w:rFonts w:ascii="Times New Roman"/>
        </w:rPr>
      </w:pPr>
      <w:r>
        <w:rPr>
          <w:rFonts w:hint="eastAsia" w:ascii="Times New Roman"/>
        </w:rPr>
        <w:t>合同编号：</w:t>
      </w:r>
    </w:p>
    <w:p w14:paraId="389162EB">
      <w:pPr>
        <w:spacing w:line="360" w:lineRule="auto"/>
        <w:jc w:val="center"/>
        <w:rPr>
          <w:rFonts w:ascii="Times New Roman"/>
        </w:rPr>
      </w:pPr>
    </w:p>
    <w:p w14:paraId="53066A4B">
      <w:pPr>
        <w:spacing w:line="360" w:lineRule="auto"/>
        <w:jc w:val="center"/>
        <w:rPr>
          <w:rFonts w:ascii="Times New Roman"/>
        </w:rPr>
      </w:pPr>
    </w:p>
    <w:p w14:paraId="1D55D08C">
      <w:pPr>
        <w:spacing w:line="360" w:lineRule="auto"/>
        <w:rPr>
          <w:rFonts w:ascii="Times New Roman"/>
        </w:rPr>
      </w:pPr>
    </w:p>
    <w:p w14:paraId="27401179">
      <w:pPr>
        <w:spacing w:line="1160" w:lineRule="exact"/>
        <w:ind w:left="-142" w:leftChars="-59"/>
        <w:jc w:val="center"/>
        <w:rPr>
          <w:rFonts w:ascii="Times New Roman"/>
          <w:b/>
          <w:sz w:val="44"/>
          <w:szCs w:val="44"/>
        </w:rPr>
      </w:pPr>
      <w:r>
        <w:rPr>
          <w:rFonts w:hint="eastAsia" w:ascii="Times New Roman"/>
          <w:b/>
          <w:sz w:val="44"/>
          <w:szCs w:val="44"/>
        </w:rPr>
        <w:t>东莞市石鼓净水有限公司万江厂二期2026年高低压配电系统预防性试验服务项目合同</w:t>
      </w:r>
    </w:p>
    <w:p w14:paraId="673DC9E0">
      <w:pPr>
        <w:spacing w:line="360" w:lineRule="auto"/>
        <w:rPr>
          <w:rFonts w:ascii="Times New Roman"/>
        </w:rPr>
      </w:pPr>
    </w:p>
    <w:p w14:paraId="7A498D67">
      <w:pPr>
        <w:spacing w:line="360" w:lineRule="auto"/>
        <w:rPr>
          <w:rFonts w:ascii="Times New Roman"/>
        </w:rPr>
      </w:pPr>
    </w:p>
    <w:p w14:paraId="5549054B">
      <w:pPr>
        <w:spacing w:line="360" w:lineRule="auto"/>
        <w:rPr>
          <w:rFonts w:ascii="Times New Roman"/>
        </w:rPr>
      </w:pPr>
    </w:p>
    <w:p w14:paraId="61AEB924">
      <w:pPr>
        <w:spacing w:line="360" w:lineRule="auto"/>
        <w:rPr>
          <w:rFonts w:ascii="Times New Roman"/>
        </w:rPr>
      </w:pPr>
    </w:p>
    <w:p w14:paraId="42A594E7">
      <w:pPr>
        <w:spacing w:line="360" w:lineRule="auto"/>
        <w:rPr>
          <w:rFonts w:ascii="Times New Roman"/>
        </w:rPr>
      </w:pPr>
    </w:p>
    <w:p w14:paraId="1C6DDAFE">
      <w:pPr>
        <w:spacing w:line="360" w:lineRule="auto"/>
        <w:jc w:val="center"/>
        <w:rPr>
          <w:rFonts w:ascii="Times New Roman"/>
        </w:rPr>
      </w:pPr>
    </w:p>
    <w:p w14:paraId="6EAD367C">
      <w:pPr>
        <w:spacing w:line="360" w:lineRule="auto"/>
        <w:jc w:val="center"/>
        <w:rPr>
          <w:rFonts w:ascii="Times New Roman"/>
        </w:rPr>
      </w:pPr>
    </w:p>
    <w:p w14:paraId="197E1D79">
      <w:pPr>
        <w:spacing w:line="360" w:lineRule="auto"/>
        <w:jc w:val="center"/>
        <w:rPr>
          <w:rFonts w:ascii="Times New Roman"/>
        </w:rPr>
      </w:pPr>
    </w:p>
    <w:p w14:paraId="038821E6">
      <w:pPr>
        <w:spacing w:line="360" w:lineRule="auto"/>
        <w:rPr>
          <w:rFonts w:ascii="Times New Roman"/>
        </w:rPr>
      </w:pPr>
    </w:p>
    <w:p w14:paraId="71094326">
      <w:pPr>
        <w:spacing w:line="360" w:lineRule="auto"/>
        <w:rPr>
          <w:rFonts w:ascii="Times New Roman"/>
        </w:rPr>
      </w:pPr>
    </w:p>
    <w:p w14:paraId="1CC9C11E">
      <w:pPr>
        <w:spacing w:line="360" w:lineRule="auto"/>
        <w:ind w:firstLine="1800" w:firstLineChars="600"/>
        <w:rPr>
          <w:rFonts w:hint="default" w:ascii="Times New Roman" w:eastAsia="宋体"/>
          <w:b/>
          <w:bCs/>
          <w:sz w:val="30"/>
          <w:szCs w:val="30"/>
          <w:u w:val="single"/>
          <w:lang w:val="en-US" w:eastAsia="zh-CN"/>
        </w:rPr>
      </w:pPr>
      <w:r>
        <w:rPr>
          <w:rFonts w:hint="eastAsia" w:ascii="Times New Roman"/>
          <w:sz w:val="30"/>
          <w:szCs w:val="30"/>
        </w:rPr>
        <w:t>甲方：</w:t>
      </w:r>
      <w:bookmarkStart w:id="12" w:name="OLE_LINK2"/>
      <w:r>
        <w:rPr>
          <w:rFonts w:hint="eastAsia" w:hAnsi="宋体" w:cs="宋体"/>
          <w:szCs w:val="21"/>
        </w:rPr>
        <w:t>东莞市</w:t>
      </w:r>
      <w:r>
        <w:rPr>
          <w:rFonts w:hint="eastAsia" w:hAnsi="宋体" w:cs="宋体"/>
          <w:szCs w:val="21"/>
          <w:lang w:val="en-US" w:eastAsia="zh-CN"/>
        </w:rPr>
        <w:t>石鼓净水</w:t>
      </w:r>
      <w:r>
        <w:rPr>
          <w:rFonts w:hint="eastAsia" w:hAnsi="宋体" w:cs="宋体"/>
          <w:szCs w:val="21"/>
        </w:rPr>
        <w:t>有限公司</w:t>
      </w:r>
      <w:bookmarkEnd w:id="12"/>
    </w:p>
    <w:p w14:paraId="227A6AFB">
      <w:pPr>
        <w:spacing w:line="360" w:lineRule="auto"/>
        <w:ind w:firstLine="1800" w:firstLineChars="600"/>
        <w:rPr>
          <w:rFonts w:ascii="Times New Roman"/>
          <w:sz w:val="30"/>
          <w:szCs w:val="30"/>
        </w:rPr>
      </w:pPr>
    </w:p>
    <w:p w14:paraId="6EBAE168">
      <w:pPr>
        <w:spacing w:line="360" w:lineRule="auto"/>
        <w:ind w:firstLine="1800" w:firstLineChars="600"/>
        <w:rPr>
          <w:rFonts w:hint="default" w:ascii="Times New Roman" w:eastAsia="宋体"/>
          <w:sz w:val="30"/>
          <w:szCs w:val="30"/>
          <w:lang w:val="en-US" w:eastAsia="zh-CN"/>
        </w:rPr>
      </w:pPr>
      <w:r>
        <w:rPr>
          <w:rFonts w:hint="eastAsia" w:ascii="Times New Roman"/>
          <w:sz w:val="30"/>
          <w:szCs w:val="30"/>
        </w:rPr>
        <w:t>乙方：</w:t>
      </w:r>
      <w:r>
        <w:rPr>
          <w:rFonts w:hint="eastAsia" w:ascii="Times New Roman"/>
          <w:sz w:val="21"/>
          <w:szCs w:val="21"/>
          <w:u w:val="single"/>
        </w:rPr>
        <w:t xml:space="preserve">            </w:t>
      </w:r>
      <w:r>
        <w:rPr>
          <w:rFonts w:ascii="Times New Roman"/>
          <w:sz w:val="21"/>
          <w:szCs w:val="21"/>
          <w:u w:val="single"/>
        </w:rPr>
        <w:t xml:space="preserve">        </w:t>
      </w:r>
      <w:r>
        <w:rPr>
          <w:rFonts w:hint="eastAsia" w:ascii="Times New Roman"/>
          <w:sz w:val="21"/>
          <w:szCs w:val="21"/>
          <w:u w:val="single"/>
        </w:rPr>
        <w:t xml:space="preserve">      </w:t>
      </w:r>
      <w:r>
        <w:rPr>
          <w:rFonts w:hint="eastAsia" w:ascii="Times New Roman"/>
          <w:sz w:val="21"/>
          <w:szCs w:val="21"/>
          <w:u w:val="single"/>
          <w:lang w:val="en-US" w:eastAsia="zh-CN"/>
        </w:rPr>
        <w:t xml:space="preserve">          </w:t>
      </w:r>
    </w:p>
    <w:p w14:paraId="1A077A09">
      <w:pPr>
        <w:spacing w:line="360" w:lineRule="auto"/>
        <w:rPr>
          <w:rFonts w:ascii="Times New Roman"/>
          <w:sz w:val="30"/>
          <w:szCs w:val="30"/>
          <w:u w:val="single"/>
        </w:rPr>
      </w:pPr>
    </w:p>
    <w:p w14:paraId="4AE50B68">
      <w:pPr>
        <w:spacing w:line="360" w:lineRule="auto"/>
        <w:rPr>
          <w:rFonts w:ascii="Times New Roman"/>
          <w:sz w:val="30"/>
          <w:szCs w:val="30"/>
          <w:u w:val="single"/>
        </w:rPr>
      </w:pPr>
    </w:p>
    <w:p w14:paraId="51324AC8">
      <w:pPr>
        <w:ind w:firstLine="600" w:firstLineChars="200"/>
        <w:rPr>
          <w:rFonts w:ascii="Times New Roman"/>
          <w:sz w:val="30"/>
          <w:szCs w:val="30"/>
        </w:rPr>
      </w:pPr>
      <w:r>
        <w:rPr>
          <w:rFonts w:hint="eastAsia" w:ascii="Times New Roman"/>
          <w:sz w:val="30"/>
          <w:szCs w:val="30"/>
        </w:rPr>
        <w:br w:type="page"/>
      </w:r>
    </w:p>
    <w:p w14:paraId="2CB45212">
      <w:pPr>
        <w:spacing w:line="360" w:lineRule="auto"/>
        <w:rPr>
          <w:rFonts w:hint="default" w:ascii="Times New Roman" w:eastAsia="宋体"/>
          <w:sz w:val="21"/>
          <w:szCs w:val="21"/>
          <w:lang w:val="en-US" w:eastAsia="zh-CN"/>
        </w:rPr>
      </w:pPr>
      <w:r>
        <w:rPr>
          <w:rFonts w:hint="eastAsia" w:ascii="Times New Roman"/>
          <w:sz w:val="21"/>
          <w:szCs w:val="21"/>
        </w:rPr>
        <w:t>甲方：</w:t>
      </w:r>
      <w:r>
        <w:rPr>
          <w:rFonts w:hint="eastAsia" w:hAnsi="宋体" w:cs="宋体"/>
          <w:szCs w:val="21"/>
        </w:rPr>
        <w:t>东莞市</w:t>
      </w:r>
      <w:r>
        <w:rPr>
          <w:rFonts w:hint="eastAsia" w:hAnsi="宋体" w:cs="宋体"/>
          <w:szCs w:val="21"/>
          <w:lang w:val="en-US" w:eastAsia="zh-CN"/>
        </w:rPr>
        <w:t>石鼓净水</w:t>
      </w:r>
      <w:r>
        <w:rPr>
          <w:rFonts w:hint="eastAsia" w:hAnsi="宋体" w:cs="宋体"/>
          <w:szCs w:val="21"/>
        </w:rPr>
        <w:t>有限公司</w:t>
      </w:r>
    </w:p>
    <w:p w14:paraId="5751820E">
      <w:pPr>
        <w:spacing w:line="360" w:lineRule="auto"/>
        <w:rPr>
          <w:rFonts w:ascii="Times New Roman"/>
          <w:sz w:val="21"/>
          <w:szCs w:val="21"/>
        </w:rPr>
      </w:pPr>
      <w:r>
        <w:rPr>
          <w:rFonts w:hint="eastAsia" w:ascii="Times New Roman"/>
          <w:sz w:val="21"/>
          <w:szCs w:val="21"/>
        </w:rPr>
        <w:t>乙方：</w:t>
      </w:r>
      <w:r>
        <w:rPr>
          <w:rFonts w:hint="eastAsia" w:ascii="Times New Roman"/>
          <w:sz w:val="21"/>
          <w:szCs w:val="21"/>
          <w:u w:val="single"/>
        </w:rPr>
        <w:t xml:space="preserve">            </w:t>
      </w:r>
      <w:r>
        <w:rPr>
          <w:rFonts w:ascii="Times New Roman"/>
          <w:sz w:val="21"/>
          <w:szCs w:val="21"/>
          <w:u w:val="single"/>
        </w:rPr>
        <w:t xml:space="preserve">        </w:t>
      </w:r>
      <w:r>
        <w:rPr>
          <w:rFonts w:hint="eastAsia" w:ascii="Times New Roman"/>
          <w:sz w:val="21"/>
          <w:szCs w:val="21"/>
          <w:u w:val="single"/>
        </w:rPr>
        <w:t xml:space="preserve">      </w:t>
      </w:r>
    </w:p>
    <w:p w14:paraId="46C75092">
      <w:pPr>
        <w:spacing w:line="360" w:lineRule="auto"/>
        <w:rPr>
          <w:rFonts w:ascii="Times New Roman"/>
          <w:sz w:val="21"/>
          <w:szCs w:val="21"/>
        </w:rPr>
      </w:pPr>
    </w:p>
    <w:p w14:paraId="36D9FEA3">
      <w:pPr>
        <w:spacing w:line="360" w:lineRule="auto"/>
        <w:ind w:firstLine="420" w:firstLineChars="200"/>
        <w:rPr>
          <w:rFonts w:ascii="Times New Roman"/>
          <w:sz w:val="21"/>
          <w:szCs w:val="21"/>
        </w:rPr>
      </w:pPr>
      <w:r>
        <w:rPr>
          <w:rFonts w:hint="eastAsia" w:ascii="Times New Roman"/>
          <w:sz w:val="21"/>
          <w:szCs w:val="21"/>
        </w:rPr>
        <w:t>根据《中华人民共和国民法典》等有关法律法规，经过询价采购，甲、乙双方本着平等互利、友好合作的原则，就乙方获得配电系统预防性试验资格之事宜，达成如下合同：</w:t>
      </w:r>
    </w:p>
    <w:p w14:paraId="1FCDA6D4">
      <w:pPr>
        <w:spacing w:line="360" w:lineRule="auto"/>
        <w:ind w:firstLine="420" w:firstLineChars="200"/>
        <w:rPr>
          <w:rFonts w:ascii="Times New Roman"/>
          <w:sz w:val="21"/>
          <w:szCs w:val="21"/>
        </w:rPr>
      </w:pPr>
    </w:p>
    <w:p w14:paraId="6A304171">
      <w:pPr>
        <w:numPr>
          <w:ilvl w:val="0"/>
          <w:numId w:val="2"/>
        </w:numPr>
        <w:spacing w:line="360" w:lineRule="auto"/>
        <w:ind w:firstLine="422" w:firstLineChars="200"/>
        <w:rPr>
          <w:rFonts w:hint="eastAsia" w:ascii="Times New Roman"/>
          <w:b/>
          <w:bCs/>
          <w:sz w:val="21"/>
          <w:szCs w:val="21"/>
        </w:rPr>
      </w:pPr>
      <w:r>
        <w:rPr>
          <w:rFonts w:hint="eastAsia" w:ascii="Times New Roman"/>
          <w:b/>
          <w:bCs/>
          <w:sz w:val="21"/>
          <w:szCs w:val="21"/>
        </w:rPr>
        <w:t>试验范围</w:t>
      </w:r>
    </w:p>
    <w:p w14:paraId="40D4AD9D">
      <w:pPr>
        <w:ind w:firstLine="422" w:firstLineChars="200"/>
        <w:rPr>
          <w:b/>
          <w:bCs/>
          <w:sz w:val="21"/>
          <w:szCs w:val="21"/>
        </w:rPr>
      </w:pPr>
      <w:r>
        <w:rPr>
          <w:rFonts w:hint="eastAsia"/>
          <w:b/>
          <w:bCs/>
          <w:sz w:val="21"/>
          <w:szCs w:val="21"/>
          <w:lang w:val="en-US" w:eastAsia="zh-CN"/>
        </w:rPr>
        <w:t>1</w:t>
      </w:r>
      <w:r>
        <w:rPr>
          <w:rFonts w:hint="eastAsia"/>
          <w:b/>
          <w:bCs/>
          <w:sz w:val="21"/>
          <w:szCs w:val="21"/>
        </w:rPr>
        <w:t>.1 试验清单</w:t>
      </w:r>
    </w:p>
    <w:p w14:paraId="27884BB9">
      <w:pPr>
        <w:spacing w:line="360" w:lineRule="auto"/>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详见</w:t>
      </w:r>
      <w:r>
        <w:rPr>
          <w:rFonts w:hint="eastAsia" w:ascii="Times New Roman" w:cs="Times New Roman"/>
          <w:sz w:val="21"/>
          <w:szCs w:val="21"/>
          <w:lang w:val="en-US" w:eastAsia="zh-CN"/>
        </w:rPr>
        <w:t>《分项报价表》和《用户需求书》。</w:t>
      </w:r>
    </w:p>
    <w:p w14:paraId="4044B9BF">
      <w:pPr>
        <w:spacing w:line="360" w:lineRule="auto"/>
        <w:ind w:firstLine="422" w:firstLineChars="200"/>
        <w:rPr>
          <w:rFonts w:hint="default" w:ascii="Times New Roman" w:hAnsi="Times New Roman" w:eastAsia="宋体" w:cs="Times New Roman"/>
          <w:b/>
          <w:sz w:val="21"/>
          <w:szCs w:val="21"/>
        </w:rPr>
      </w:pPr>
      <w:r>
        <w:rPr>
          <w:rFonts w:hint="eastAsia" w:ascii="Times New Roman" w:cs="Times New Roman"/>
          <w:b/>
          <w:sz w:val="21"/>
          <w:szCs w:val="21"/>
          <w:lang w:val="en-US" w:eastAsia="zh-CN"/>
        </w:rPr>
        <w:t>1</w:t>
      </w:r>
      <w:r>
        <w:rPr>
          <w:rFonts w:hint="default" w:ascii="Times New Roman" w:hAnsi="Times New Roman" w:eastAsia="宋体" w:cs="Times New Roman"/>
          <w:b/>
          <w:sz w:val="21"/>
          <w:szCs w:val="21"/>
        </w:rPr>
        <w:t xml:space="preserve">.2 </w:t>
      </w:r>
      <w:r>
        <w:rPr>
          <w:rFonts w:hint="default" w:ascii="Times New Roman" w:hAnsi="Times New Roman" w:eastAsia="宋体" w:cs="Times New Roman"/>
          <w:b/>
          <w:sz w:val="21"/>
          <w:szCs w:val="21"/>
          <w:lang w:val="en-US" w:eastAsia="zh-CN"/>
        </w:rPr>
        <w:t>试验</w:t>
      </w:r>
      <w:r>
        <w:rPr>
          <w:rFonts w:hint="default" w:ascii="Times New Roman" w:hAnsi="Times New Roman" w:eastAsia="宋体" w:cs="Times New Roman"/>
          <w:b/>
          <w:sz w:val="21"/>
          <w:szCs w:val="21"/>
        </w:rPr>
        <w:t>及</w:t>
      </w:r>
      <w:r>
        <w:rPr>
          <w:rFonts w:hint="default" w:ascii="Times New Roman" w:hAnsi="Times New Roman" w:eastAsia="宋体" w:cs="Times New Roman"/>
          <w:b/>
          <w:sz w:val="21"/>
          <w:szCs w:val="21"/>
          <w:lang w:val="en-US" w:eastAsia="zh-CN"/>
        </w:rPr>
        <w:t>工作</w:t>
      </w:r>
      <w:r>
        <w:rPr>
          <w:rFonts w:hint="default" w:ascii="Times New Roman" w:hAnsi="Times New Roman" w:eastAsia="宋体" w:cs="Times New Roman"/>
          <w:b/>
          <w:sz w:val="21"/>
          <w:szCs w:val="21"/>
        </w:rPr>
        <w:t>界限</w:t>
      </w:r>
    </w:p>
    <w:p w14:paraId="30F1FDDD">
      <w:pPr>
        <w:tabs>
          <w:tab w:val="left" w:pos="567"/>
        </w:tabs>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(1) </w:t>
      </w:r>
      <w:r>
        <w:rPr>
          <w:rFonts w:hint="eastAsia" w:ascii="Times New Roman" w:cs="Times New Roman"/>
          <w:sz w:val="21"/>
          <w:szCs w:val="21"/>
          <w:lang w:val="en-US" w:eastAsia="zh-CN"/>
        </w:rPr>
        <w:t>乙方</w:t>
      </w:r>
      <w:r>
        <w:rPr>
          <w:rFonts w:hint="default" w:ascii="Times New Roman" w:hAnsi="Times New Roman" w:eastAsia="宋体" w:cs="Times New Roman"/>
          <w:sz w:val="21"/>
          <w:szCs w:val="21"/>
          <w:lang w:val="en-US" w:eastAsia="zh-CN"/>
        </w:rPr>
        <w:t>完成上述试验清单中的每项试验工作内容。</w:t>
      </w:r>
    </w:p>
    <w:p w14:paraId="72C560C3">
      <w:pPr>
        <w:spacing w:line="36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 xml:space="preserve">(2) </w:t>
      </w:r>
      <w:r>
        <w:rPr>
          <w:rFonts w:hint="eastAsia" w:ascii="Times New Roman" w:cs="Times New Roman"/>
          <w:sz w:val="21"/>
          <w:szCs w:val="21"/>
          <w:lang w:val="en-US" w:eastAsia="zh-CN"/>
        </w:rPr>
        <w:t>乙方</w:t>
      </w:r>
      <w:r>
        <w:rPr>
          <w:rFonts w:hint="default" w:ascii="Times New Roman" w:hAnsi="Times New Roman" w:eastAsia="宋体" w:cs="Times New Roman"/>
          <w:sz w:val="21"/>
          <w:szCs w:val="21"/>
          <w:lang w:val="en-US" w:eastAsia="zh-CN"/>
        </w:rPr>
        <w:t>完成</w:t>
      </w:r>
      <w:r>
        <w:rPr>
          <w:rFonts w:hint="default" w:ascii="Times New Roman" w:hAnsi="Times New Roman" w:eastAsia="宋体" w:cs="Times New Roman"/>
          <w:sz w:val="21"/>
          <w:szCs w:val="21"/>
        </w:rPr>
        <w:t>本次项目涉及10</w:t>
      </w:r>
      <w:r>
        <w:rPr>
          <w:rFonts w:hint="eastAsia" w:ascii="Times New Roman" w:hAnsi="Times New Roman" w:eastAsia="宋体" w:cs="Times New Roman"/>
          <w:sz w:val="21"/>
          <w:szCs w:val="21"/>
          <w:lang w:val="en-US" w:eastAsia="zh-CN"/>
        </w:rPr>
        <w:t>k</w:t>
      </w:r>
      <w:r>
        <w:rPr>
          <w:rFonts w:hint="default" w:ascii="Times New Roman" w:hAnsi="Times New Roman" w:eastAsia="宋体" w:cs="Times New Roman"/>
          <w:sz w:val="21"/>
          <w:szCs w:val="21"/>
        </w:rPr>
        <w:t>V线路的停电、送电等工作</w:t>
      </w:r>
      <w:r>
        <w:rPr>
          <w:rFonts w:hint="default" w:ascii="Times New Roman" w:hAnsi="Times New Roman" w:eastAsia="宋体" w:cs="Times New Roman"/>
          <w:sz w:val="21"/>
          <w:szCs w:val="21"/>
          <w:lang w:eastAsia="zh-CN"/>
        </w:rPr>
        <w:t>。</w:t>
      </w:r>
    </w:p>
    <w:p w14:paraId="4220C078">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 xml:space="preserve"> </w:t>
      </w:r>
      <w:r>
        <w:rPr>
          <w:rFonts w:hint="eastAsia" w:ascii="Times New Roman" w:cs="Times New Roman"/>
          <w:sz w:val="21"/>
          <w:szCs w:val="21"/>
          <w:lang w:val="en-US" w:eastAsia="zh-CN"/>
        </w:rPr>
        <w:t>乙方</w:t>
      </w:r>
      <w:r>
        <w:rPr>
          <w:rFonts w:hint="default" w:ascii="Times New Roman" w:hAnsi="Times New Roman" w:eastAsia="宋体" w:cs="Times New Roman"/>
          <w:sz w:val="21"/>
          <w:szCs w:val="21"/>
          <w:lang w:val="en-US" w:eastAsia="zh-CN"/>
        </w:rPr>
        <w:t>完成试验清单变压器的清灰除尘工作。</w:t>
      </w:r>
    </w:p>
    <w:p w14:paraId="1D441DE0">
      <w:pPr>
        <w:spacing w:line="360" w:lineRule="auto"/>
        <w:rPr>
          <w:rFonts w:ascii="Times New Roman"/>
          <w:sz w:val="21"/>
          <w:szCs w:val="21"/>
        </w:rPr>
      </w:pPr>
    </w:p>
    <w:p w14:paraId="513B6209">
      <w:pPr>
        <w:spacing w:line="360" w:lineRule="auto"/>
        <w:ind w:firstLine="422" w:firstLineChars="200"/>
        <w:rPr>
          <w:rFonts w:ascii="Times New Roman"/>
          <w:b/>
          <w:bCs/>
          <w:sz w:val="21"/>
          <w:szCs w:val="21"/>
        </w:rPr>
      </w:pPr>
      <w:r>
        <w:rPr>
          <w:rFonts w:hint="eastAsia" w:ascii="Times New Roman"/>
          <w:b/>
          <w:bCs/>
          <w:sz w:val="21"/>
          <w:szCs w:val="21"/>
        </w:rPr>
        <w:t>第二条 服务期限及地点要求</w:t>
      </w:r>
    </w:p>
    <w:p w14:paraId="53833A6B">
      <w:pPr>
        <w:pStyle w:val="62"/>
        <w:spacing w:line="360" w:lineRule="auto"/>
        <w:ind w:firstLine="424" w:firstLineChars="202"/>
        <w:jc w:val="both"/>
        <w:rPr>
          <w:sz w:val="21"/>
          <w:szCs w:val="21"/>
        </w:rPr>
      </w:pPr>
      <w:r>
        <w:rPr>
          <w:rFonts w:hint="eastAsia"/>
          <w:sz w:val="21"/>
          <w:szCs w:val="21"/>
        </w:rPr>
        <w:t>（1）服务期限：自</w:t>
      </w:r>
      <w:r>
        <w:rPr>
          <w:rFonts w:hint="eastAsia"/>
          <w:sz w:val="21"/>
          <w:szCs w:val="21"/>
          <w:lang w:val="en-US" w:eastAsia="zh-CN"/>
        </w:rPr>
        <w:t>合同签订之日</w:t>
      </w:r>
      <w:r>
        <w:rPr>
          <w:rFonts w:hint="eastAsia"/>
          <w:sz w:val="21"/>
          <w:szCs w:val="21"/>
        </w:rPr>
        <w:t>起</w:t>
      </w:r>
      <w:r>
        <w:rPr>
          <w:rFonts w:hint="eastAsia"/>
          <w:sz w:val="21"/>
          <w:szCs w:val="21"/>
          <w:lang w:val="en-US" w:eastAsia="zh-CN"/>
        </w:rPr>
        <w:t>一年</w:t>
      </w:r>
      <w:r>
        <w:rPr>
          <w:rFonts w:hint="eastAsia"/>
          <w:sz w:val="21"/>
          <w:szCs w:val="21"/>
        </w:rPr>
        <w:t>，具体预防性试验实施时间以</w:t>
      </w:r>
      <w:r>
        <w:rPr>
          <w:rFonts w:hint="eastAsia"/>
          <w:sz w:val="21"/>
          <w:szCs w:val="21"/>
          <w:lang w:val="en-US" w:eastAsia="zh-CN"/>
        </w:rPr>
        <w:t>甲方</w:t>
      </w:r>
      <w:r>
        <w:rPr>
          <w:rFonts w:hint="eastAsia"/>
          <w:sz w:val="21"/>
          <w:szCs w:val="21"/>
        </w:rPr>
        <w:t>通知约定的时间为准。</w:t>
      </w:r>
    </w:p>
    <w:p w14:paraId="08F0D364">
      <w:pPr>
        <w:pStyle w:val="62"/>
        <w:spacing w:line="360" w:lineRule="auto"/>
        <w:ind w:firstLine="424" w:firstLineChars="202"/>
        <w:rPr>
          <w:rFonts w:hint="default" w:eastAsia="宋体"/>
          <w:sz w:val="21"/>
          <w:szCs w:val="21"/>
          <w:lang w:val="en-US" w:eastAsia="zh-CN"/>
        </w:rPr>
      </w:pPr>
      <w:r>
        <w:rPr>
          <w:rFonts w:hint="eastAsia"/>
          <w:sz w:val="21"/>
          <w:szCs w:val="21"/>
        </w:rPr>
        <w:t>（2）</w:t>
      </w:r>
      <w:r>
        <w:rPr>
          <w:rFonts w:hint="eastAsia"/>
          <w:sz w:val="21"/>
          <w:szCs w:val="21"/>
          <w:lang w:val="en-US" w:eastAsia="zh-CN"/>
        </w:rPr>
        <w:t>乙方</w:t>
      </w:r>
      <w:r>
        <w:rPr>
          <w:rFonts w:hint="eastAsia"/>
          <w:sz w:val="21"/>
          <w:szCs w:val="21"/>
        </w:rPr>
        <w:t>在接到</w:t>
      </w:r>
      <w:r>
        <w:rPr>
          <w:rFonts w:hint="eastAsia"/>
          <w:sz w:val="21"/>
          <w:szCs w:val="21"/>
          <w:lang w:val="en-US" w:eastAsia="zh-CN"/>
        </w:rPr>
        <w:t>甲方</w:t>
      </w:r>
      <w:r>
        <w:rPr>
          <w:rFonts w:hint="eastAsia"/>
          <w:sz w:val="21"/>
          <w:szCs w:val="21"/>
        </w:rPr>
        <w:t>服务通知之日起30日内完成万江污水处理厂二期项目内设备的预防性试验及检验工作。</w:t>
      </w:r>
    </w:p>
    <w:p w14:paraId="3271B43E">
      <w:pPr>
        <w:pStyle w:val="62"/>
        <w:spacing w:line="360" w:lineRule="auto"/>
        <w:ind w:firstLine="424" w:firstLineChars="202"/>
        <w:rPr>
          <w:rFonts w:hint="eastAsia"/>
          <w:sz w:val="21"/>
          <w:szCs w:val="21"/>
        </w:rPr>
      </w:pPr>
      <w:r>
        <w:rPr>
          <w:rFonts w:hint="eastAsia"/>
          <w:sz w:val="21"/>
          <w:szCs w:val="21"/>
        </w:rPr>
        <w:t>（3）服务地址：东莞市万江街道流涌尾社区白水涡万江污水处理厂二期。</w:t>
      </w:r>
    </w:p>
    <w:p w14:paraId="40F38CC5">
      <w:pPr>
        <w:spacing w:line="360" w:lineRule="auto"/>
        <w:rPr>
          <w:rFonts w:ascii="Times New Roman"/>
          <w:sz w:val="21"/>
          <w:szCs w:val="21"/>
        </w:rPr>
      </w:pPr>
    </w:p>
    <w:p w14:paraId="32BD1252">
      <w:pPr>
        <w:spacing w:line="360" w:lineRule="auto"/>
        <w:ind w:firstLine="422" w:firstLineChars="200"/>
        <w:rPr>
          <w:rFonts w:hint="default" w:ascii="Times New Roman" w:eastAsia="宋体"/>
          <w:b/>
          <w:bCs/>
          <w:sz w:val="21"/>
          <w:szCs w:val="21"/>
          <w:lang w:val="en-US" w:eastAsia="zh-CN"/>
        </w:rPr>
      </w:pPr>
      <w:r>
        <w:rPr>
          <w:rFonts w:hint="eastAsia" w:ascii="Times New Roman"/>
          <w:b/>
          <w:bCs/>
          <w:sz w:val="21"/>
          <w:szCs w:val="21"/>
        </w:rPr>
        <w:t xml:space="preserve">第三条 </w:t>
      </w:r>
      <w:r>
        <w:rPr>
          <w:rFonts w:hint="eastAsia" w:ascii="Times New Roman"/>
          <w:b/>
          <w:bCs/>
          <w:sz w:val="21"/>
          <w:szCs w:val="21"/>
          <w:lang w:val="en-US" w:eastAsia="zh-CN"/>
        </w:rPr>
        <w:t>相关要求</w:t>
      </w:r>
    </w:p>
    <w:p w14:paraId="095A1093">
      <w:pPr>
        <w:spacing w:line="360" w:lineRule="auto"/>
        <w:ind w:firstLine="420" w:firstLineChars="200"/>
        <w:rPr>
          <w:rFonts w:hint="eastAsia" w:ascii="Times New Roman" w:eastAsia="宋体"/>
          <w:sz w:val="21"/>
          <w:szCs w:val="21"/>
          <w:lang w:eastAsia="zh-CN"/>
        </w:rPr>
      </w:pPr>
      <w:r>
        <w:rPr>
          <w:rFonts w:hint="eastAsia" w:ascii="Times New Roman"/>
          <w:sz w:val="21"/>
          <w:szCs w:val="21"/>
        </w:rPr>
        <w:t>1、</w:t>
      </w:r>
      <w:r>
        <w:rPr>
          <w:rFonts w:hint="eastAsia" w:ascii="Times New Roman" w:eastAsia="宋体"/>
          <w:sz w:val="21"/>
          <w:szCs w:val="21"/>
        </w:rPr>
        <w:t>项目数量要求</w:t>
      </w:r>
      <w:r>
        <w:rPr>
          <w:rFonts w:hint="eastAsia" w:ascii="Times New Roman" w:eastAsia="宋体"/>
          <w:sz w:val="21"/>
          <w:szCs w:val="21"/>
          <w:lang w:eastAsia="zh-CN"/>
        </w:rPr>
        <w:t>：</w:t>
      </w:r>
    </w:p>
    <w:p w14:paraId="4B645BA2">
      <w:pPr>
        <w:pStyle w:val="62"/>
        <w:spacing w:line="360" w:lineRule="auto"/>
        <w:ind w:firstLine="426" w:firstLineChars="202"/>
        <w:rPr>
          <w:rFonts w:hint="eastAsia"/>
          <w:sz w:val="21"/>
          <w:szCs w:val="21"/>
          <w:lang w:eastAsia="zh-CN"/>
        </w:rPr>
      </w:pPr>
      <w:r>
        <w:rPr>
          <w:rFonts w:hint="eastAsia"/>
          <w:b/>
          <w:bCs/>
          <w:sz w:val="21"/>
          <w:szCs w:val="21"/>
          <w:lang w:eastAsia="zh-CN"/>
        </w:rPr>
        <w:t>（</w:t>
      </w:r>
      <w:r>
        <w:rPr>
          <w:rFonts w:hint="eastAsia"/>
          <w:b/>
          <w:bCs/>
          <w:sz w:val="21"/>
          <w:szCs w:val="21"/>
          <w:lang w:val="en-US" w:eastAsia="zh-CN"/>
        </w:rPr>
        <w:t>1</w:t>
      </w:r>
      <w:r>
        <w:rPr>
          <w:rFonts w:hint="eastAsia"/>
          <w:b/>
          <w:bCs/>
          <w:sz w:val="21"/>
          <w:szCs w:val="21"/>
          <w:lang w:eastAsia="zh-CN"/>
        </w:rPr>
        <w:t>）</w:t>
      </w:r>
      <w:r>
        <w:rPr>
          <w:rFonts w:hint="eastAsia"/>
          <w:b/>
          <w:bCs/>
          <w:sz w:val="21"/>
          <w:szCs w:val="21"/>
          <w:lang w:val="en-US" w:eastAsia="zh-CN"/>
        </w:rPr>
        <w:t>采购项目清单内未列入，但根据</w:t>
      </w:r>
      <w:r>
        <w:rPr>
          <w:rFonts w:hint="eastAsia"/>
          <w:b/>
          <w:bCs/>
          <w:sz w:val="21"/>
          <w:szCs w:val="21"/>
        </w:rPr>
        <w:t>国家颁布最新的《电力设备预防性试验规程》、《电力安全工器具预防性试验规程》等相关规定</w:t>
      </w:r>
      <w:r>
        <w:rPr>
          <w:rFonts w:hint="eastAsia"/>
          <w:b/>
          <w:bCs/>
          <w:sz w:val="21"/>
          <w:szCs w:val="21"/>
          <w:lang w:val="en-US" w:eastAsia="zh-CN"/>
        </w:rPr>
        <w:t>应当进行</w:t>
      </w:r>
      <w:r>
        <w:rPr>
          <w:rFonts w:hint="eastAsia"/>
          <w:b/>
          <w:bCs/>
          <w:sz w:val="21"/>
          <w:szCs w:val="21"/>
        </w:rPr>
        <w:t>预防性试验</w:t>
      </w:r>
      <w:r>
        <w:rPr>
          <w:rFonts w:hint="eastAsia"/>
          <w:b/>
          <w:bCs/>
          <w:sz w:val="21"/>
          <w:szCs w:val="21"/>
          <w:lang w:val="en-US" w:eastAsia="zh-CN"/>
        </w:rPr>
        <w:t>的内容，</w:t>
      </w:r>
      <w:r>
        <w:rPr>
          <w:rFonts w:hint="eastAsia"/>
          <w:b/>
          <w:bCs/>
          <w:sz w:val="21"/>
          <w:szCs w:val="21"/>
          <w:lang w:eastAsia="zh-CN"/>
        </w:rPr>
        <w:t>乙方</w:t>
      </w:r>
      <w:r>
        <w:rPr>
          <w:rFonts w:hint="eastAsia"/>
          <w:b/>
          <w:bCs/>
          <w:sz w:val="21"/>
          <w:szCs w:val="21"/>
          <w:lang w:val="en-US" w:eastAsia="zh-CN"/>
        </w:rPr>
        <w:t>同样应当进行</w:t>
      </w:r>
      <w:r>
        <w:rPr>
          <w:rFonts w:hint="eastAsia" w:ascii="宋体" w:hAnsi="宋体" w:cs="宋体"/>
          <w:b/>
          <w:bCs/>
          <w:sz w:val="21"/>
          <w:szCs w:val="21"/>
          <w:lang w:val="en-US" w:eastAsia="zh-CN"/>
        </w:rPr>
        <w:t>预防性试验</w:t>
      </w:r>
      <w:r>
        <w:rPr>
          <w:rFonts w:hint="eastAsia"/>
          <w:b/>
          <w:bCs/>
          <w:sz w:val="21"/>
          <w:szCs w:val="21"/>
        </w:rPr>
        <w:t>。</w:t>
      </w:r>
    </w:p>
    <w:p w14:paraId="1B4832B3">
      <w:pPr>
        <w:pStyle w:val="62"/>
        <w:spacing w:line="360" w:lineRule="auto"/>
        <w:ind w:firstLine="424" w:firstLineChars="202"/>
        <w:rPr>
          <w:sz w:val="21"/>
          <w:szCs w:val="21"/>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eastAsia="zh-CN"/>
        </w:rPr>
        <w:t>甲方</w:t>
      </w:r>
      <w:r>
        <w:rPr>
          <w:rFonts w:hint="eastAsia"/>
          <w:sz w:val="21"/>
          <w:szCs w:val="21"/>
        </w:rPr>
        <w:t>目前无法保证</w:t>
      </w:r>
      <w:r>
        <w:rPr>
          <w:rFonts w:hint="eastAsia"/>
          <w:sz w:val="21"/>
          <w:szCs w:val="21"/>
          <w:lang w:eastAsia="zh-CN"/>
        </w:rPr>
        <w:t>乙方</w:t>
      </w:r>
      <w:r>
        <w:rPr>
          <w:rFonts w:hint="eastAsia"/>
          <w:sz w:val="21"/>
          <w:szCs w:val="21"/>
        </w:rPr>
        <w:t>获得“3.</w:t>
      </w:r>
      <w:r>
        <w:rPr>
          <w:rFonts w:hint="eastAsia" w:ascii="宋体" w:hAnsi="宋体" w:cs="宋体"/>
          <w:b w:val="0"/>
          <w:sz w:val="21"/>
          <w:szCs w:val="21"/>
          <w:lang w:val="en-US" w:eastAsia="zh-CN"/>
        </w:rPr>
        <w:t>预防性试验</w:t>
      </w:r>
      <w:r>
        <w:rPr>
          <w:rFonts w:hint="eastAsia"/>
          <w:sz w:val="21"/>
          <w:szCs w:val="21"/>
        </w:rPr>
        <w:t>项目清单”项目的具体数量，因此无法保证服务期内</w:t>
      </w:r>
      <w:r>
        <w:rPr>
          <w:rFonts w:hint="eastAsia"/>
          <w:sz w:val="21"/>
          <w:szCs w:val="21"/>
          <w:lang w:eastAsia="zh-CN"/>
        </w:rPr>
        <w:t>乙方</w:t>
      </w:r>
      <w:r>
        <w:rPr>
          <w:rFonts w:hint="eastAsia"/>
          <w:sz w:val="21"/>
          <w:szCs w:val="21"/>
        </w:rPr>
        <w:t>进行高低压配电系统设备预防性试验服务项目的总数量，</w:t>
      </w:r>
      <w:r>
        <w:rPr>
          <w:rFonts w:hint="eastAsia"/>
          <w:sz w:val="21"/>
          <w:szCs w:val="21"/>
          <w:lang w:eastAsia="zh-CN"/>
        </w:rPr>
        <w:t>乙方</w:t>
      </w:r>
      <w:r>
        <w:rPr>
          <w:rFonts w:hint="eastAsia"/>
          <w:sz w:val="21"/>
          <w:szCs w:val="21"/>
        </w:rPr>
        <w:t>不得因</w:t>
      </w:r>
      <w:r>
        <w:rPr>
          <w:rFonts w:hint="eastAsia"/>
          <w:sz w:val="21"/>
          <w:szCs w:val="21"/>
          <w:lang w:eastAsia="zh-CN"/>
        </w:rPr>
        <w:t>甲方</w:t>
      </w:r>
      <w:r>
        <w:rPr>
          <w:rFonts w:hint="eastAsia"/>
          <w:sz w:val="21"/>
          <w:szCs w:val="21"/>
        </w:rPr>
        <w:t>实际高低压配电系统设备预防性试验服务项目数量减少或增加而要求提供任何形式的补偿或赔偿。</w:t>
      </w:r>
    </w:p>
    <w:p w14:paraId="302F06A9">
      <w:pPr>
        <w:pStyle w:val="62"/>
        <w:spacing w:line="360" w:lineRule="auto"/>
        <w:ind w:firstLine="424" w:firstLineChars="202"/>
        <w:rPr>
          <w:sz w:val="21"/>
          <w:szCs w:val="21"/>
        </w:rPr>
      </w:pP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eastAsia="zh-CN"/>
        </w:rPr>
        <w:t>乙方</w:t>
      </w:r>
      <w:r>
        <w:rPr>
          <w:rFonts w:hint="eastAsia"/>
          <w:sz w:val="21"/>
          <w:szCs w:val="21"/>
        </w:rPr>
        <w:t>必须清楚理解：</w:t>
      </w:r>
      <w:r>
        <w:rPr>
          <w:rFonts w:hint="eastAsia"/>
          <w:sz w:val="21"/>
          <w:szCs w:val="21"/>
          <w:lang w:eastAsia="zh-CN"/>
        </w:rPr>
        <w:t>甲方</w:t>
      </w:r>
      <w:r>
        <w:rPr>
          <w:rFonts w:hint="eastAsia"/>
          <w:sz w:val="21"/>
          <w:szCs w:val="21"/>
        </w:rPr>
        <w:t>无法预计也无法保证</w:t>
      </w:r>
      <w:r>
        <w:rPr>
          <w:rFonts w:hint="eastAsia"/>
          <w:sz w:val="21"/>
          <w:szCs w:val="21"/>
          <w:lang w:eastAsia="zh-CN"/>
        </w:rPr>
        <w:t>乙方</w:t>
      </w:r>
      <w:r>
        <w:rPr>
          <w:rFonts w:hint="eastAsia"/>
          <w:sz w:val="21"/>
          <w:szCs w:val="21"/>
        </w:rPr>
        <w:t>所能获得的服务项目数量。在服务期限内，根据</w:t>
      </w:r>
      <w:r>
        <w:rPr>
          <w:rFonts w:hint="eastAsia"/>
          <w:sz w:val="21"/>
          <w:szCs w:val="21"/>
          <w:lang w:eastAsia="zh-CN"/>
        </w:rPr>
        <w:t>甲方</w:t>
      </w:r>
      <w:r>
        <w:rPr>
          <w:rFonts w:hint="eastAsia"/>
          <w:sz w:val="21"/>
          <w:szCs w:val="21"/>
        </w:rPr>
        <w:t>实际运营项目的具体情况，</w:t>
      </w:r>
      <w:r>
        <w:rPr>
          <w:rFonts w:hint="eastAsia"/>
          <w:sz w:val="21"/>
          <w:szCs w:val="21"/>
          <w:lang w:eastAsia="zh-CN"/>
        </w:rPr>
        <w:t>甲方</w:t>
      </w:r>
      <w:r>
        <w:rPr>
          <w:rFonts w:hint="eastAsia"/>
          <w:sz w:val="21"/>
          <w:szCs w:val="21"/>
        </w:rPr>
        <w:t>仍有权通过其他合法方式选择</w:t>
      </w:r>
      <w:r>
        <w:rPr>
          <w:rFonts w:hint="eastAsia"/>
          <w:sz w:val="21"/>
          <w:szCs w:val="21"/>
          <w:lang w:eastAsia="zh-CN"/>
        </w:rPr>
        <w:t>乙方</w:t>
      </w:r>
      <w:r>
        <w:rPr>
          <w:rFonts w:hint="eastAsia"/>
          <w:sz w:val="21"/>
          <w:szCs w:val="21"/>
        </w:rPr>
        <w:t>之外的其他单位提供本高低压配电系统设备预防性试验服务内容。</w:t>
      </w:r>
    </w:p>
    <w:p w14:paraId="420222F6">
      <w:pPr>
        <w:pStyle w:val="62"/>
        <w:spacing w:line="360" w:lineRule="auto"/>
        <w:ind w:firstLine="424" w:firstLineChars="202"/>
        <w:rPr>
          <w:rFonts w:hint="eastAsia"/>
          <w:sz w:val="21"/>
          <w:szCs w:val="21"/>
        </w:rPr>
      </w:pPr>
      <w:r>
        <w:rPr>
          <w:rFonts w:hint="eastAsia"/>
          <w:sz w:val="21"/>
          <w:szCs w:val="21"/>
        </w:rPr>
        <w:t>（</w:t>
      </w:r>
      <w:r>
        <w:rPr>
          <w:rFonts w:hint="eastAsia"/>
          <w:sz w:val="21"/>
          <w:szCs w:val="21"/>
          <w:lang w:val="en-US" w:eastAsia="zh-CN"/>
        </w:rPr>
        <w:t>4</w:t>
      </w:r>
      <w:r>
        <w:rPr>
          <w:rFonts w:hint="eastAsia"/>
          <w:sz w:val="21"/>
          <w:szCs w:val="21"/>
        </w:rPr>
        <w:t>）受相关主管部门政策调整的影响或</w:t>
      </w:r>
      <w:r>
        <w:rPr>
          <w:rFonts w:hint="eastAsia"/>
          <w:sz w:val="21"/>
          <w:szCs w:val="21"/>
          <w:lang w:eastAsia="zh-CN"/>
        </w:rPr>
        <w:t>乙方</w:t>
      </w:r>
      <w:r>
        <w:rPr>
          <w:rFonts w:hint="eastAsia"/>
          <w:sz w:val="21"/>
          <w:szCs w:val="21"/>
        </w:rPr>
        <w:t>服务无法满足</w:t>
      </w:r>
      <w:r>
        <w:rPr>
          <w:rFonts w:hint="eastAsia"/>
          <w:sz w:val="21"/>
          <w:szCs w:val="21"/>
          <w:lang w:eastAsia="zh-CN"/>
        </w:rPr>
        <w:t>甲方</w:t>
      </w:r>
      <w:r>
        <w:rPr>
          <w:rFonts w:hint="eastAsia"/>
          <w:sz w:val="21"/>
          <w:szCs w:val="21"/>
        </w:rPr>
        <w:t>需要（或</w:t>
      </w:r>
      <w:r>
        <w:rPr>
          <w:rFonts w:hint="eastAsia"/>
          <w:sz w:val="21"/>
          <w:szCs w:val="21"/>
          <w:lang w:eastAsia="zh-CN"/>
        </w:rPr>
        <w:t>乙方</w:t>
      </w:r>
      <w:r>
        <w:rPr>
          <w:rFonts w:hint="eastAsia"/>
          <w:sz w:val="21"/>
          <w:szCs w:val="21"/>
        </w:rPr>
        <w:t>服务质量未达到</w:t>
      </w:r>
      <w:r>
        <w:rPr>
          <w:rFonts w:hint="eastAsia"/>
          <w:sz w:val="21"/>
          <w:szCs w:val="21"/>
          <w:lang w:eastAsia="zh-CN"/>
        </w:rPr>
        <w:t>甲方</w:t>
      </w:r>
      <w:r>
        <w:rPr>
          <w:rFonts w:hint="eastAsia"/>
          <w:sz w:val="21"/>
          <w:szCs w:val="21"/>
        </w:rPr>
        <w:t>要求）的情况下，</w:t>
      </w:r>
      <w:r>
        <w:rPr>
          <w:rFonts w:hint="eastAsia"/>
          <w:sz w:val="21"/>
          <w:szCs w:val="21"/>
          <w:lang w:eastAsia="zh-CN"/>
        </w:rPr>
        <w:t>甲方</w:t>
      </w:r>
      <w:r>
        <w:rPr>
          <w:rFonts w:hint="eastAsia"/>
          <w:sz w:val="21"/>
          <w:szCs w:val="21"/>
        </w:rPr>
        <w:t>保留将相关项目委托给</w:t>
      </w:r>
      <w:r>
        <w:rPr>
          <w:rFonts w:hint="eastAsia"/>
          <w:sz w:val="21"/>
          <w:szCs w:val="21"/>
          <w:lang w:eastAsia="zh-CN"/>
        </w:rPr>
        <w:t>乙方</w:t>
      </w:r>
      <w:r>
        <w:rPr>
          <w:rFonts w:hint="eastAsia"/>
          <w:sz w:val="21"/>
          <w:szCs w:val="21"/>
        </w:rPr>
        <w:t>外其他高低压配电系统设备预防性试验服务单位的权利。</w:t>
      </w:r>
    </w:p>
    <w:p w14:paraId="1BF8906C">
      <w:pPr>
        <w:pStyle w:val="62"/>
        <w:spacing w:line="360" w:lineRule="auto"/>
        <w:ind w:firstLine="424" w:firstLineChars="202"/>
        <w:rPr>
          <w:rFonts w:hint="eastAsia"/>
          <w:sz w:val="21"/>
          <w:szCs w:val="21"/>
          <w:lang w:eastAsia="zh-CN"/>
        </w:rPr>
      </w:pPr>
      <w:r>
        <w:rPr>
          <w:rFonts w:hint="eastAsia"/>
          <w:sz w:val="21"/>
          <w:szCs w:val="21"/>
          <w:lang w:val="en-US" w:eastAsia="zh-CN"/>
        </w:rPr>
        <w:t>2、预防性试验</w:t>
      </w:r>
      <w:r>
        <w:rPr>
          <w:rFonts w:hint="eastAsia"/>
          <w:sz w:val="21"/>
          <w:szCs w:val="21"/>
          <w:lang w:eastAsia="zh-CN"/>
        </w:rPr>
        <w:t>及其它技术要求：</w:t>
      </w:r>
    </w:p>
    <w:p w14:paraId="2DC8F450">
      <w:pPr>
        <w:pStyle w:val="62"/>
        <w:spacing w:line="360" w:lineRule="auto"/>
        <w:ind w:firstLine="426" w:firstLineChars="202"/>
        <w:rPr>
          <w:rFonts w:hint="eastAsia"/>
          <w:b/>
          <w:bCs/>
          <w:sz w:val="21"/>
          <w:szCs w:val="21"/>
          <w:lang w:val="en-US" w:eastAsia="zh-CN"/>
        </w:rPr>
      </w:pPr>
      <w:r>
        <w:rPr>
          <w:rFonts w:hint="eastAsia"/>
          <w:b/>
          <w:bCs/>
          <w:sz w:val="21"/>
          <w:szCs w:val="21"/>
          <w:lang w:val="en-US" w:eastAsia="zh-CN"/>
        </w:rPr>
        <w:t>（1）资质要求</w:t>
      </w:r>
    </w:p>
    <w:p w14:paraId="76CB6F65">
      <w:pPr>
        <w:pStyle w:val="62"/>
        <w:spacing w:line="360" w:lineRule="auto"/>
        <w:ind w:firstLine="426" w:firstLineChars="202"/>
        <w:rPr>
          <w:rFonts w:hint="eastAsia"/>
          <w:b/>
          <w:bCs/>
          <w:sz w:val="21"/>
          <w:szCs w:val="21"/>
          <w:lang w:val="en-US" w:eastAsia="zh-CN"/>
        </w:rPr>
      </w:pPr>
      <w:r>
        <w:rPr>
          <w:rFonts w:hint="eastAsia"/>
          <w:b/>
          <w:bCs/>
          <w:sz w:val="21"/>
          <w:szCs w:val="21"/>
          <w:lang w:val="en-US" w:eastAsia="zh-CN"/>
        </w:rPr>
        <w:t>乙方具备国家能源局派出机构颁发的承装（修、试）电力设施许可证资质证书，证书类别包括承修类、承试类且类别等级为四级或以上【或具有2025年7月1日之后日期颁发或换领的承装（修、试）电力设施许可证三级或以上】。</w:t>
      </w:r>
    </w:p>
    <w:p w14:paraId="53DCADB4">
      <w:pPr>
        <w:pStyle w:val="62"/>
        <w:spacing w:line="360" w:lineRule="auto"/>
        <w:ind w:firstLine="424" w:firstLineChars="202"/>
        <w:rPr>
          <w:rFonts w:hint="eastAsia"/>
          <w:sz w:val="21"/>
          <w:szCs w:val="21"/>
          <w:lang w:val="en-US" w:eastAsia="zh-CN"/>
        </w:rPr>
      </w:pPr>
      <w:r>
        <w:rPr>
          <w:rFonts w:hint="eastAsia"/>
          <w:sz w:val="21"/>
          <w:szCs w:val="21"/>
          <w:lang w:val="en-US" w:eastAsia="zh-CN"/>
        </w:rPr>
        <w:t>（2）预防性试验要求</w:t>
      </w:r>
    </w:p>
    <w:p w14:paraId="3EF791EB">
      <w:pPr>
        <w:pStyle w:val="62"/>
        <w:spacing w:line="360" w:lineRule="auto"/>
        <w:ind w:firstLine="424" w:firstLineChars="202"/>
        <w:rPr>
          <w:rFonts w:hint="eastAsia"/>
          <w:sz w:val="21"/>
          <w:szCs w:val="21"/>
          <w:lang w:val="en-US" w:eastAsia="zh-CN"/>
        </w:rPr>
      </w:pPr>
      <w:r>
        <w:rPr>
          <w:rFonts w:hint="eastAsia"/>
          <w:sz w:val="21"/>
          <w:szCs w:val="21"/>
          <w:lang w:val="en-US" w:eastAsia="zh-CN"/>
        </w:rPr>
        <w:t>乙方应严格按照国家颁布最新的《电力设备预防性试验规程》、《电力安全工器具预防性试验规程》等相关规定和标准提供服务，在污水厂设备现场实施检验，检验完毕后乙方需及时与甲方反馈配电设备存在的缺陷和整改建议，协助甲方完成相应的整改工作，最终出具检验合格的报告才可请款。</w:t>
      </w:r>
    </w:p>
    <w:p w14:paraId="34B214AF">
      <w:pPr>
        <w:pStyle w:val="62"/>
        <w:spacing w:line="360" w:lineRule="auto"/>
        <w:ind w:firstLine="424" w:firstLineChars="202"/>
        <w:rPr>
          <w:rFonts w:hint="eastAsia"/>
          <w:sz w:val="21"/>
          <w:szCs w:val="21"/>
          <w:lang w:val="en-US" w:eastAsia="zh-CN"/>
        </w:rPr>
      </w:pPr>
      <w:r>
        <w:rPr>
          <w:rFonts w:hint="eastAsia"/>
          <w:sz w:val="21"/>
          <w:szCs w:val="21"/>
          <w:lang w:val="en-US" w:eastAsia="zh-CN"/>
        </w:rPr>
        <w:t>设备进行试验时，试验结果应与该设备历次试验结果相比较，与同类设备的试验结果相比较，参照相关的试验结果，根据变化规律和趋势，进行全面分析和判断后作出正确结论。</w:t>
      </w:r>
    </w:p>
    <w:p w14:paraId="6478B118">
      <w:pPr>
        <w:pStyle w:val="62"/>
        <w:spacing w:line="360" w:lineRule="auto"/>
        <w:ind w:firstLine="424" w:firstLineChars="202"/>
        <w:rPr>
          <w:rFonts w:hint="eastAsia"/>
          <w:sz w:val="21"/>
          <w:szCs w:val="21"/>
          <w:lang w:val="en-US" w:eastAsia="zh-CN"/>
        </w:rPr>
      </w:pPr>
      <w:r>
        <w:rPr>
          <w:rFonts w:hint="eastAsia"/>
          <w:sz w:val="21"/>
          <w:szCs w:val="21"/>
          <w:lang w:val="en-US" w:eastAsia="zh-CN"/>
        </w:rPr>
        <w:t>进行附压试验时，应尽量将连在一起的各种设备分离开来单独试验，但同一试验电压的设备可以连在一起进行试验。己有单独试验记录的若干不同试验电压的电力设备，在单独试验有困难时，也可以连在一起进行试验，此时，试验电压应采用所连接设备中的最低试验电压。</w:t>
      </w:r>
    </w:p>
    <w:p w14:paraId="5F9351C9">
      <w:pPr>
        <w:pStyle w:val="62"/>
        <w:spacing w:line="360" w:lineRule="auto"/>
        <w:ind w:firstLine="424" w:firstLineChars="202"/>
        <w:rPr>
          <w:rFonts w:hint="eastAsia"/>
          <w:sz w:val="21"/>
          <w:szCs w:val="21"/>
          <w:lang w:val="en-US" w:eastAsia="zh-CN"/>
        </w:rPr>
      </w:pPr>
      <w:r>
        <w:rPr>
          <w:rFonts w:hint="eastAsia"/>
          <w:sz w:val="21"/>
          <w:szCs w:val="21"/>
          <w:lang w:val="en-US" w:eastAsia="zh-CN"/>
        </w:rPr>
        <w:t>在进行与温度和湿度相关的各种试验时，应同时测量被试品的温度和周围空气的温度和湿度。进行绝缘试验时，被试品温度不应低于+5℃，户外试验应在良好的天气下进行，且空气相对湿度一般不高于80%。</w:t>
      </w:r>
    </w:p>
    <w:p w14:paraId="2CD85D49">
      <w:pPr>
        <w:pStyle w:val="62"/>
        <w:spacing w:line="360" w:lineRule="auto"/>
        <w:ind w:firstLine="424" w:firstLineChars="202"/>
        <w:rPr>
          <w:rFonts w:hint="eastAsia"/>
          <w:sz w:val="21"/>
          <w:szCs w:val="21"/>
          <w:lang w:val="en-US" w:eastAsia="zh-CN"/>
        </w:rPr>
      </w:pPr>
      <w:r>
        <w:rPr>
          <w:rFonts w:hint="eastAsia"/>
          <w:sz w:val="21"/>
          <w:szCs w:val="21"/>
          <w:lang w:val="en-US" w:eastAsia="zh-CN"/>
        </w:rPr>
        <w:t>切断进线电路后，乙方需要先对低压配电间的配电设备进行预防性试验，甲方可在低压配电设备试验完成后，使用自行租赁的发电机在低压联络柜或低压进线柜对全厂设备进行供电，以免影响厂区正常运行生产，故乙方办理的停电作业票需满足以上要求。如因乙方办理的停电作业票有误导致甲方的发电机无法接入供电系统或者损坏其他设备的，甲方一切损失由乙方承担。</w:t>
      </w:r>
    </w:p>
    <w:p w14:paraId="6F7978CD">
      <w:pPr>
        <w:pStyle w:val="62"/>
        <w:spacing w:line="360" w:lineRule="auto"/>
        <w:ind w:firstLine="424" w:firstLineChars="202"/>
        <w:rPr>
          <w:rFonts w:hint="eastAsia"/>
          <w:sz w:val="21"/>
          <w:szCs w:val="21"/>
          <w:lang w:val="en-US" w:eastAsia="zh-CN"/>
        </w:rPr>
      </w:pPr>
      <w:r>
        <w:rPr>
          <w:rFonts w:hint="eastAsia"/>
          <w:sz w:val="21"/>
          <w:szCs w:val="21"/>
          <w:lang w:val="en-US" w:eastAsia="zh-CN"/>
        </w:rPr>
        <w:t>乙方负责完成本项目所涉及高压线路的停电、送电等工作，并且负责到供电部门办理相关手续，甲方协助提供相关资料文件。</w:t>
      </w:r>
    </w:p>
    <w:p w14:paraId="1AB656BA">
      <w:pPr>
        <w:pStyle w:val="62"/>
        <w:spacing w:line="360" w:lineRule="auto"/>
        <w:ind w:firstLine="424" w:firstLineChars="202"/>
        <w:rPr>
          <w:rFonts w:hint="eastAsia"/>
          <w:sz w:val="21"/>
          <w:szCs w:val="21"/>
          <w:lang w:val="en-US" w:eastAsia="zh-CN"/>
        </w:rPr>
      </w:pPr>
      <w:r>
        <w:rPr>
          <w:rFonts w:hint="eastAsia"/>
          <w:sz w:val="21"/>
          <w:szCs w:val="21"/>
          <w:lang w:val="en-US" w:eastAsia="zh-CN"/>
        </w:rPr>
        <w:t>每台检验合格的设备应粘贴有效检验合格证，标明检验日期、检验结果、检验员编号及检验单位等内容。</w:t>
      </w:r>
    </w:p>
    <w:p w14:paraId="7A8F6ECC">
      <w:pPr>
        <w:pStyle w:val="62"/>
        <w:spacing w:line="360" w:lineRule="auto"/>
        <w:ind w:firstLine="424" w:firstLineChars="202"/>
        <w:rPr>
          <w:rFonts w:hint="eastAsia"/>
          <w:sz w:val="21"/>
          <w:szCs w:val="21"/>
          <w:lang w:val="en-US" w:eastAsia="zh-CN"/>
        </w:rPr>
      </w:pPr>
      <w:r>
        <w:rPr>
          <w:rFonts w:hint="eastAsia"/>
          <w:sz w:val="21"/>
          <w:szCs w:val="21"/>
          <w:lang w:val="en-US" w:eastAsia="zh-CN"/>
        </w:rPr>
        <w:t>3、安全及其它要求</w:t>
      </w:r>
    </w:p>
    <w:p w14:paraId="2C97C5F3">
      <w:pPr>
        <w:pStyle w:val="62"/>
        <w:spacing w:line="360" w:lineRule="auto"/>
        <w:ind w:firstLine="424" w:firstLineChars="202"/>
        <w:rPr>
          <w:rFonts w:hint="eastAsia"/>
          <w:sz w:val="21"/>
          <w:szCs w:val="21"/>
          <w:lang w:val="en-US" w:eastAsia="zh-CN"/>
        </w:rPr>
      </w:pPr>
      <w:r>
        <w:rPr>
          <w:rFonts w:hint="eastAsia"/>
          <w:sz w:val="21"/>
          <w:szCs w:val="21"/>
          <w:lang w:val="en-US" w:eastAsia="zh-CN"/>
        </w:rPr>
        <w:fldChar w:fldCharType="begin"/>
      </w:r>
      <w:r>
        <w:rPr>
          <w:rFonts w:hint="eastAsia"/>
          <w:sz w:val="21"/>
          <w:szCs w:val="21"/>
          <w:lang w:val="en-US" w:eastAsia="zh-CN"/>
        </w:rPr>
        <w:instrText xml:space="preserve"> = 1 \* GB3 </w:instrText>
      </w:r>
      <w:r>
        <w:rPr>
          <w:rFonts w:hint="eastAsia"/>
          <w:sz w:val="21"/>
          <w:szCs w:val="21"/>
          <w:lang w:val="en-US" w:eastAsia="zh-CN"/>
        </w:rPr>
        <w:fldChar w:fldCharType="separate"/>
      </w:r>
      <w:r>
        <w:rPr>
          <w:rFonts w:hint="eastAsia"/>
          <w:sz w:val="21"/>
          <w:szCs w:val="21"/>
          <w:lang w:val="en-US" w:eastAsia="zh-CN"/>
        </w:rPr>
        <w:t>①</w:t>
      </w:r>
      <w:r>
        <w:rPr>
          <w:rFonts w:hint="eastAsia"/>
          <w:sz w:val="21"/>
          <w:szCs w:val="21"/>
          <w:lang w:val="en-US" w:eastAsia="zh-CN"/>
        </w:rPr>
        <w:fldChar w:fldCharType="end"/>
      </w:r>
      <w:r>
        <w:rPr>
          <w:rFonts w:hint="eastAsia"/>
          <w:sz w:val="21"/>
          <w:szCs w:val="21"/>
          <w:lang w:val="en-US" w:eastAsia="zh-CN"/>
        </w:rPr>
        <w:t xml:space="preserve"> 施工设备、工器具：由乙方自行解决。</w:t>
      </w:r>
    </w:p>
    <w:p w14:paraId="238EF6AD">
      <w:pPr>
        <w:pStyle w:val="62"/>
        <w:spacing w:line="360" w:lineRule="auto"/>
        <w:ind w:firstLine="424" w:firstLineChars="202"/>
        <w:rPr>
          <w:rFonts w:hint="default"/>
          <w:sz w:val="21"/>
          <w:szCs w:val="21"/>
          <w:lang w:val="en-US" w:eastAsia="zh-CN"/>
        </w:rPr>
      </w:pPr>
      <w:r>
        <w:rPr>
          <w:rFonts w:hint="eastAsia"/>
          <w:sz w:val="21"/>
          <w:szCs w:val="21"/>
          <w:lang w:val="en-US" w:eastAsia="zh-CN"/>
        </w:rPr>
        <w:fldChar w:fldCharType="begin"/>
      </w:r>
      <w:r>
        <w:rPr>
          <w:rFonts w:hint="eastAsia"/>
          <w:sz w:val="21"/>
          <w:szCs w:val="21"/>
          <w:lang w:val="en-US" w:eastAsia="zh-CN"/>
        </w:rPr>
        <w:instrText xml:space="preserve"> = 2 \* GB3 </w:instrText>
      </w:r>
      <w:r>
        <w:rPr>
          <w:rFonts w:hint="eastAsia"/>
          <w:sz w:val="21"/>
          <w:szCs w:val="21"/>
          <w:lang w:val="en-US" w:eastAsia="zh-CN"/>
        </w:rPr>
        <w:fldChar w:fldCharType="separate"/>
      </w:r>
      <w:r>
        <w:rPr>
          <w:rFonts w:hint="eastAsia"/>
          <w:sz w:val="21"/>
          <w:szCs w:val="21"/>
          <w:lang w:val="en-US" w:eastAsia="zh-CN"/>
        </w:rPr>
        <w:t>②</w:t>
      </w:r>
      <w:r>
        <w:rPr>
          <w:rFonts w:hint="eastAsia"/>
          <w:sz w:val="21"/>
          <w:szCs w:val="21"/>
          <w:lang w:val="en-US" w:eastAsia="zh-CN"/>
        </w:rPr>
        <w:fldChar w:fldCharType="end"/>
      </w:r>
      <w:r>
        <w:rPr>
          <w:rFonts w:hint="eastAsia"/>
          <w:sz w:val="21"/>
          <w:szCs w:val="21"/>
          <w:lang w:val="en-US" w:eastAsia="zh-CN"/>
        </w:rPr>
        <w:t xml:space="preserve"> 施工用电：甲方在各污水厂内提供电接入点，由乙方自行接入，乙方需做好用电安全防护措施并无条件接受甲方监督，水电费用由甲方承担。</w:t>
      </w:r>
    </w:p>
    <w:p w14:paraId="7363C205">
      <w:pPr>
        <w:pStyle w:val="62"/>
        <w:spacing w:line="360" w:lineRule="auto"/>
        <w:ind w:firstLine="424" w:firstLineChars="202"/>
        <w:rPr>
          <w:rFonts w:hint="eastAsia"/>
          <w:sz w:val="21"/>
          <w:szCs w:val="21"/>
          <w:lang w:val="en-US" w:eastAsia="zh-CN"/>
        </w:rPr>
      </w:pPr>
      <w:r>
        <w:rPr>
          <w:rFonts w:hint="eastAsia"/>
          <w:sz w:val="21"/>
          <w:szCs w:val="21"/>
          <w:lang w:val="en-US" w:eastAsia="zh-CN"/>
        </w:rPr>
        <w:fldChar w:fldCharType="begin"/>
      </w:r>
      <w:r>
        <w:rPr>
          <w:rFonts w:hint="eastAsia"/>
          <w:sz w:val="21"/>
          <w:szCs w:val="21"/>
          <w:lang w:val="en-US" w:eastAsia="zh-CN"/>
        </w:rPr>
        <w:instrText xml:space="preserve"> = 3 \* GB3 </w:instrText>
      </w:r>
      <w:r>
        <w:rPr>
          <w:rFonts w:hint="eastAsia"/>
          <w:sz w:val="21"/>
          <w:szCs w:val="21"/>
          <w:lang w:val="en-US" w:eastAsia="zh-CN"/>
        </w:rPr>
        <w:fldChar w:fldCharType="separate"/>
      </w:r>
      <w:r>
        <w:rPr>
          <w:rFonts w:hint="eastAsia"/>
          <w:sz w:val="21"/>
          <w:szCs w:val="21"/>
          <w:lang w:val="en-US" w:eastAsia="zh-CN"/>
        </w:rPr>
        <w:t>③</w:t>
      </w:r>
      <w:r>
        <w:rPr>
          <w:rFonts w:hint="eastAsia"/>
          <w:sz w:val="21"/>
          <w:szCs w:val="21"/>
          <w:lang w:val="en-US" w:eastAsia="zh-CN"/>
        </w:rPr>
        <w:fldChar w:fldCharType="end"/>
      </w:r>
      <w:r>
        <w:rPr>
          <w:rFonts w:hint="eastAsia"/>
          <w:sz w:val="21"/>
          <w:szCs w:val="21"/>
          <w:lang w:val="en-US" w:eastAsia="zh-CN"/>
        </w:rPr>
        <w:t xml:space="preserve"> 施工安全：乙方做好施工的安全防护措施，施工过程中出现的安全事故由乙方自行承担。</w:t>
      </w:r>
    </w:p>
    <w:p w14:paraId="33A630F7">
      <w:pPr>
        <w:pStyle w:val="62"/>
        <w:spacing w:line="360" w:lineRule="auto"/>
        <w:ind w:firstLine="424" w:firstLineChars="202"/>
        <w:rPr>
          <w:rFonts w:hint="eastAsia"/>
          <w:sz w:val="21"/>
          <w:szCs w:val="21"/>
          <w:lang w:val="en-US" w:eastAsia="zh-CN"/>
        </w:rPr>
      </w:pPr>
      <w:r>
        <w:rPr>
          <w:rFonts w:hint="eastAsia"/>
          <w:sz w:val="21"/>
          <w:szCs w:val="21"/>
          <w:lang w:val="en-US" w:eastAsia="zh-CN"/>
        </w:rPr>
        <w:t>4、服务要求</w:t>
      </w:r>
    </w:p>
    <w:p w14:paraId="5971032E">
      <w:pPr>
        <w:pStyle w:val="62"/>
        <w:spacing w:line="360" w:lineRule="auto"/>
        <w:ind w:firstLine="424" w:firstLineChars="202"/>
        <w:rPr>
          <w:rFonts w:hint="eastAsia"/>
          <w:sz w:val="21"/>
          <w:szCs w:val="21"/>
          <w:lang w:val="en-US" w:eastAsia="zh-CN"/>
        </w:rPr>
      </w:pPr>
      <w:r>
        <w:rPr>
          <w:rFonts w:hint="eastAsia"/>
          <w:sz w:val="21"/>
          <w:szCs w:val="21"/>
          <w:lang w:val="en-US" w:eastAsia="zh-CN"/>
        </w:rPr>
        <w:t>甲方有权在乙方开展预防性试验相关工作3日前，通知乙方取消甲方指定项目的预防性试验服务。在未接到甲方通知之前，乙方不得单方面开展预防性试验及检验相关工作。</w:t>
      </w:r>
    </w:p>
    <w:p w14:paraId="44F83174">
      <w:pPr>
        <w:pStyle w:val="62"/>
        <w:numPr>
          <w:ilvl w:val="0"/>
          <w:numId w:val="3"/>
        </w:numPr>
        <w:spacing w:line="360" w:lineRule="auto"/>
        <w:ind w:firstLine="424" w:firstLineChars="202"/>
        <w:rPr>
          <w:rFonts w:hint="eastAsia"/>
          <w:sz w:val="21"/>
          <w:szCs w:val="21"/>
          <w:lang w:val="en-US" w:eastAsia="zh-CN"/>
        </w:rPr>
      </w:pPr>
      <w:r>
        <w:rPr>
          <w:rFonts w:hint="eastAsia"/>
          <w:sz w:val="21"/>
          <w:szCs w:val="21"/>
          <w:lang w:val="en-US" w:eastAsia="zh-CN"/>
        </w:rPr>
        <w:t>安全要求</w:t>
      </w:r>
    </w:p>
    <w:p w14:paraId="5ABE5A42">
      <w:pPr>
        <w:spacing w:line="360" w:lineRule="auto"/>
        <w:ind w:firstLine="420" w:firstLineChars="200"/>
        <w:rPr>
          <w:rFonts w:ascii="宋体" w:hAnsi="宋体"/>
          <w:sz w:val="21"/>
          <w:szCs w:val="21"/>
        </w:rPr>
      </w:pPr>
      <w:r>
        <w:rPr>
          <w:rFonts w:hint="eastAsia" w:hAnsi="宋体"/>
          <w:sz w:val="21"/>
          <w:szCs w:val="21"/>
          <w:lang w:val="en-US" w:eastAsia="zh-CN"/>
        </w:rPr>
        <w:t>乙方</w:t>
      </w:r>
      <w:r>
        <w:rPr>
          <w:rFonts w:hint="eastAsia" w:ascii="宋体" w:hAnsi="宋体"/>
          <w:sz w:val="21"/>
          <w:szCs w:val="21"/>
        </w:rPr>
        <w:t>的维保人员在高低压</w:t>
      </w:r>
      <w:r>
        <w:rPr>
          <w:rFonts w:hint="eastAsia" w:ascii="宋体" w:hAnsi="宋体"/>
          <w:sz w:val="21"/>
          <w:szCs w:val="21"/>
          <w:lang w:val="zh-CN"/>
        </w:rPr>
        <w:t>配电系统预防性试验</w:t>
      </w:r>
      <w:r>
        <w:rPr>
          <w:rFonts w:hint="eastAsia" w:ascii="宋体" w:hAnsi="宋体"/>
          <w:sz w:val="21"/>
          <w:szCs w:val="21"/>
        </w:rPr>
        <w:t>服务过程中需严格执行用电安全等相关规范，遵守</w:t>
      </w:r>
      <w:r>
        <w:rPr>
          <w:rFonts w:hint="eastAsia" w:hAnsi="宋体"/>
          <w:sz w:val="21"/>
          <w:szCs w:val="21"/>
          <w:lang w:val="en-US" w:eastAsia="zh-CN"/>
        </w:rPr>
        <w:t>甲方</w:t>
      </w:r>
      <w:r>
        <w:rPr>
          <w:rFonts w:hint="eastAsia" w:ascii="宋体" w:hAnsi="宋体"/>
          <w:sz w:val="21"/>
          <w:szCs w:val="21"/>
        </w:rPr>
        <w:t>的一切规章制度和安全条例，并无条件接受</w:t>
      </w:r>
      <w:r>
        <w:rPr>
          <w:rFonts w:hint="eastAsia" w:hAnsi="宋体"/>
          <w:sz w:val="21"/>
          <w:szCs w:val="21"/>
          <w:lang w:val="en-US" w:eastAsia="zh-CN"/>
        </w:rPr>
        <w:t>甲方</w:t>
      </w:r>
      <w:r>
        <w:rPr>
          <w:rFonts w:hint="eastAsia" w:ascii="宋体" w:hAnsi="宋体"/>
          <w:sz w:val="21"/>
          <w:szCs w:val="21"/>
        </w:rPr>
        <w:t>监督，高低压</w:t>
      </w:r>
      <w:r>
        <w:rPr>
          <w:rFonts w:hint="eastAsia" w:ascii="宋体" w:hAnsi="宋体"/>
          <w:sz w:val="21"/>
          <w:szCs w:val="21"/>
          <w:lang w:val="zh-CN"/>
        </w:rPr>
        <w:t>配电系统预防性试验</w:t>
      </w:r>
      <w:r>
        <w:rPr>
          <w:rFonts w:hint="eastAsia" w:ascii="宋体" w:hAnsi="宋体"/>
          <w:sz w:val="21"/>
          <w:szCs w:val="21"/>
        </w:rPr>
        <w:t>服务过程中发生的一切安全事故均由</w:t>
      </w:r>
      <w:r>
        <w:rPr>
          <w:rFonts w:hint="eastAsia" w:hAnsi="宋体"/>
          <w:sz w:val="21"/>
          <w:szCs w:val="21"/>
          <w:lang w:val="en-US" w:eastAsia="zh-CN"/>
        </w:rPr>
        <w:t>乙方</w:t>
      </w:r>
      <w:r>
        <w:rPr>
          <w:rFonts w:hint="eastAsia" w:ascii="宋体" w:hAnsi="宋体"/>
          <w:sz w:val="21"/>
          <w:szCs w:val="21"/>
        </w:rPr>
        <w:t>负责。</w:t>
      </w:r>
    </w:p>
    <w:p w14:paraId="618FDF6E">
      <w:pPr>
        <w:pStyle w:val="62"/>
        <w:spacing w:line="360" w:lineRule="auto"/>
        <w:ind w:firstLine="424" w:firstLineChars="202"/>
        <w:rPr>
          <w:rFonts w:hint="default"/>
          <w:sz w:val="21"/>
          <w:szCs w:val="21"/>
          <w:lang w:val="en-US" w:eastAsia="zh-CN"/>
        </w:rPr>
      </w:pPr>
    </w:p>
    <w:p w14:paraId="6B518DA7">
      <w:pPr>
        <w:spacing w:line="360" w:lineRule="auto"/>
        <w:rPr>
          <w:rFonts w:ascii="Times New Roman"/>
          <w:b/>
          <w:bCs/>
          <w:sz w:val="21"/>
          <w:szCs w:val="21"/>
        </w:rPr>
      </w:pPr>
    </w:p>
    <w:p w14:paraId="6E2393AC">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eastAsia="宋体"/>
          <w:b/>
          <w:bCs/>
          <w:sz w:val="21"/>
          <w:szCs w:val="21"/>
          <w:lang w:eastAsia="zh-CN"/>
        </w:rPr>
      </w:pPr>
      <w:r>
        <w:rPr>
          <w:rFonts w:hint="eastAsia" w:ascii="Times New Roman"/>
          <w:b/>
          <w:bCs/>
          <w:sz w:val="21"/>
          <w:szCs w:val="21"/>
        </w:rPr>
        <w:t>第</w:t>
      </w:r>
      <w:r>
        <w:rPr>
          <w:rFonts w:hint="eastAsia" w:ascii="Times New Roman"/>
          <w:b/>
          <w:bCs/>
          <w:sz w:val="21"/>
          <w:szCs w:val="21"/>
          <w:lang w:val="en-US" w:eastAsia="zh-CN"/>
        </w:rPr>
        <w:t>四</w:t>
      </w:r>
      <w:r>
        <w:rPr>
          <w:rFonts w:hint="eastAsia" w:ascii="Times New Roman"/>
          <w:b/>
          <w:bCs/>
          <w:sz w:val="21"/>
          <w:szCs w:val="21"/>
        </w:rPr>
        <w:t xml:space="preserve">条 </w:t>
      </w:r>
      <w:r>
        <w:rPr>
          <w:rFonts w:hint="eastAsia" w:ascii="Times New Roman"/>
          <w:b/>
          <w:bCs/>
          <w:sz w:val="21"/>
          <w:szCs w:val="21"/>
          <w:lang w:val="en-US" w:eastAsia="zh-CN"/>
        </w:rPr>
        <w:t>成果要求</w:t>
      </w:r>
    </w:p>
    <w:p w14:paraId="03D21DC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pPr>
      <w:r>
        <w:rPr>
          <w:rFonts w:hint="eastAsia" w:ascii="Times New Roman"/>
          <w:sz w:val="21"/>
          <w:szCs w:val="21"/>
          <w:lang w:val="en-US" w:eastAsia="zh-CN"/>
        </w:rPr>
        <w:t>乙方应</w:t>
      </w:r>
      <w:r>
        <w:rPr>
          <w:rFonts w:hint="eastAsia" w:ascii="Times New Roman"/>
          <w:sz w:val="21"/>
          <w:szCs w:val="21"/>
          <w:lang w:eastAsia="zh-CN"/>
        </w:rPr>
        <w:t>对本项目进行全面的试验测试工作，提交有关的试验报告，对设备存在的缺陷进行记录和提出处理意见，协助</w:t>
      </w:r>
      <w:r>
        <w:rPr>
          <w:rFonts w:hint="eastAsia" w:ascii="Times New Roman"/>
          <w:sz w:val="21"/>
          <w:szCs w:val="21"/>
          <w:lang w:val="en-US" w:eastAsia="zh-CN"/>
        </w:rPr>
        <w:t>甲方</w:t>
      </w:r>
      <w:r>
        <w:rPr>
          <w:rFonts w:hint="eastAsia" w:ascii="Times New Roman"/>
          <w:sz w:val="21"/>
          <w:szCs w:val="21"/>
          <w:lang w:eastAsia="zh-CN"/>
        </w:rPr>
        <w:t>完成相应的整改工作，最终出具检验合格的报告，</w:t>
      </w:r>
      <w:r>
        <w:rPr>
          <w:rFonts w:hint="eastAsia" w:ascii="Times New Roman"/>
          <w:sz w:val="21"/>
          <w:szCs w:val="21"/>
          <w:lang w:val="en-US" w:eastAsia="zh-CN"/>
        </w:rPr>
        <w:t>提供盖章版的纸质报告</w:t>
      </w:r>
      <w:r>
        <w:rPr>
          <w:rFonts w:hint="eastAsia" w:ascii="Times New Roman"/>
          <w:sz w:val="21"/>
          <w:szCs w:val="21"/>
          <w:u w:val="none"/>
          <w:lang w:val="en-US" w:eastAsia="zh-CN"/>
        </w:rPr>
        <w:t>一份，及相应格式的电子版资料</w:t>
      </w:r>
      <w:r>
        <w:rPr>
          <w:rFonts w:hint="eastAsia" w:ascii="Times New Roman"/>
          <w:sz w:val="21"/>
          <w:szCs w:val="21"/>
          <w:lang w:eastAsia="zh-CN"/>
        </w:rPr>
        <w:t>。</w:t>
      </w:r>
    </w:p>
    <w:p w14:paraId="037E949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pPr>
    </w:p>
    <w:p w14:paraId="7DD569BA">
      <w:pPr>
        <w:numPr>
          <w:ilvl w:val="0"/>
          <w:numId w:val="4"/>
        </w:numPr>
        <w:spacing w:line="360" w:lineRule="auto"/>
        <w:ind w:firstLine="422" w:firstLineChars="200"/>
        <w:rPr>
          <w:rFonts w:hint="eastAsia" w:ascii="Times New Roman"/>
          <w:b/>
          <w:bCs/>
          <w:sz w:val="21"/>
          <w:szCs w:val="21"/>
          <w:lang w:val="en-US" w:eastAsia="zh-CN"/>
        </w:rPr>
      </w:pPr>
      <w:r>
        <w:rPr>
          <w:rFonts w:hint="eastAsia" w:ascii="Times New Roman"/>
          <w:b/>
          <w:bCs/>
          <w:sz w:val="21"/>
          <w:szCs w:val="21"/>
          <w:lang w:val="en-US" w:eastAsia="zh-CN"/>
        </w:rPr>
        <w:t>履约质量评价</w:t>
      </w:r>
    </w:p>
    <w:p w14:paraId="65AAEAD2">
      <w:pPr>
        <w:pStyle w:val="62"/>
        <w:spacing w:line="360" w:lineRule="auto"/>
        <w:ind w:firstLine="424" w:firstLineChars="202"/>
        <w:rPr>
          <w:sz w:val="21"/>
          <w:szCs w:val="21"/>
        </w:rPr>
      </w:pPr>
      <w:r>
        <w:rPr>
          <w:rFonts w:hint="eastAsia"/>
          <w:sz w:val="21"/>
          <w:szCs w:val="21"/>
          <w:lang w:val="en-US" w:eastAsia="zh-CN"/>
        </w:rPr>
        <w:t>1、</w:t>
      </w:r>
      <w:r>
        <w:rPr>
          <w:rFonts w:hint="eastAsia"/>
          <w:sz w:val="21"/>
          <w:szCs w:val="21"/>
        </w:rPr>
        <w:t>预防性试验结束后，</w:t>
      </w:r>
      <w:r>
        <w:rPr>
          <w:rFonts w:hint="eastAsia" w:hAnsi="宋体"/>
          <w:szCs w:val="21"/>
          <w:lang w:val="en-US" w:eastAsia="zh-CN"/>
        </w:rPr>
        <w:t>甲方</w:t>
      </w:r>
      <w:r>
        <w:rPr>
          <w:rFonts w:hint="eastAsia"/>
          <w:sz w:val="21"/>
          <w:szCs w:val="21"/>
        </w:rPr>
        <w:t>对</w:t>
      </w:r>
      <w:r>
        <w:rPr>
          <w:rFonts w:hint="eastAsia"/>
          <w:sz w:val="21"/>
          <w:szCs w:val="21"/>
          <w:lang w:val="en-US" w:eastAsia="zh-CN"/>
        </w:rPr>
        <w:t>乙方</w:t>
      </w:r>
      <w:r>
        <w:rPr>
          <w:rFonts w:hint="eastAsia"/>
          <w:sz w:val="21"/>
          <w:szCs w:val="21"/>
        </w:rPr>
        <w:t>所负责项目预防性试验服务质量、配合度等实际履约情况进行评价，填写附件</w:t>
      </w:r>
      <w:r>
        <w:rPr>
          <w:rFonts w:hint="eastAsia"/>
          <w:sz w:val="21"/>
          <w:szCs w:val="21"/>
          <w:lang w:val="en-US" w:eastAsia="zh-CN"/>
        </w:rPr>
        <w:t>2</w:t>
      </w:r>
      <w:r>
        <w:rPr>
          <w:rFonts w:hint="eastAsia"/>
          <w:sz w:val="21"/>
          <w:szCs w:val="21"/>
        </w:rPr>
        <w:t>《供应商履约评价表》。</w:t>
      </w:r>
    </w:p>
    <w:p w14:paraId="41B7C8BC">
      <w:pPr>
        <w:pStyle w:val="62"/>
        <w:spacing w:line="360" w:lineRule="auto"/>
        <w:ind w:firstLine="424" w:firstLineChars="202"/>
        <w:rPr>
          <w:sz w:val="21"/>
          <w:szCs w:val="21"/>
        </w:rPr>
      </w:pPr>
      <w:r>
        <w:rPr>
          <w:rFonts w:hint="eastAsia"/>
          <w:sz w:val="21"/>
          <w:szCs w:val="21"/>
          <w:lang w:val="en-US" w:eastAsia="zh-CN"/>
        </w:rPr>
        <w:t>2、</w:t>
      </w:r>
      <w:r>
        <w:rPr>
          <w:rFonts w:hint="eastAsia"/>
          <w:sz w:val="21"/>
          <w:szCs w:val="21"/>
        </w:rPr>
        <w:t>供应商履约评价表满分为100分，评价分数在80分或以上的，</w:t>
      </w:r>
      <w:r>
        <w:rPr>
          <w:rFonts w:hint="eastAsia"/>
          <w:sz w:val="21"/>
          <w:szCs w:val="21"/>
          <w:lang w:val="en-US" w:eastAsia="zh-CN"/>
        </w:rPr>
        <w:t>甲方</w:t>
      </w:r>
      <w:r>
        <w:rPr>
          <w:rFonts w:hint="eastAsia"/>
          <w:sz w:val="21"/>
          <w:szCs w:val="21"/>
        </w:rPr>
        <w:t>全额支付预防性试验服务费；评价分数低于80分、达到60分时，预防性试验服务费按所得分数与满分的百分比进行付费。评价分数低于60分时，</w:t>
      </w:r>
      <w:r>
        <w:rPr>
          <w:rFonts w:hint="eastAsia"/>
          <w:sz w:val="21"/>
          <w:szCs w:val="21"/>
          <w:lang w:val="en-US" w:eastAsia="zh-CN"/>
        </w:rPr>
        <w:t>甲方</w:t>
      </w:r>
      <w:r>
        <w:rPr>
          <w:rFonts w:hint="eastAsia"/>
          <w:sz w:val="21"/>
          <w:szCs w:val="21"/>
        </w:rPr>
        <w:t>无需支付预防性试验服务费，且</w:t>
      </w:r>
      <w:r>
        <w:rPr>
          <w:rFonts w:hint="eastAsia"/>
          <w:sz w:val="21"/>
          <w:szCs w:val="21"/>
          <w:lang w:val="en-US" w:eastAsia="zh-CN"/>
        </w:rPr>
        <w:t>甲方</w:t>
      </w:r>
      <w:r>
        <w:rPr>
          <w:rFonts w:hint="eastAsia"/>
          <w:sz w:val="21"/>
          <w:szCs w:val="21"/>
        </w:rPr>
        <w:t>有权</w:t>
      </w:r>
      <w:r>
        <w:rPr>
          <w:rFonts w:hint="eastAsia"/>
          <w:sz w:val="21"/>
          <w:szCs w:val="21"/>
          <w:lang w:val="en-US" w:eastAsia="zh-CN"/>
        </w:rPr>
        <w:t>单方</w:t>
      </w:r>
      <w:r>
        <w:rPr>
          <w:rFonts w:hint="eastAsia"/>
          <w:sz w:val="21"/>
          <w:szCs w:val="21"/>
        </w:rPr>
        <w:t>解除本合同。</w:t>
      </w:r>
    </w:p>
    <w:p w14:paraId="56C01308">
      <w:pPr>
        <w:pStyle w:val="2"/>
        <w:numPr>
          <w:ilvl w:val="-1"/>
          <w:numId w:val="0"/>
        </w:numPr>
        <w:ind w:firstLine="0" w:firstLineChars="0"/>
        <w:rPr>
          <w:rFonts w:hint="default"/>
          <w:lang w:val="en-US" w:eastAsia="zh-CN"/>
        </w:rPr>
      </w:pPr>
    </w:p>
    <w:p w14:paraId="7079E2A6">
      <w:pPr>
        <w:spacing w:line="360" w:lineRule="auto"/>
        <w:ind w:firstLine="422" w:firstLineChars="200"/>
        <w:rPr>
          <w:rFonts w:ascii="Times New Roman"/>
          <w:b/>
          <w:bCs/>
          <w:sz w:val="21"/>
          <w:szCs w:val="21"/>
        </w:rPr>
      </w:pPr>
      <w:r>
        <w:rPr>
          <w:rFonts w:hint="eastAsia" w:ascii="Times New Roman"/>
          <w:b/>
          <w:bCs/>
          <w:sz w:val="21"/>
          <w:szCs w:val="21"/>
        </w:rPr>
        <w:t>第</w:t>
      </w:r>
      <w:r>
        <w:rPr>
          <w:rFonts w:hint="eastAsia" w:ascii="Times New Roman"/>
          <w:b/>
          <w:bCs/>
          <w:sz w:val="21"/>
          <w:szCs w:val="21"/>
          <w:lang w:val="en-US" w:eastAsia="zh-CN"/>
        </w:rPr>
        <w:t>六</w:t>
      </w:r>
      <w:r>
        <w:rPr>
          <w:rFonts w:hint="eastAsia" w:ascii="Times New Roman"/>
          <w:b/>
          <w:bCs/>
          <w:sz w:val="21"/>
          <w:szCs w:val="21"/>
        </w:rPr>
        <w:t>条 服务费用及其支付方式</w:t>
      </w:r>
    </w:p>
    <w:p w14:paraId="0E0562AF">
      <w:pPr>
        <w:tabs>
          <w:tab w:val="left" w:pos="567"/>
        </w:tabs>
        <w:spacing w:line="360" w:lineRule="auto"/>
        <w:ind w:firstLine="420" w:firstLineChars="200"/>
        <w:jc w:val="both"/>
        <w:rPr>
          <w:rFonts w:ascii="Times New Roman"/>
          <w:color w:val="000000"/>
          <w:sz w:val="21"/>
          <w:szCs w:val="21"/>
        </w:rPr>
      </w:pPr>
      <w:r>
        <w:rPr>
          <w:rFonts w:ascii="Times New Roman"/>
          <w:color w:val="000000"/>
          <w:sz w:val="21"/>
          <w:szCs w:val="21"/>
        </w:rPr>
        <w:t>1、</w:t>
      </w:r>
      <w:r>
        <w:rPr>
          <w:rFonts w:hint="eastAsia" w:ascii="Times New Roman"/>
          <w:color w:val="000000"/>
          <w:sz w:val="21"/>
          <w:szCs w:val="21"/>
        </w:rPr>
        <w:t>暂定</w:t>
      </w:r>
      <w:r>
        <w:rPr>
          <w:rFonts w:ascii="Times New Roman"/>
          <w:color w:val="000000"/>
          <w:sz w:val="21"/>
          <w:szCs w:val="21"/>
        </w:rPr>
        <w:t>合同价（即销售额，不含乙方销项税额）为</w:t>
      </w:r>
      <w:r>
        <w:rPr>
          <w:rFonts w:ascii="Times New Roman"/>
          <w:sz w:val="21"/>
          <w:szCs w:val="21"/>
          <w:u w:val="single"/>
        </w:rPr>
        <w:t>¥       元</w:t>
      </w:r>
      <w:r>
        <w:rPr>
          <w:rFonts w:ascii="Times New Roman"/>
          <w:sz w:val="21"/>
          <w:szCs w:val="21"/>
        </w:rPr>
        <w:t>（大写人民币</w:t>
      </w:r>
      <w:r>
        <w:rPr>
          <w:rFonts w:ascii="Times New Roman"/>
          <w:sz w:val="21"/>
          <w:szCs w:val="21"/>
          <w:u w:val="single"/>
        </w:rPr>
        <w:t xml:space="preserve">         </w:t>
      </w:r>
      <w:r>
        <w:rPr>
          <w:rFonts w:ascii="Times New Roman"/>
          <w:sz w:val="21"/>
          <w:szCs w:val="21"/>
        </w:rPr>
        <w:t>）</w:t>
      </w:r>
      <w:r>
        <w:rPr>
          <w:rFonts w:ascii="Times New Roman"/>
          <w:color w:val="000000"/>
          <w:sz w:val="21"/>
          <w:szCs w:val="21"/>
        </w:rPr>
        <w:t>，以上合同价（即销售额，不含乙方销项税额）包括</w:t>
      </w:r>
      <w:r>
        <w:rPr>
          <w:rFonts w:hint="eastAsia" w:ascii="Times New Roman"/>
          <w:color w:val="000000"/>
          <w:sz w:val="21"/>
          <w:szCs w:val="21"/>
        </w:rPr>
        <w:t>但不限于试验费、服务费、措施费、人工费、</w:t>
      </w:r>
      <w:r>
        <w:rPr>
          <w:rFonts w:hint="eastAsia"/>
          <w:sz w:val="21"/>
          <w:szCs w:val="21"/>
        </w:rPr>
        <w:t>证书邮寄费</w:t>
      </w:r>
      <w:r>
        <w:rPr>
          <w:rFonts w:hint="eastAsia"/>
          <w:sz w:val="21"/>
          <w:szCs w:val="21"/>
          <w:lang w:eastAsia="zh-CN"/>
        </w:rPr>
        <w:t>、</w:t>
      </w:r>
      <w:r>
        <w:rPr>
          <w:rFonts w:hint="eastAsia"/>
          <w:sz w:val="21"/>
          <w:szCs w:val="21"/>
        </w:rPr>
        <w:t>第三方技术服务费用、交通费用</w:t>
      </w:r>
      <w:r>
        <w:rPr>
          <w:rFonts w:hint="eastAsia"/>
          <w:sz w:val="21"/>
          <w:szCs w:val="21"/>
          <w:lang w:eastAsia="zh-CN"/>
        </w:rPr>
        <w:t>、</w:t>
      </w:r>
      <w:r>
        <w:rPr>
          <w:rFonts w:hint="eastAsia"/>
          <w:sz w:val="21"/>
          <w:szCs w:val="21"/>
        </w:rPr>
        <w:t>服务使用的计量器具及工具费用等完成本项目需要的一切费用</w:t>
      </w:r>
      <w:r>
        <w:rPr>
          <w:rFonts w:hint="eastAsia"/>
          <w:sz w:val="21"/>
          <w:szCs w:val="21"/>
          <w:lang w:eastAsia="zh-CN"/>
        </w:rPr>
        <w:t>、</w:t>
      </w:r>
      <w:r>
        <w:rPr>
          <w:rFonts w:hint="eastAsia" w:ascii="Times New Roman"/>
          <w:color w:val="000000"/>
          <w:sz w:val="21"/>
          <w:szCs w:val="21"/>
          <w:lang w:val="en-US" w:eastAsia="zh-CN"/>
        </w:rPr>
        <w:t>乙方销项税额以外</w:t>
      </w:r>
      <w:r>
        <w:rPr>
          <w:rFonts w:hint="eastAsia" w:ascii="Times New Roman"/>
          <w:color w:val="000000"/>
          <w:sz w:val="21"/>
          <w:szCs w:val="21"/>
        </w:rPr>
        <w:t>税费等</w:t>
      </w:r>
      <w:r>
        <w:rPr>
          <w:rFonts w:ascii="Times New Roman"/>
          <w:color w:val="000000"/>
          <w:sz w:val="21"/>
          <w:szCs w:val="21"/>
        </w:rPr>
        <w:t>。未经甲方书面确认，乙方无权另行收取其它任何费用。在本合同履行过程中，合同价（即销售额，不含乙方销项税额）不随法律法规政策、物价人工、</w:t>
      </w:r>
      <w:r>
        <w:rPr>
          <w:rFonts w:hint="eastAsia" w:ascii="Times New Roman"/>
          <w:color w:val="000000"/>
          <w:sz w:val="21"/>
          <w:szCs w:val="21"/>
          <w:lang w:val="en-US" w:eastAsia="zh-CN"/>
        </w:rPr>
        <w:t>服务</w:t>
      </w:r>
      <w:r>
        <w:rPr>
          <w:rFonts w:ascii="Times New Roman"/>
          <w:color w:val="000000"/>
          <w:sz w:val="21"/>
          <w:szCs w:val="21"/>
        </w:rPr>
        <w:t>期调整而进行调整，未经甲方书面确认，乙方无权增加任何费用。</w:t>
      </w:r>
    </w:p>
    <w:p w14:paraId="1FB26F3A">
      <w:pPr>
        <w:tabs>
          <w:tab w:val="left" w:pos="567"/>
        </w:tabs>
        <w:spacing w:line="360" w:lineRule="auto"/>
        <w:ind w:firstLine="420" w:firstLineChars="200"/>
        <w:jc w:val="both"/>
        <w:rPr>
          <w:rFonts w:ascii="Times New Roman"/>
          <w:color w:val="000000"/>
          <w:sz w:val="21"/>
          <w:szCs w:val="21"/>
        </w:rPr>
      </w:pPr>
      <w:r>
        <w:rPr>
          <w:rFonts w:ascii="Times New Roman"/>
          <w:color w:val="000000"/>
          <w:sz w:val="21"/>
          <w:szCs w:val="21"/>
        </w:rPr>
        <w:t>2、依法计得并根据本合同约定确定的销项税额由甲方承担。根据《中华人民共和国增值税法实施条例》(国务院令第826号)及当前税务部门的相关规定，本合同项目的增值税税率为</w:t>
      </w:r>
      <w:r>
        <w:rPr>
          <w:rFonts w:ascii="Times New Roman"/>
          <w:color w:val="000000"/>
          <w:sz w:val="21"/>
          <w:szCs w:val="21"/>
          <w:u w:val="single"/>
        </w:rPr>
        <w:t xml:space="preserve"> </w:t>
      </w:r>
      <w:r>
        <w:rPr>
          <w:rFonts w:hint="eastAsia" w:ascii="Times New Roman"/>
          <w:color w:val="000000"/>
          <w:sz w:val="21"/>
          <w:szCs w:val="21"/>
          <w:u w:val="single"/>
        </w:rPr>
        <w:t>%</w:t>
      </w:r>
      <w:r>
        <w:rPr>
          <w:rFonts w:ascii="Times New Roman"/>
          <w:color w:val="000000"/>
          <w:sz w:val="21"/>
          <w:szCs w:val="21"/>
          <w:u w:val="single"/>
        </w:rPr>
        <w:t xml:space="preserve"> </w:t>
      </w:r>
      <w:r>
        <w:rPr>
          <w:rFonts w:ascii="Times New Roman"/>
          <w:color w:val="000000"/>
          <w:sz w:val="21"/>
          <w:szCs w:val="21"/>
        </w:rPr>
        <w:t>，对应的销项税额为</w:t>
      </w:r>
      <w:r>
        <w:rPr>
          <w:rFonts w:ascii="Times New Roman"/>
          <w:color w:val="000000"/>
          <w:sz w:val="21"/>
          <w:szCs w:val="21"/>
          <w:u w:val="single"/>
        </w:rPr>
        <w:t>¥       元</w:t>
      </w:r>
      <w:r>
        <w:rPr>
          <w:rFonts w:ascii="Times New Roman"/>
          <w:color w:val="000000"/>
          <w:sz w:val="21"/>
          <w:szCs w:val="21"/>
        </w:rPr>
        <w:t>（大写人民币</w:t>
      </w:r>
      <w:r>
        <w:rPr>
          <w:rFonts w:ascii="Times New Roman"/>
          <w:color w:val="000000"/>
          <w:sz w:val="21"/>
          <w:szCs w:val="21"/>
          <w:u w:val="single"/>
        </w:rPr>
        <w:t xml:space="preserve">          </w:t>
      </w:r>
      <w:r>
        <w:rPr>
          <w:rFonts w:ascii="Times New Roman"/>
          <w:color w:val="000000"/>
          <w:sz w:val="21"/>
          <w:szCs w:val="21"/>
        </w:rPr>
        <w:t>）。在本合同履行过程中，税收政策变动导致增值税税率调整，依法应调整销项税额的，依法调整；但因乙方未按合同约定</w:t>
      </w:r>
      <w:r>
        <w:rPr>
          <w:rFonts w:hint="eastAsia" w:ascii="Times New Roman"/>
          <w:color w:val="000000"/>
          <w:sz w:val="21"/>
          <w:szCs w:val="21"/>
          <w:lang w:val="en-US" w:eastAsia="zh-CN"/>
        </w:rPr>
        <w:t>提供服务</w:t>
      </w:r>
      <w:r>
        <w:rPr>
          <w:rFonts w:ascii="Times New Roman"/>
          <w:color w:val="000000"/>
          <w:sz w:val="21"/>
          <w:szCs w:val="21"/>
        </w:rPr>
        <w:t>，未根据合同约定提供合法、完整的请款资料，</w:t>
      </w:r>
      <w:r>
        <w:rPr>
          <w:rFonts w:hint="eastAsia" w:ascii="Times New Roman"/>
          <w:color w:val="000000"/>
          <w:sz w:val="21"/>
          <w:szCs w:val="21"/>
          <w:lang w:val="en-US" w:eastAsia="zh-CN"/>
        </w:rPr>
        <w:t>提供服务经</w:t>
      </w:r>
      <w:r>
        <w:rPr>
          <w:rFonts w:ascii="Times New Roman"/>
          <w:color w:val="000000"/>
          <w:sz w:val="21"/>
          <w:szCs w:val="21"/>
        </w:rPr>
        <w:t>验收不合格导致的返工或退货，项目验收合格前的非正常损耗等原因导致销项税额增加的，相应损失由乙方承担。</w:t>
      </w:r>
    </w:p>
    <w:p w14:paraId="52116773">
      <w:pPr>
        <w:tabs>
          <w:tab w:val="left" w:pos="567"/>
        </w:tabs>
        <w:spacing w:line="360" w:lineRule="auto"/>
        <w:ind w:firstLine="420" w:firstLineChars="200"/>
        <w:jc w:val="both"/>
        <w:rPr>
          <w:rFonts w:ascii="Times New Roman"/>
          <w:color w:val="000000"/>
          <w:sz w:val="21"/>
          <w:szCs w:val="21"/>
        </w:rPr>
      </w:pPr>
      <w:r>
        <w:rPr>
          <w:rFonts w:ascii="Times New Roman"/>
          <w:color w:val="000000"/>
          <w:sz w:val="21"/>
          <w:szCs w:val="21"/>
        </w:rPr>
        <w:t>因乙方未按法定税率计算税额或未根据本合同约定出具对应税额的增值税专用发票等原因导致甲方多支付税额的，乙方必须退还甲方，给甲方造成损失的，乙方须向甲方赔偿相应损失。</w:t>
      </w:r>
    </w:p>
    <w:p w14:paraId="53B13C09">
      <w:pPr>
        <w:tabs>
          <w:tab w:val="left" w:pos="567"/>
        </w:tabs>
        <w:spacing w:line="360" w:lineRule="auto"/>
        <w:ind w:firstLine="420" w:firstLineChars="200"/>
        <w:jc w:val="both"/>
        <w:rPr>
          <w:rFonts w:ascii="Times New Roman"/>
          <w:color w:val="000000"/>
          <w:sz w:val="21"/>
          <w:szCs w:val="21"/>
        </w:rPr>
      </w:pPr>
      <w:r>
        <w:rPr>
          <w:rFonts w:ascii="Times New Roman"/>
          <w:color w:val="000000"/>
          <w:sz w:val="21"/>
          <w:szCs w:val="21"/>
        </w:rPr>
        <w:t>3、</w:t>
      </w:r>
      <w:r>
        <w:rPr>
          <w:rFonts w:hint="eastAsia" w:ascii="Times New Roman"/>
          <w:color w:val="000000"/>
          <w:sz w:val="21"/>
          <w:szCs w:val="21"/>
        </w:rPr>
        <w:t>暂定</w:t>
      </w:r>
      <w:r>
        <w:rPr>
          <w:rFonts w:ascii="Times New Roman"/>
          <w:color w:val="000000"/>
          <w:sz w:val="21"/>
          <w:szCs w:val="21"/>
        </w:rPr>
        <w:t>合同价税合计为</w:t>
      </w:r>
      <w:r>
        <w:rPr>
          <w:rFonts w:ascii="Times New Roman"/>
          <w:color w:val="000000"/>
          <w:sz w:val="21"/>
          <w:szCs w:val="21"/>
          <w:u w:val="single"/>
        </w:rPr>
        <w:t>¥         元</w:t>
      </w:r>
      <w:r>
        <w:rPr>
          <w:rFonts w:ascii="Times New Roman"/>
          <w:color w:val="000000"/>
          <w:sz w:val="21"/>
          <w:szCs w:val="21"/>
        </w:rPr>
        <w:t>（大写人民币</w:t>
      </w:r>
      <w:r>
        <w:rPr>
          <w:rFonts w:ascii="Times New Roman"/>
          <w:color w:val="000000"/>
          <w:sz w:val="21"/>
          <w:szCs w:val="21"/>
          <w:u w:val="single"/>
        </w:rPr>
        <w:t xml:space="preserve">            </w:t>
      </w:r>
      <w:r>
        <w:rPr>
          <w:rFonts w:ascii="Times New Roman"/>
          <w:color w:val="000000"/>
          <w:sz w:val="21"/>
          <w:szCs w:val="21"/>
        </w:rPr>
        <w:t>），合同履行期间根据本条第2项规定调整销项税额的，结算合同价税合计对应调整。</w:t>
      </w:r>
    </w:p>
    <w:p w14:paraId="62EFBAF2">
      <w:pPr>
        <w:tabs>
          <w:tab w:val="left" w:pos="567"/>
        </w:tabs>
        <w:spacing w:line="360" w:lineRule="auto"/>
        <w:ind w:firstLine="420" w:firstLineChars="200"/>
        <w:jc w:val="both"/>
        <w:rPr>
          <w:rFonts w:ascii="Times New Roman"/>
          <w:color w:val="000000"/>
          <w:sz w:val="21"/>
          <w:szCs w:val="21"/>
        </w:rPr>
      </w:pPr>
      <w:r>
        <w:rPr>
          <w:rFonts w:ascii="Times New Roman"/>
          <w:color w:val="000000"/>
          <w:sz w:val="21"/>
          <w:szCs w:val="21"/>
        </w:rPr>
        <w:t>4、</w:t>
      </w:r>
      <w:r>
        <w:rPr>
          <w:rFonts w:hint="eastAsia" w:ascii="Times New Roman"/>
          <w:color w:val="000000"/>
          <w:sz w:val="21"/>
          <w:szCs w:val="21"/>
        </w:rPr>
        <w:t>合同</w:t>
      </w:r>
      <w:r>
        <w:rPr>
          <w:rFonts w:hint="eastAsia" w:ascii="Times New Roman"/>
          <w:color w:val="000000"/>
          <w:sz w:val="21"/>
          <w:szCs w:val="21"/>
          <w:lang w:val="en-US" w:eastAsia="zh-CN"/>
        </w:rPr>
        <w:t>在</w:t>
      </w:r>
      <w:r>
        <w:rPr>
          <w:rFonts w:hint="eastAsia" w:ascii="Times New Roman"/>
          <w:color w:val="000000"/>
          <w:sz w:val="21"/>
          <w:szCs w:val="21"/>
        </w:rPr>
        <w:t>履约过程中，乙方根据本合同约定需向甲方支付违约金、赔偿金、或其他应付费用等款项的，</w:t>
      </w:r>
      <w:r>
        <w:rPr>
          <w:rFonts w:hint="eastAsia" w:ascii="Times New Roman"/>
          <w:color w:val="000000"/>
          <w:sz w:val="21"/>
          <w:szCs w:val="21"/>
          <w:lang w:val="en-US" w:eastAsia="zh-CN"/>
        </w:rPr>
        <w:t>甲方有权要求</w:t>
      </w:r>
      <w:r>
        <w:rPr>
          <w:rFonts w:hint="eastAsia" w:ascii="Times New Roman"/>
          <w:color w:val="000000"/>
          <w:sz w:val="21"/>
          <w:szCs w:val="21"/>
        </w:rPr>
        <w:t>乙方向甲方支付完</w:t>
      </w:r>
      <w:r>
        <w:rPr>
          <w:rFonts w:hint="eastAsia" w:ascii="Times New Roman"/>
          <w:color w:val="000000"/>
          <w:sz w:val="21"/>
          <w:szCs w:val="21"/>
          <w:lang w:val="en-US" w:eastAsia="zh-CN"/>
        </w:rPr>
        <w:t>前述</w:t>
      </w:r>
      <w:r>
        <w:rPr>
          <w:rFonts w:hint="eastAsia" w:ascii="Times New Roman"/>
          <w:color w:val="000000"/>
          <w:sz w:val="21"/>
          <w:szCs w:val="21"/>
        </w:rPr>
        <w:t>款项后，甲方才根据本合同向乙方支付合同价和税额</w:t>
      </w:r>
      <w:r>
        <w:rPr>
          <w:rFonts w:hint="eastAsia" w:ascii="Times New Roman"/>
          <w:color w:val="000000"/>
          <w:sz w:val="21"/>
          <w:szCs w:val="21"/>
          <w:lang w:eastAsia="zh-CN"/>
        </w:rPr>
        <w:t>，由此造成逾期付款的，甲方不构成违约，</w:t>
      </w:r>
      <w:r>
        <w:rPr>
          <w:rFonts w:hint="eastAsia" w:ascii="Times New Roman"/>
          <w:color w:val="000000"/>
          <w:sz w:val="21"/>
          <w:szCs w:val="21"/>
          <w:lang w:val="en-US" w:eastAsia="zh-CN"/>
        </w:rPr>
        <w:t>乙方不得以此为由拒绝或迟延履行合同义务</w:t>
      </w:r>
      <w:r>
        <w:rPr>
          <w:rFonts w:hint="eastAsia" w:ascii="Times New Roman"/>
          <w:color w:val="000000"/>
          <w:sz w:val="21"/>
          <w:szCs w:val="21"/>
          <w:lang w:eastAsia="zh-CN"/>
        </w:rPr>
        <w:t>；或者</w:t>
      </w:r>
      <w:r>
        <w:rPr>
          <w:rFonts w:hint="eastAsia" w:ascii="Times New Roman"/>
          <w:color w:val="000000"/>
          <w:sz w:val="21"/>
          <w:szCs w:val="21"/>
        </w:rPr>
        <w:t>，甲方有权直接从未付合同款项中扣除</w:t>
      </w:r>
      <w:r>
        <w:rPr>
          <w:rFonts w:hint="eastAsia" w:ascii="Times New Roman"/>
          <w:color w:val="000000"/>
          <w:sz w:val="21"/>
          <w:szCs w:val="21"/>
          <w:lang w:val="en-US" w:eastAsia="zh-CN"/>
        </w:rPr>
        <w:t>前述款项</w:t>
      </w:r>
      <w:r>
        <w:rPr>
          <w:rFonts w:hint="eastAsia" w:ascii="Times New Roman"/>
          <w:color w:val="000000"/>
          <w:sz w:val="21"/>
          <w:szCs w:val="21"/>
        </w:rPr>
        <w:t>，且乙方必须按照扣除前述</w:t>
      </w:r>
      <w:r>
        <w:rPr>
          <w:rFonts w:hint="eastAsia" w:ascii="Times New Roman"/>
          <w:color w:val="000000"/>
          <w:sz w:val="21"/>
          <w:szCs w:val="21"/>
          <w:lang w:val="en-US" w:eastAsia="zh-CN"/>
        </w:rPr>
        <w:t>款项</w:t>
      </w:r>
      <w:r>
        <w:rPr>
          <w:rFonts w:hint="eastAsia" w:ascii="Times New Roman"/>
          <w:color w:val="000000"/>
          <w:sz w:val="21"/>
          <w:szCs w:val="21"/>
        </w:rPr>
        <w:t>前的合同价（销售额）开具增值税专用发票，保证增值税税额符合法律规定</w:t>
      </w:r>
      <w:r>
        <w:rPr>
          <w:rFonts w:ascii="Times New Roman"/>
          <w:color w:val="000000"/>
          <w:sz w:val="21"/>
          <w:szCs w:val="21"/>
        </w:rPr>
        <w:t>。</w:t>
      </w:r>
    </w:p>
    <w:p w14:paraId="60DFC89E">
      <w:pPr>
        <w:tabs>
          <w:tab w:val="left" w:pos="567"/>
        </w:tabs>
        <w:spacing w:line="360" w:lineRule="auto"/>
        <w:ind w:firstLine="420" w:firstLineChars="200"/>
        <w:jc w:val="both"/>
        <w:rPr>
          <w:rFonts w:ascii="Times New Roman"/>
          <w:color w:val="000000"/>
          <w:sz w:val="21"/>
          <w:szCs w:val="21"/>
        </w:rPr>
      </w:pPr>
      <w:r>
        <w:rPr>
          <w:rFonts w:ascii="Times New Roman"/>
          <w:color w:val="000000"/>
          <w:sz w:val="21"/>
          <w:szCs w:val="21"/>
        </w:rPr>
        <w:t>5、支付方式</w:t>
      </w:r>
      <w:r>
        <w:rPr>
          <w:rFonts w:hint="eastAsia" w:ascii="Times New Roman"/>
          <w:color w:val="000000"/>
          <w:sz w:val="21"/>
          <w:szCs w:val="21"/>
        </w:rPr>
        <w:t>：</w:t>
      </w:r>
    </w:p>
    <w:p w14:paraId="05E5C550">
      <w:pPr>
        <w:spacing w:line="360" w:lineRule="auto"/>
        <w:ind w:firstLine="420" w:firstLineChars="200"/>
        <w:rPr>
          <w:rFonts w:ascii="Times New Roman"/>
          <w:color w:val="000000"/>
          <w:sz w:val="21"/>
          <w:szCs w:val="21"/>
        </w:rPr>
      </w:pPr>
      <w:r>
        <w:rPr>
          <w:rFonts w:hint="eastAsia" w:ascii="Times New Roman"/>
          <w:color w:val="000000"/>
          <w:sz w:val="21"/>
          <w:szCs w:val="21"/>
        </w:rPr>
        <w:t xml:space="preserve">(1) </w:t>
      </w:r>
      <w:r>
        <w:rPr>
          <w:rFonts w:hint="eastAsia"/>
          <w:sz w:val="21"/>
          <w:szCs w:val="21"/>
          <w:lang w:val="en-US" w:eastAsia="zh-CN"/>
        </w:rPr>
        <w:t>在污水厂设备现场实施检验，检验完毕后乙方需及时与甲方反馈配电设备存在的缺陷和整改建议，协助甲方完成相应的整改工作，最终出具检验合格的报告</w:t>
      </w:r>
      <w:r>
        <w:rPr>
          <w:rFonts w:hint="eastAsia" w:ascii="Times New Roman"/>
          <w:color w:val="000000"/>
          <w:sz w:val="21"/>
          <w:szCs w:val="21"/>
          <w:lang w:eastAsia="zh-CN"/>
        </w:rPr>
        <w:t>，</w:t>
      </w:r>
      <w:r>
        <w:rPr>
          <w:rFonts w:hint="eastAsia" w:ascii="Times New Roman"/>
          <w:color w:val="000000"/>
          <w:sz w:val="21"/>
          <w:szCs w:val="21"/>
          <w:lang w:val="en-US" w:eastAsia="zh-CN"/>
        </w:rPr>
        <w:t>经甲方验收合格</w:t>
      </w:r>
      <w:r>
        <w:rPr>
          <w:rFonts w:hint="eastAsia" w:ascii="Times New Roman"/>
          <w:color w:val="000000"/>
          <w:sz w:val="21"/>
          <w:szCs w:val="21"/>
          <w:lang w:eastAsia="zh-CN"/>
        </w:rPr>
        <w:t>后，</w:t>
      </w:r>
      <w:r>
        <w:rPr>
          <w:rFonts w:hint="eastAsia" w:ascii="Times New Roman"/>
          <w:color w:val="000000"/>
          <w:sz w:val="21"/>
          <w:szCs w:val="21"/>
        </w:rPr>
        <w:t>乙方向甲方提交请款报告及</w:t>
      </w:r>
      <w:r>
        <w:rPr>
          <w:rFonts w:hint="eastAsia" w:ascii="Times New Roman"/>
          <w:color w:val="000000"/>
          <w:sz w:val="21"/>
          <w:szCs w:val="21"/>
          <w:lang w:val="en-US" w:eastAsia="zh-CN"/>
        </w:rPr>
        <w:t>请款金额等</w:t>
      </w:r>
      <w:r>
        <w:rPr>
          <w:rFonts w:hint="eastAsia" w:ascii="Times New Roman"/>
          <w:color w:val="000000"/>
          <w:sz w:val="21"/>
          <w:szCs w:val="21"/>
        </w:rPr>
        <w:t>额、合法、有效的增值税专用发票，甲方在收到前述材料并确认无误后</w:t>
      </w:r>
      <w:r>
        <w:rPr>
          <w:rFonts w:hint="eastAsia" w:ascii="Times New Roman"/>
          <w:color w:val="000000"/>
          <w:sz w:val="21"/>
          <w:szCs w:val="21"/>
          <w:lang w:val="en-US" w:eastAsia="zh-CN"/>
        </w:rPr>
        <w:t>30</w:t>
      </w:r>
      <w:r>
        <w:rPr>
          <w:rFonts w:hint="eastAsia" w:ascii="Times New Roman"/>
          <w:color w:val="000000"/>
          <w:sz w:val="21"/>
          <w:szCs w:val="21"/>
        </w:rPr>
        <w:t>个工作日内，向乙方</w:t>
      </w:r>
      <w:r>
        <w:rPr>
          <w:rFonts w:hint="eastAsia" w:ascii="Times New Roman"/>
          <w:color w:val="000000"/>
          <w:sz w:val="21"/>
          <w:szCs w:val="21"/>
          <w:lang w:val="en-US" w:eastAsia="zh-CN"/>
        </w:rPr>
        <w:t>支付合同价的100%及对应税额款项</w:t>
      </w:r>
      <w:r>
        <w:rPr>
          <w:rFonts w:hint="eastAsia" w:ascii="Times New Roman"/>
          <w:color w:val="000000"/>
          <w:sz w:val="21"/>
          <w:szCs w:val="21"/>
        </w:rPr>
        <w:t>。</w:t>
      </w:r>
    </w:p>
    <w:p w14:paraId="6A31EC26">
      <w:pPr>
        <w:spacing w:line="360" w:lineRule="auto"/>
        <w:ind w:firstLine="420" w:firstLineChars="200"/>
        <w:rPr>
          <w:rFonts w:ascii="Times New Roman"/>
          <w:color w:val="000000"/>
          <w:sz w:val="21"/>
          <w:szCs w:val="21"/>
        </w:rPr>
      </w:pPr>
      <w:r>
        <w:rPr>
          <w:rFonts w:hint="eastAsia" w:ascii="Times New Roman"/>
          <w:color w:val="000000"/>
          <w:sz w:val="21"/>
          <w:szCs w:val="21"/>
        </w:rPr>
        <w:t>(2) 以上款项由甲方直接以银行转账或银行承兑汇票形式支付给乙方，汇票期限不超过三个月，每期款项支付方式由甲方决定。</w:t>
      </w:r>
      <w:r>
        <w:rPr>
          <w:rFonts w:ascii="Times New Roman"/>
          <w:color w:val="000000"/>
          <w:sz w:val="21"/>
          <w:szCs w:val="21"/>
        </w:rPr>
        <w:t>乙方逾期提交请款材料或提交材料不符合甲方要求的，甲方有权顺延支付相应款项，并不承担逾期付款的违约责任，由于乙方提供的发票不符合税法规定，给甲方造成的损失由乙方承担赔偿责任，乙方不得以此延迟而拒绝</w:t>
      </w:r>
      <w:r>
        <w:rPr>
          <w:rFonts w:hint="eastAsia" w:ascii="Times New Roman"/>
          <w:color w:val="000000"/>
          <w:sz w:val="21"/>
          <w:szCs w:val="21"/>
          <w:lang w:val="en-US" w:eastAsia="zh-CN"/>
        </w:rPr>
        <w:t>或迟延</w:t>
      </w:r>
      <w:r>
        <w:rPr>
          <w:rFonts w:ascii="Times New Roman"/>
          <w:color w:val="000000"/>
          <w:sz w:val="21"/>
          <w:szCs w:val="21"/>
        </w:rPr>
        <w:t>履行合同义务。</w:t>
      </w:r>
    </w:p>
    <w:p w14:paraId="525E0A55">
      <w:pPr>
        <w:spacing w:line="360" w:lineRule="auto"/>
        <w:ind w:firstLine="420" w:firstLineChars="200"/>
        <w:rPr>
          <w:rFonts w:ascii="Times New Roman"/>
          <w:color w:val="000000"/>
          <w:sz w:val="21"/>
          <w:szCs w:val="21"/>
        </w:rPr>
      </w:pPr>
      <w:r>
        <w:rPr>
          <w:rFonts w:hint="eastAsia" w:ascii="Times New Roman"/>
          <w:color w:val="000000"/>
          <w:sz w:val="21"/>
          <w:szCs w:val="21"/>
        </w:rPr>
        <w:t xml:space="preserve">(3) </w:t>
      </w:r>
      <w:r>
        <w:rPr>
          <w:rFonts w:ascii="Times New Roman"/>
          <w:color w:val="000000"/>
          <w:sz w:val="21"/>
          <w:szCs w:val="21"/>
        </w:rPr>
        <w:t>乙方的指定收款账户信息如下：</w:t>
      </w:r>
    </w:p>
    <w:p w14:paraId="736A76CB">
      <w:pPr>
        <w:spacing w:line="360" w:lineRule="auto"/>
        <w:ind w:firstLine="420" w:firstLineChars="200"/>
        <w:rPr>
          <w:rFonts w:ascii="Times New Roman"/>
          <w:color w:val="000000"/>
          <w:sz w:val="21"/>
          <w:szCs w:val="21"/>
        </w:rPr>
      </w:pPr>
      <w:r>
        <w:rPr>
          <w:rFonts w:ascii="Times New Roman"/>
          <w:color w:val="000000"/>
          <w:sz w:val="21"/>
          <w:szCs w:val="21"/>
        </w:rPr>
        <w:t>账</w:t>
      </w:r>
      <w:r>
        <w:rPr>
          <w:rFonts w:hint="eastAsia" w:ascii="Times New Roman"/>
          <w:color w:val="000000"/>
          <w:sz w:val="21"/>
          <w:szCs w:val="21"/>
        </w:rPr>
        <w:t xml:space="preserve">  </w:t>
      </w:r>
      <w:r>
        <w:rPr>
          <w:rFonts w:ascii="Times New Roman"/>
          <w:color w:val="000000"/>
          <w:sz w:val="21"/>
          <w:szCs w:val="21"/>
        </w:rPr>
        <w:t>户：</w:t>
      </w:r>
      <w:r>
        <w:rPr>
          <w:rFonts w:hint="eastAsia" w:ascii="Times New Roman"/>
          <w:color w:val="000000"/>
          <w:sz w:val="21"/>
          <w:szCs w:val="21"/>
          <w:u w:val="single"/>
        </w:rPr>
        <w:t xml:space="preserve">             </w:t>
      </w:r>
    </w:p>
    <w:p w14:paraId="0654716B">
      <w:pPr>
        <w:spacing w:line="360" w:lineRule="auto"/>
        <w:ind w:firstLine="420" w:firstLineChars="200"/>
        <w:rPr>
          <w:rFonts w:ascii="Times New Roman"/>
          <w:color w:val="000000"/>
          <w:sz w:val="21"/>
          <w:szCs w:val="21"/>
        </w:rPr>
      </w:pPr>
      <w:r>
        <w:rPr>
          <w:rFonts w:ascii="Times New Roman"/>
          <w:color w:val="000000"/>
          <w:sz w:val="21"/>
          <w:szCs w:val="21"/>
        </w:rPr>
        <w:t>开户行：</w:t>
      </w:r>
      <w:r>
        <w:rPr>
          <w:rFonts w:hint="eastAsia" w:ascii="Times New Roman"/>
          <w:color w:val="000000"/>
          <w:sz w:val="21"/>
          <w:szCs w:val="21"/>
          <w:u w:val="single"/>
        </w:rPr>
        <w:t xml:space="preserve">             </w:t>
      </w:r>
    </w:p>
    <w:p w14:paraId="68230A66">
      <w:pPr>
        <w:spacing w:line="360" w:lineRule="auto"/>
        <w:ind w:firstLine="420" w:firstLineChars="200"/>
        <w:rPr>
          <w:rFonts w:ascii="Times New Roman"/>
          <w:color w:val="000000"/>
          <w:sz w:val="21"/>
          <w:szCs w:val="21"/>
        </w:rPr>
      </w:pPr>
      <w:r>
        <w:rPr>
          <w:rFonts w:ascii="Times New Roman"/>
          <w:color w:val="000000"/>
          <w:sz w:val="21"/>
          <w:szCs w:val="21"/>
        </w:rPr>
        <w:t>账</w:t>
      </w:r>
      <w:r>
        <w:rPr>
          <w:rFonts w:hint="eastAsia" w:ascii="Times New Roman"/>
          <w:color w:val="000000"/>
          <w:sz w:val="21"/>
          <w:szCs w:val="21"/>
        </w:rPr>
        <w:t xml:space="preserve">  </w:t>
      </w:r>
      <w:r>
        <w:rPr>
          <w:rFonts w:ascii="Times New Roman"/>
          <w:color w:val="000000"/>
          <w:sz w:val="21"/>
          <w:szCs w:val="21"/>
        </w:rPr>
        <w:t>号：</w:t>
      </w:r>
      <w:r>
        <w:rPr>
          <w:rFonts w:hint="eastAsia" w:ascii="Times New Roman"/>
          <w:color w:val="000000"/>
          <w:sz w:val="21"/>
          <w:szCs w:val="21"/>
          <w:u w:val="single"/>
        </w:rPr>
        <w:t xml:space="preserve">             </w:t>
      </w:r>
    </w:p>
    <w:p w14:paraId="0BEFB161">
      <w:pPr>
        <w:spacing w:line="360" w:lineRule="auto"/>
        <w:rPr>
          <w:rFonts w:ascii="Times New Roman"/>
          <w:sz w:val="21"/>
          <w:szCs w:val="21"/>
        </w:rPr>
      </w:pPr>
    </w:p>
    <w:p w14:paraId="22AA037C">
      <w:pPr>
        <w:spacing w:line="360" w:lineRule="auto"/>
        <w:ind w:firstLine="422" w:firstLineChars="200"/>
        <w:rPr>
          <w:rFonts w:hint="default" w:ascii="Times New Roman" w:eastAsia="宋体"/>
          <w:b/>
          <w:bCs/>
          <w:sz w:val="21"/>
          <w:szCs w:val="21"/>
          <w:lang w:val="en-US" w:eastAsia="zh-CN"/>
        </w:rPr>
      </w:pPr>
      <w:bookmarkStart w:id="13" w:name="_Toc490484693"/>
      <w:bookmarkStart w:id="14" w:name="_Toc477170867"/>
      <w:r>
        <w:rPr>
          <w:rFonts w:hint="eastAsia" w:ascii="Times New Roman"/>
          <w:b/>
          <w:bCs/>
          <w:sz w:val="21"/>
          <w:szCs w:val="21"/>
        </w:rPr>
        <w:t>第</w:t>
      </w:r>
      <w:r>
        <w:rPr>
          <w:rFonts w:hint="eastAsia" w:ascii="Times New Roman"/>
          <w:b/>
          <w:bCs/>
          <w:sz w:val="21"/>
          <w:szCs w:val="21"/>
          <w:lang w:val="en-US" w:eastAsia="zh-CN"/>
        </w:rPr>
        <w:t>七</w:t>
      </w:r>
      <w:r>
        <w:rPr>
          <w:rFonts w:hint="eastAsia" w:ascii="Times New Roman"/>
          <w:b/>
          <w:bCs/>
          <w:sz w:val="21"/>
          <w:szCs w:val="21"/>
        </w:rPr>
        <w:t>条　</w:t>
      </w:r>
      <w:bookmarkEnd w:id="13"/>
      <w:bookmarkEnd w:id="14"/>
      <w:r>
        <w:rPr>
          <w:rFonts w:hint="eastAsia" w:ascii="Times New Roman"/>
          <w:b/>
          <w:bCs/>
          <w:sz w:val="21"/>
          <w:szCs w:val="21"/>
          <w:lang w:val="en-US" w:eastAsia="zh-CN"/>
        </w:rPr>
        <w:t>甲方权利和义务</w:t>
      </w:r>
    </w:p>
    <w:p w14:paraId="3B851945">
      <w:pPr>
        <w:spacing w:line="360" w:lineRule="auto"/>
        <w:ind w:firstLine="420" w:firstLineChars="200"/>
        <w:rPr>
          <w:rFonts w:ascii="Times New Roman"/>
          <w:sz w:val="21"/>
          <w:szCs w:val="21"/>
        </w:rPr>
      </w:pPr>
      <w:r>
        <w:rPr>
          <w:rFonts w:hint="eastAsia" w:ascii="Times New Roman"/>
          <w:sz w:val="21"/>
          <w:szCs w:val="21"/>
          <w:lang w:val="en-US" w:eastAsia="zh-CN"/>
        </w:rPr>
        <w:t>1</w:t>
      </w:r>
      <w:r>
        <w:rPr>
          <w:rFonts w:hint="eastAsia" w:ascii="Times New Roman"/>
          <w:sz w:val="21"/>
          <w:szCs w:val="21"/>
        </w:rPr>
        <w:t>、甲方需及时提供给乙方本项目的相关资料（如待检单位名称，地址，联系方式，相关数据，技术背景等），并保证所提供资料的真实性、及时性和合法性，乙方应在合同签订时向甲方提供</w:t>
      </w:r>
      <w:r>
        <w:rPr>
          <w:rFonts w:hint="eastAsia" w:ascii="Times New Roman"/>
          <w:sz w:val="21"/>
          <w:szCs w:val="21"/>
          <w:lang w:val="en-US" w:eastAsia="zh-CN"/>
        </w:rPr>
        <w:t>本次预防性试验</w:t>
      </w:r>
      <w:r>
        <w:rPr>
          <w:rFonts w:hint="eastAsia" w:ascii="Times New Roman"/>
          <w:sz w:val="21"/>
          <w:szCs w:val="21"/>
        </w:rPr>
        <w:t>准确的资料清单及要求</w:t>
      </w:r>
      <w:r>
        <w:rPr>
          <w:rFonts w:hint="eastAsia" w:ascii="Times New Roman"/>
          <w:sz w:val="21"/>
          <w:szCs w:val="21"/>
          <w:lang w:eastAsia="zh-CN"/>
        </w:rPr>
        <w:t>。甲方提供乙方资料后，乙方应在</w:t>
      </w:r>
      <w:r>
        <w:rPr>
          <w:rFonts w:hint="eastAsia" w:ascii="Times New Roman"/>
          <w:sz w:val="21"/>
          <w:szCs w:val="21"/>
          <w:lang w:val="en-US" w:eastAsia="zh-CN"/>
        </w:rPr>
        <w:t>2</w:t>
      </w:r>
      <w:r>
        <w:rPr>
          <w:rFonts w:hint="eastAsia" w:ascii="Times New Roman"/>
          <w:sz w:val="21"/>
          <w:szCs w:val="21"/>
          <w:lang w:eastAsia="zh-CN"/>
        </w:rPr>
        <w:t>日内审核，如有异议乙方应</w:t>
      </w:r>
      <w:r>
        <w:rPr>
          <w:rFonts w:hint="eastAsia" w:ascii="Times New Roman"/>
          <w:sz w:val="21"/>
          <w:szCs w:val="21"/>
          <w:lang w:val="en-US" w:eastAsia="zh-CN"/>
        </w:rPr>
        <w:t>在前述期限内</w:t>
      </w:r>
      <w:r>
        <w:rPr>
          <w:rFonts w:hint="eastAsia" w:ascii="Times New Roman"/>
          <w:sz w:val="21"/>
          <w:szCs w:val="21"/>
          <w:lang w:eastAsia="zh-CN"/>
        </w:rPr>
        <w:t>及时提出，否则视为甲方提交的资料符合乙方要求，乙方之后在履行合同中不得以</w:t>
      </w:r>
      <w:r>
        <w:rPr>
          <w:rFonts w:hint="eastAsia" w:ascii="Times New Roman"/>
          <w:sz w:val="21"/>
          <w:szCs w:val="21"/>
          <w:lang w:val="en-US" w:eastAsia="zh-CN"/>
        </w:rPr>
        <w:t>甲方</w:t>
      </w:r>
      <w:r>
        <w:rPr>
          <w:rFonts w:hint="eastAsia" w:ascii="Times New Roman"/>
          <w:sz w:val="21"/>
          <w:szCs w:val="21"/>
          <w:lang w:eastAsia="zh-CN"/>
        </w:rPr>
        <w:t>提供资料不符合要求为由向甲方提出抗辩</w:t>
      </w:r>
      <w:r>
        <w:rPr>
          <w:rFonts w:hint="eastAsia" w:ascii="Times New Roman"/>
          <w:sz w:val="21"/>
          <w:szCs w:val="21"/>
        </w:rPr>
        <w:t>。</w:t>
      </w:r>
    </w:p>
    <w:p w14:paraId="4415D7F3">
      <w:pPr>
        <w:spacing w:line="360" w:lineRule="auto"/>
        <w:ind w:firstLine="420" w:firstLineChars="200"/>
        <w:rPr>
          <w:rFonts w:hint="eastAsia" w:ascii="Times New Roman"/>
          <w:sz w:val="21"/>
          <w:szCs w:val="21"/>
        </w:rPr>
      </w:pPr>
      <w:r>
        <w:rPr>
          <w:rFonts w:hint="eastAsia" w:ascii="Times New Roman"/>
          <w:sz w:val="21"/>
          <w:szCs w:val="21"/>
          <w:lang w:val="en-US" w:eastAsia="zh-CN"/>
        </w:rPr>
        <w:t>2</w:t>
      </w:r>
      <w:r>
        <w:rPr>
          <w:rFonts w:hint="eastAsia" w:ascii="Times New Roman"/>
          <w:sz w:val="21"/>
          <w:szCs w:val="21"/>
          <w:lang w:eastAsia="zh-CN"/>
        </w:rPr>
        <w:t>、</w:t>
      </w:r>
      <w:r>
        <w:rPr>
          <w:rFonts w:hint="eastAsia" w:ascii="Times New Roman"/>
          <w:sz w:val="21"/>
          <w:szCs w:val="21"/>
        </w:rPr>
        <w:t>乙方需要甲方提供的其他与完成本合同约定内容相关的便利条件，由甲方尽力提供给乙方，以保障本合同工作任务顺利完成。</w:t>
      </w:r>
    </w:p>
    <w:p w14:paraId="1BAE5ADB">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3、在合同履行期间，甲方要求单方终止或解除合同，乙方未开始工作的，甲方无需承担违约责任，无需向乙方支付任何费用或补偿、赔偿；已开始工作的，甲方应根据乙方已进行的符合本合同约定及甲方要求的实际工作量结算相关费用。</w:t>
      </w:r>
    </w:p>
    <w:p w14:paraId="50D9F73F">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4、甲方有权对乙方进行监督，对乙方违反本合同约定、服务方案（如有）规定的行为等要求改正。</w:t>
      </w:r>
    </w:p>
    <w:p w14:paraId="57A4132A">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5、在合同履行期间，根据项目实际需要，有权对试验测试内容、要求等进行调整，乙方应当遵守执行。</w:t>
      </w:r>
    </w:p>
    <w:p w14:paraId="1D7ADE79">
      <w:pPr>
        <w:spacing w:line="360" w:lineRule="auto"/>
        <w:ind w:firstLine="420" w:firstLineChars="200"/>
        <w:rPr>
          <w:rFonts w:hint="eastAsia"/>
          <w:lang w:val="en-US" w:eastAsia="zh-CN"/>
        </w:rPr>
      </w:pPr>
      <w:r>
        <w:rPr>
          <w:rFonts w:hint="eastAsia" w:ascii="Times New Roman"/>
          <w:sz w:val="21"/>
          <w:szCs w:val="21"/>
          <w:lang w:val="en-US" w:eastAsia="zh-CN"/>
        </w:rPr>
        <w:t>6、由于甲方原因造成乙方停工的，乙方可向甲方申请顺延提交成果的时间，并经双方协商一致确定顺延时间，但甲方无需另行向乙方支付任何费用。</w:t>
      </w:r>
    </w:p>
    <w:p w14:paraId="3AAC33E4">
      <w:pPr>
        <w:spacing w:line="360" w:lineRule="auto"/>
        <w:ind w:firstLine="422" w:firstLineChars="200"/>
        <w:rPr>
          <w:rFonts w:hint="eastAsia" w:ascii="Times New Roman"/>
          <w:b/>
          <w:bCs/>
          <w:sz w:val="21"/>
          <w:szCs w:val="21"/>
          <w:lang w:val="en-US" w:eastAsia="zh-CN"/>
        </w:rPr>
      </w:pPr>
    </w:p>
    <w:p w14:paraId="7E209DB2">
      <w:pPr>
        <w:spacing w:line="360" w:lineRule="auto"/>
        <w:ind w:firstLine="422" w:firstLineChars="200"/>
        <w:rPr>
          <w:rFonts w:hint="default" w:ascii="Times New Roman" w:eastAsia="宋体"/>
          <w:b/>
          <w:bCs/>
          <w:sz w:val="21"/>
          <w:szCs w:val="21"/>
          <w:lang w:val="en-US" w:eastAsia="zh-CN"/>
        </w:rPr>
      </w:pPr>
      <w:r>
        <w:rPr>
          <w:rFonts w:hint="eastAsia" w:ascii="Times New Roman"/>
          <w:b/>
          <w:bCs/>
          <w:sz w:val="21"/>
          <w:szCs w:val="21"/>
          <w:lang w:val="en-US" w:eastAsia="zh-CN"/>
        </w:rPr>
        <w:t xml:space="preserve">第八条 </w:t>
      </w:r>
      <w:r>
        <w:rPr>
          <w:rFonts w:hint="eastAsia" w:ascii="Times New Roman"/>
          <w:b/>
          <w:bCs/>
          <w:sz w:val="21"/>
          <w:szCs w:val="21"/>
        </w:rPr>
        <w:t>乙方</w:t>
      </w:r>
      <w:r>
        <w:rPr>
          <w:rFonts w:hint="eastAsia" w:ascii="Times New Roman"/>
          <w:b/>
          <w:bCs/>
          <w:sz w:val="21"/>
          <w:szCs w:val="21"/>
          <w:lang w:val="en-US" w:eastAsia="zh-CN"/>
        </w:rPr>
        <w:t>权利和义务</w:t>
      </w:r>
    </w:p>
    <w:p w14:paraId="2582DA84">
      <w:pPr>
        <w:spacing w:line="360" w:lineRule="auto"/>
        <w:ind w:firstLine="420" w:firstLineChars="200"/>
        <w:rPr>
          <w:rFonts w:ascii="Times New Roman"/>
          <w:sz w:val="21"/>
          <w:szCs w:val="21"/>
        </w:rPr>
      </w:pPr>
      <w:r>
        <w:rPr>
          <w:rFonts w:hint="eastAsia" w:ascii="Times New Roman"/>
          <w:sz w:val="21"/>
          <w:szCs w:val="21"/>
          <w:lang w:val="en-US" w:eastAsia="zh-CN"/>
        </w:rPr>
        <w:t>1、</w:t>
      </w:r>
      <w:r>
        <w:rPr>
          <w:rFonts w:hint="eastAsia" w:ascii="Times New Roman"/>
          <w:sz w:val="21"/>
          <w:szCs w:val="21"/>
        </w:rPr>
        <w:t>按照合同及国家有关法律法规、规范及标准完成</w:t>
      </w:r>
      <w:r>
        <w:rPr>
          <w:rFonts w:hint="eastAsia" w:ascii="Times New Roman"/>
          <w:sz w:val="21"/>
          <w:szCs w:val="21"/>
          <w:lang w:val="en-US" w:eastAsia="zh-CN"/>
        </w:rPr>
        <w:t>试验测试</w:t>
      </w:r>
      <w:r>
        <w:rPr>
          <w:rFonts w:hint="eastAsia" w:ascii="Times New Roman"/>
          <w:sz w:val="21"/>
          <w:szCs w:val="21"/>
        </w:rPr>
        <w:t>工作，出具</w:t>
      </w:r>
      <w:r>
        <w:rPr>
          <w:rFonts w:hint="eastAsia" w:ascii="Times New Roman"/>
          <w:sz w:val="21"/>
          <w:szCs w:val="21"/>
          <w:lang w:val="en-US" w:eastAsia="zh-CN"/>
        </w:rPr>
        <w:t>试验</w:t>
      </w:r>
      <w:r>
        <w:rPr>
          <w:rFonts w:hint="eastAsia" w:ascii="Times New Roman"/>
          <w:sz w:val="21"/>
          <w:szCs w:val="21"/>
        </w:rPr>
        <w:t>报告。</w:t>
      </w:r>
    </w:p>
    <w:p w14:paraId="5674E6D5">
      <w:pPr>
        <w:spacing w:line="360" w:lineRule="auto"/>
        <w:ind w:firstLine="420" w:firstLineChars="200"/>
        <w:rPr>
          <w:rFonts w:ascii="Times New Roman"/>
          <w:sz w:val="21"/>
          <w:szCs w:val="21"/>
        </w:rPr>
      </w:pPr>
      <w:r>
        <w:rPr>
          <w:rFonts w:hint="eastAsia" w:ascii="Times New Roman"/>
          <w:sz w:val="21"/>
          <w:szCs w:val="21"/>
          <w:lang w:val="en-US" w:eastAsia="zh-CN"/>
        </w:rPr>
        <w:t>2、</w:t>
      </w:r>
      <w:r>
        <w:rPr>
          <w:rFonts w:hint="eastAsia" w:hAnsi="宋体"/>
          <w:color w:val="000000"/>
          <w:sz w:val="21"/>
          <w:szCs w:val="21"/>
        </w:rPr>
        <w:t>乙方保证本方具有履行本合同的资质条件，并承诺在合同履行期限保证资质有效。同时加强对从业人员的执业管理，保证具有履行本合同的资质能力。如因资质丧失（包括但不限于注销、撤销、降低等）、人员缺乏导致无法继续履行的，甲方有权单方解除本合同，要求乙方向甲方支付</w:t>
      </w:r>
      <w:r>
        <w:rPr>
          <w:rFonts w:hint="eastAsia" w:hAnsi="宋体"/>
          <w:color w:val="000000"/>
          <w:sz w:val="21"/>
          <w:szCs w:val="21"/>
          <w:lang w:val="en-US" w:eastAsia="zh-CN"/>
        </w:rPr>
        <w:t>暂定</w:t>
      </w:r>
      <w:r>
        <w:rPr>
          <w:rFonts w:hint="eastAsia" w:hAnsi="宋体"/>
          <w:color w:val="000000"/>
          <w:sz w:val="21"/>
          <w:szCs w:val="21"/>
        </w:rPr>
        <w:t>合同价的20%作为违约金，并另行</w:t>
      </w:r>
      <w:r>
        <w:rPr>
          <w:rFonts w:hint="eastAsia" w:hAnsi="宋体"/>
          <w:color w:val="000000"/>
          <w:sz w:val="21"/>
          <w:szCs w:val="21"/>
          <w:lang w:val="en-US" w:eastAsia="zh-CN"/>
        </w:rPr>
        <w:t>单方</w:t>
      </w:r>
      <w:r>
        <w:rPr>
          <w:rFonts w:hint="eastAsia" w:hAnsi="宋体"/>
          <w:color w:val="000000"/>
          <w:sz w:val="21"/>
          <w:szCs w:val="21"/>
        </w:rPr>
        <w:t>委托有资质的第三方继续进行（乙方应无条件配合移交相关工作），由此造成的损失由乙方承担。</w:t>
      </w:r>
    </w:p>
    <w:p w14:paraId="7557A622">
      <w:pPr>
        <w:spacing w:line="360" w:lineRule="auto"/>
        <w:ind w:firstLine="420" w:firstLineChars="200"/>
        <w:rPr>
          <w:rFonts w:ascii="Times New Roman"/>
          <w:sz w:val="21"/>
          <w:szCs w:val="21"/>
        </w:rPr>
      </w:pPr>
      <w:r>
        <w:rPr>
          <w:rFonts w:hint="eastAsia" w:ascii="Times New Roman"/>
          <w:sz w:val="21"/>
          <w:szCs w:val="21"/>
        </w:rPr>
        <w:t>3、保持合适谨慎态度，采用科学准确的方法，以保证提供优质高效的</w:t>
      </w:r>
      <w:r>
        <w:rPr>
          <w:rFonts w:hint="eastAsia" w:ascii="Times New Roman"/>
          <w:sz w:val="21"/>
          <w:szCs w:val="21"/>
          <w:lang w:val="en-US" w:eastAsia="zh-CN"/>
        </w:rPr>
        <w:t>试验测试</w:t>
      </w:r>
      <w:r>
        <w:rPr>
          <w:rFonts w:hint="eastAsia" w:ascii="Times New Roman"/>
          <w:sz w:val="21"/>
          <w:szCs w:val="21"/>
        </w:rPr>
        <w:t>服务。</w:t>
      </w:r>
    </w:p>
    <w:p w14:paraId="6383C18F">
      <w:pPr>
        <w:spacing w:line="360" w:lineRule="auto"/>
        <w:ind w:firstLine="420" w:firstLineChars="200"/>
        <w:rPr>
          <w:rFonts w:ascii="Times New Roman"/>
          <w:sz w:val="21"/>
          <w:szCs w:val="21"/>
        </w:rPr>
      </w:pPr>
      <w:r>
        <w:rPr>
          <w:rFonts w:hint="eastAsia" w:ascii="Times New Roman"/>
          <w:sz w:val="21"/>
          <w:szCs w:val="21"/>
        </w:rPr>
        <w:t>4、保证采用国家或行业标准方法进行</w:t>
      </w:r>
      <w:r>
        <w:rPr>
          <w:rFonts w:hint="eastAsia" w:ascii="Times New Roman"/>
          <w:sz w:val="21"/>
          <w:szCs w:val="21"/>
          <w:lang w:val="en-US" w:eastAsia="zh-CN"/>
        </w:rPr>
        <w:t>试验测试</w:t>
      </w:r>
      <w:r>
        <w:rPr>
          <w:rFonts w:hint="eastAsia" w:ascii="Times New Roman"/>
          <w:sz w:val="21"/>
          <w:szCs w:val="21"/>
        </w:rPr>
        <w:t>，使用非标准方法进行</w:t>
      </w:r>
      <w:r>
        <w:rPr>
          <w:rFonts w:hint="eastAsia" w:ascii="Times New Roman"/>
          <w:sz w:val="21"/>
          <w:szCs w:val="21"/>
          <w:lang w:val="en-US" w:eastAsia="zh-CN"/>
        </w:rPr>
        <w:t>试验测试</w:t>
      </w:r>
      <w:r>
        <w:rPr>
          <w:rFonts w:hint="eastAsia" w:ascii="Times New Roman"/>
          <w:sz w:val="21"/>
          <w:szCs w:val="21"/>
        </w:rPr>
        <w:t>的，应向甲方申明并取得甲方同意。</w:t>
      </w:r>
    </w:p>
    <w:p w14:paraId="54FDC046">
      <w:pPr>
        <w:spacing w:line="360" w:lineRule="auto"/>
        <w:ind w:firstLine="420" w:firstLineChars="200"/>
        <w:rPr>
          <w:rFonts w:ascii="Times New Roman"/>
          <w:sz w:val="21"/>
          <w:szCs w:val="21"/>
        </w:rPr>
      </w:pPr>
      <w:r>
        <w:rPr>
          <w:rFonts w:hint="eastAsia" w:ascii="Times New Roman"/>
          <w:sz w:val="21"/>
          <w:szCs w:val="21"/>
        </w:rPr>
        <w:t>5、就</w:t>
      </w:r>
      <w:r>
        <w:rPr>
          <w:rFonts w:hint="eastAsia" w:ascii="Times New Roman"/>
          <w:sz w:val="21"/>
          <w:szCs w:val="21"/>
          <w:lang w:val="en-US" w:eastAsia="zh-CN"/>
        </w:rPr>
        <w:t>试验</w:t>
      </w:r>
      <w:r>
        <w:rPr>
          <w:rFonts w:hint="eastAsia" w:ascii="Times New Roman"/>
          <w:sz w:val="21"/>
          <w:szCs w:val="21"/>
        </w:rPr>
        <w:t>报告的有关内容，接受甲方的咨询。</w:t>
      </w:r>
    </w:p>
    <w:p w14:paraId="73C85447">
      <w:pPr>
        <w:spacing w:line="360" w:lineRule="auto"/>
        <w:ind w:firstLine="420" w:firstLineChars="200"/>
        <w:rPr>
          <w:rFonts w:hint="default" w:ascii="Times New Roman"/>
          <w:sz w:val="21"/>
          <w:szCs w:val="21"/>
          <w:lang w:val="en-US" w:eastAsia="zh-CN"/>
        </w:rPr>
      </w:pPr>
      <w:r>
        <w:rPr>
          <w:rFonts w:hint="eastAsia" w:ascii="Times New Roman"/>
          <w:sz w:val="21"/>
          <w:szCs w:val="21"/>
          <w:lang w:val="en-US" w:eastAsia="zh-CN"/>
        </w:rPr>
        <w:t>6</w:t>
      </w:r>
      <w:r>
        <w:rPr>
          <w:rFonts w:hint="eastAsia" w:ascii="Times New Roman"/>
          <w:sz w:val="21"/>
          <w:szCs w:val="21"/>
        </w:rPr>
        <w:t>、乙方应为甲方所提供的资料以及</w:t>
      </w:r>
      <w:r>
        <w:rPr>
          <w:rFonts w:hint="eastAsia" w:ascii="Times New Roman"/>
          <w:sz w:val="21"/>
          <w:szCs w:val="21"/>
          <w:lang w:val="en-US" w:eastAsia="zh-CN"/>
        </w:rPr>
        <w:t>试验测试</w:t>
      </w:r>
      <w:r>
        <w:rPr>
          <w:rFonts w:hint="eastAsia" w:ascii="Times New Roman"/>
          <w:sz w:val="21"/>
          <w:szCs w:val="21"/>
        </w:rPr>
        <w:t>结果等承担保密义务，未经对方书面许可，不得向第三方泄露，否则须承担相应的经济和法律责任。</w:t>
      </w:r>
      <w:r>
        <w:rPr>
          <w:rFonts w:hint="eastAsia" w:ascii="Times New Roman"/>
          <w:sz w:val="21"/>
          <w:szCs w:val="21"/>
          <w:lang w:val="en-US" w:eastAsia="zh-CN"/>
        </w:rPr>
        <w:t>乙方保密义务不因本合同终止而结束。</w:t>
      </w:r>
    </w:p>
    <w:p w14:paraId="5528E2A0">
      <w:pPr>
        <w:spacing w:line="360" w:lineRule="auto"/>
        <w:ind w:firstLine="420" w:firstLineChars="200"/>
        <w:rPr>
          <w:rFonts w:ascii="Times New Roman"/>
          <w:sz w:val="21"/>
          <w:szCs w:val="21"/>
        </w:rPr>
      </w:pPr>
      <w:r>
        <w:rPr>
          <w:rFonts w:hint="eastAsia" w:ascii="Times New Roman"/>
          <w:sz w:val="21"/>
          <w:szCs w:val="21"/>
          <w:lang w:val="en-US" w:eastAsia="zh-CN"/>
        </w:rPr>
        <w:t>7、未经甲方书面同意，乙方不得将本合同项下工作转包、分包给任何第三方。</w:t>
      </w:r>
    </w:p>
    <w:p w14:paraId="37BD8540">
      <w:pPr>
        <w:spacing w:line="360" w:lineRule="auto"/>
        <w:ind w:firstLine="422" w:firstLineChars="200"/>
        <w:rPr>
          <w:rFonts w:hint="eastAsia" w:ascii="Times New Roman"/>
          <w:b/>
          <w:bCs/>
          <w:sz w:val="21"/>
          <w:szCs w:val="21"/>
        </w:rPr>
      </w:pPr>
    </w:p>
    <w:p w14:paraId="45FE7503">
      <w:pPr>
        <w:spacing w:line="360" w:lineRule="auto"/>
        <w:ind w:firstLine="422" w:firstLineChars="200"/>
        <w:rPr>
          <w:rFonts w:ascii="Times New Roman"/>
          <w:b/>
          <w:bCs/>
          <w:sz w:val="21"/>
          <w:szCs w:val="21"/>
        </w:rPr>
      </w:pPr>
      <w:r>
        <w:rPr>
          <w:rFonts w:hint="eastAsia" w:ascii="Times New Roman"/>
          <w:b/>
          <w:bCs/>
          <w:sz w:val="21"/>
          <w:szCs w:val="21"/>
        </w:rPr>
        <w:t>第</w:t>
      </w:r>
      <w:r>
        <w:rPr>
          <w:rFonts w:hint="eastAsia" w:ascii="Times New Roman"/>
          <w:b/>
          <w:bCs/>
          <w:sz w:val="21"/>
          <w:szCs w:val="21"/>
          <w:lang w:val="en-US" w:eastAsia="zh-CN"/>
        </w:rPr>
        <w:t>九</w:t>
      </w:r>
      <w:r>
        <w:rPr>
          <w:rFonts w:hint="eastAsia" w:ascii="Times New Roman"/>
          <w:b/>
          <w:bCs/>
          <w:sz w:val="21"/>
          <w:szCs w:val="21"/>
        </w:rPr>
        <w:t>条 违约责任</w:t>
      </w:r>
    </w:p>
    <w:p w14:paraId="706D47C1">
      <w:pPr>
        <w:spacing w:line="360" w:lineRule="auto"/>
        <w:ind w:firstLine="420" w:firstLineChars="200"/>
        <w:rPr>
          <w:rFonts w:hint="eastAsia" w:ascii="Times New Roman"/>
          <w:sz w:val="21"/>
          <w:szCs w:val="21"/>
        </w:rPr>
      </w:pPr>
      <w:r>
        <w:rPr>
          <w:rFonts w:hint="eastAsia" w:ascii="Times New Roman"/>
          <w:sz w:val="21"/>
          <w:szCs w:val="21"/>
          <w:lang w:val="en-US" w:eastAsia="zh-CN"/>
        </w:rPr>
        <w:t>1、</w:t>
      </w:r>
      <w:r>
        <w:rPr>
          <w:rFonts w:hint="eastAsia" w:ascii="Times New Roman"/>
          <w:sz w:val="21"/>
          <w:szCs w:val="21"/>
        </w:rPr>
        <w:t>合同生效后，乙方要求终止或解除合同，应按本</w:t>
      </w:r>
      <w:r>
        <w:rPr>
          <w:rFonts w:hint="eastAsia" w:ascii="Times New Roman"/>
          <w:sz w:val="21"/>
          <w:szCs w:val="21"/>
          <w:lang w:val="en-US" w:eastAsia="zh-CN"/>
        </w:rPr>
        <w:t>暂定</w:t>
      </w:r>
      <w:r>
        <w:rPr>
          <w:rFonts w:hint="eastAsia" w:ascii="Times New Roman"/>
          <w:sz w:val="21"/>
          <w:szCs w:val="21"/>
        </w:rPr>
        <w:t>合同价的</w:t>
      </w:r>
      <w:r>
        <w:rPr>
          <w:rFonts w:hint="eastAsia" w:ascii="Times New Roman"/>
          <w:sz w:val="21"/>
          <w:szCs w:val="21"/>
          <w:lang w:val="en-US" w:eastAsia="zh-CN"/>
        </w:rPr>
        <w:t>3</w:t>
      </w:r>
      <w:r>
        <w:rPr>
          <w:rFonts w:hint="eastAsia" w:ascii="Times New Roman"/>
          <w:sz w:val="21"/>
          <w:szCs w:val="21"/>
        </w:rPr>
        <w:t>0%向甲方</w:t>
      </w:r>
      <w:r>
        <w:rPr>
          <w:rFonts w:hint="eastAsia" w:ascii="Times New Roman"/>
          <w:sz w:val="21"/>
          <w:szCs w:val="21"/>
          <w:lang w:val="en-US" w:eastAsia="zh-CN"/>
        </w:rPr>
        <w:t>支付</w:t>
      </w:r>
      <w:r>
        <w:rPr>
          <w:rFonts w:hint="eastAsia" w:ascii="Times New Roman"/>
          <w:sz w:val="21"/>
          <w:szCs w:val="21"/>
        </w:rPr>
        <w:t>违约金，并承担甲方由此造成的全部损失。</w:t>
      </w:r>
    </w:p>
    <w:p w14:paraId="7F7EF989">
      <w:pPr>
        <w:spacing w:line="360" w:lineRule="auto"/>
        <w:ind w:firstLine="420" w:firstLineChars="200"/>
        <w:rPr>
          <w:rFonts w:hint="eastAsia" w:ascii="Times New Roman"/>
          <w:sz w:val="21"/>
          <w:szCs w:val="21"/>
        </w:rPr>
      </w:pPr>
      <w:r>
        <w:rPr>
          <w:rFonts w:hint="eastAsia" w:ascii="Times New Roman"/>
          <w:sz w:val="21"/>
          <w:szCs w:val="21"/>
          <w:lang w:val="en-US" w:eastAsia="zh-CN"/>
        </w:rPr>
        <w:t>2、</w:t>
      </w:r>
      <w:r>
        <w:rPr>
          <w:rFonts w:hint="eastAsia" w:ascii="Times New Roman"/>
          <w:sz w:val="21"/>
          <w:szCs w:val="21"/>
        </w:rPr>
        <w:t>乙方未履行本合同保密条款约定之义务的，除赔偿甲方因此而遭受的损失外，还应向甲方支付</w:t>
      </w:r>
      <w:r>
        <w:rPr>
          <w:rFonts w:hint="eastAsia" w:ascii="Times New Roman"/>
          <w:sz w:val="21"/>
          <w:szCs w:val="21"/>
          <w:lang w:val="en-US" w:eastAsia="zh-CN"/>
        </w:rPr>
        <w:t>暂定</w:t>
      </w:r>
      <w:r>
        <w:rPr>
          <w:rFonts w:hint="eastAsia" w:ascii="Times New Roman"/>
          <w:sz w:val="21"/>
          <w:szCs w:val="21"/>
        </w:rPr>
        <w:t>合同价的</w:t>
      </w:r>
      <w:r>
        <w:rPr>
          <w:rFonts w:hint="eastAsia" w:ascii="Times New Roman"/>
          <w:sz w:val="21"/>
          <w:szCs w:val="21"/>
          <w:u w:val="single"/>
          <w:lang w:val="en-US" w:eastAsia="zh-CN"/>
        </w:rPr>
        <w:t>3</w:t>
      </w:r>
      <w:r>
        <w:rPr>
          <w:rFonts w:hint="eastAsia" w:ascii="Times New Roman"/>
          <w:sz w:val="21"/>
          <w:szCs w:val="21"/>
          <w:u w:val="single"/>
        </w:rPr>
        <w:t>0%</w:t>
      </w:r>
      <w:r>
        <w:rPr>
          <w:rFonts w:hint="eastAsia" w:ascii="Times New Roman"/>
          <w:sz w:val="21"/>
          <w:szCs w:val="21"/>
        </w:rPr>
        <w:t>违约金。</w:t>
      </w:r>
    </w:p>
    <w:p w14:paraId="177CAF4C">
      <w:pPr>
        <w:spacing w:line="360" w:lineRule="auto"/>
        <w:ind w:firstLine="420" w:firstLineChars="200"/>
        <w:rPr>
          <w:rFonts w:hint="eastAsia" w:ascii="Times New Roman"/>
          <w:sz w:val="21"/>
          <w:szCs w:val="21"/>
        </w:rPr>
      </w:pPr>
      <w:r>
        <w:rPr>
          <w:rFonts w:hint="eastAsia" w:ascii="Times New Roman"/>
          <w:sz w:val="21"/>
          <w:szCs w:val="21"/>
          <w:lang w:val="en-US" w:eastAsia="zh-CN"/>
        </w:rPr>
        <w:t>3、</w:t>
      </w:r>
      <w:r>
        <w:rPr>
          <w:rFonts w:hint="eastAsia" w:ascii="Times New Roman"/>
          <w:sz w:val="21"/>
          <w:szCs w:val="21"/>
        </w:rPr>
        <w:t>乙方违反约定非法转包、违法分包的</w:t>
      </w:r>
      <w:r>
        <w:rPr>
          <w:rFonts w:hint="eastAsia" w:ascii="Times New Roman"/>
          <w:sz w:val="21"/>
          <w:szCs w:val="21"/>
          <w:lang w:eastAsia="zh-CN"/>
        </w:rPr>
        <w:t>，</w:t>
      </w:r>
      <w:r>
        <w:rPr>
          <w:rFonts w:hint="eastAsia" w:ascii="Times New Roman"/>
          <w:sz w:val="21"/>
          <w:szCs w:val="21"/>
        </w:rPr>
        <w:t>甲方有权单方解除合同，并要求乙方支付</w:t>
      </w:r>
      <w:r>
        <w:rPr>
          <w:rFonts w:hint="eastAsia" w:ascii="Times New Roman"/>
          <w:sz w:val="21"/>
          <w:szCs w:val="21"/>
          <w:lang w:val="en-US" w:eastAsia="zh-CN"/>
        </w:rPr>
        <w:t>暂定</w:t>
      </w:r>
      <w:r>
        <w:rPr>
          <w:rFonts w:hint="eastAsia" w:ascii="Times New Roman"/>
          <w:sz w:val="21"/>
          <w:szCs w:val="21"/>
        </w:rPr>
        <w:t>合同价的</w:t>
      </w:r>
      <w:r>
        <w:rPr>
          <w:rFonts w:hint="eastAsia" w:ascii="Times New Roman"/>
          <w:sz w:val="21"/>
          <w:szCs w:val="21"/>
          <w:u w:val="single"/>
          <w:lang w:val="en-US" w:eastAsia="zh-CN"/>
        </w:rPr>
        <w:t>3</w:t>
      </w:r>
      <w:r>
        <w:rPr>
          <w:rFonts w:hint="eastAsia" w:ascii="Times New Roman"/>
          <w:sz w:val="21"/>
          <w:szCs w:val="21"/>
          <w:u w:val="single"/>
        </w:rPr>
        <w:t>0%</w:t>
      </w:r>
      <w:r>
        <w:rPr>
          <w:rFonts w:hint="eastAsia" w:ascii="Times New Roman"/>
          <w:sz w:val="21"/>
          <w:szCs w:val="21"/>
        </w:rPr>
        <w:t>违约金，违约金不足以弥补甲方损失的，甲方有权继续向乙方追索。</w:t>
      </w:r>
    </w:p>
    <w:p w14:paraId="2DCA3124">
      <w:pPr>
        <w:spacing w:line="360" w:lineRule="auto"/>
        <w:ind w:firstLine="420" w:firstLineChars="200"/>
        <w:rPr>
          <w:rFonts w:hint="eastAsia" w:ascii="Times New Roman"/>
          <w:sz w:val="21"/>
          <w:szCs w:val="21"/>
        </w:rPr>
      </w:pPr>
      <w:r>
        <w:rPr>
          <w:rFonts w:hint="eastAsia" w:ascii="Times New Roman"/>
          <w:sz w:val="21"/>
          <w:szCs w:val="21"/>
          <w:lang w:val="en-US" w:eastAsia="zh-CN"/>
        </w:rPr>
        <w:t>4、</w:t>
      </w:r>
      <w:r>
        <w:rPr>
          <w:rFonts w:hint="eastAsia" w:ascii="Times New Roman"/>
          <w:sz w:val="21"/>
          <w:szCs w:val="21"/>
        </w:rPr>
        <w:t>若非甲方的原因，乙方逾期向甲方提交</w:t>
      </w:r>
      <w:r>
        <w:rPr>
          <w:rFonts w:hint="eastAsia" w:ascii="Times New Roman"/>
          <w:sz w:val="21"/>
          <w:szCs w:val="21"/>
          <w:lang w:val="en-US" w:eastAsia="zh-CN"/>
        </w:rPr>
        <w:t>符合合同约定及甲方要求的</w:t>
      </w:r>
      <w:r>
        <w:rPr>
          <w:rFonts w:hint="eastAsia" w:ascii="Times New Roman"/>
          <w:sz w:val="21"/>
          <w:szCs w:val="21"/>
        </w:rPr>
        <w:t>工作成果的，每逾期一日，乙方承担</w:t>
      </w:r>
      <w:r>
        <w:rPr>
          <w:rFonts w:hint="eastAsia" w:ascii="Times New Roman"/>
          <w:sz w:val="21"/>
          <w:szCs w:val="21"/>
          <w:lang w:val="en-US" w:eastAsia="zh-CN"/>
        </w:rPr>
        <w:t>暂定</w:t>
      </w:r>
      <w:r>
        <w:rPr>
          <w:rFonts w:hint="eastAsia" w:ascii="Times New Roman"/>
          <w:sz w:val="21"/>
          <w:szCs w:val="21"/>
        </w:rPr>
        <w:t>合同价的</w:t>
      </w:r>
      <w:r>
        <w:rPr>
          <w:rFonts w:hint="eastAsia" w:ascii="Times New Roman"/>
          <w:sz w:val="21"/>
          <w:szCs w:val="21"/>
          <w:u w:val="single"/>
        </w:rPr>
        <w:t>5%</w:t>
      </w:r>
      <w:r>
        <w:rPr>
          <w:rFonts w:hint="eastAsia" w:ascii="Times New Roman"/>
          <w:sz w:val="21"/>
          <w:szCs w:val="21"/>
        </w:rPr>
        <w:t>违约金</w:t>
      </w:r>
      <w:r>
        <w:rPr>
          <w:rFonts w:hint="eastAsia" w:ascii="Times New Roman"/>
          <w:sz w:val="21"/>
          <w:szCs w:val="21"/>
          <w:lang w:eastAsia="zh-CN"/>
        </w:rPr>
        <w:t>，</w:t>
      </w:r>
      <w:r>
        <w:rPr>
          <w:rFonts w:hint="eastAsia" w:ascii="Times New Roman"/>
          <w:sz w:val="21"/>
          <w:szCs w:val="21"/>
          <w:lang w:val="en-US" w:eastAsia="zh-CN"/>
        </w:rPr>
        <w:t>前述逾期违约金总额累计不超过暂定合同价的【30】%</w:t>
      </w:r>
      <w:r>
        <w:rPr>
          <w:rFonts w:hint="eastAsia" w:ascii="Times New Roman"/>
          <w:sz w:val="21"/>
          <w:szCs w:val="21"/>
        </w:rPr>
        <w:t>。逾期超过15日的，甲方有权单方解除合同</w:t>
      </w:r>
      <w:r>
        <w:rPr>
          <w:rFonts w:hint="eastAsia" w:ascii="Times New Roman"/>
          <w:sz w:val="21"/>
          <w:szCs w:val="21"/>
          <w:lang w:eastAsia="zh-CN"/>
        </w:rPr>
        <w:t>，</w:t>
      </w:r>
      <w:r>
        <w:rPr>
          <w:rFonts w:hint="eastAsia" w:ascii="Times New Roman"/>
          <w:sz w:val="21"/>
          <w:szCs w:val="21"/>
        </w:rPr>
        <w:t>并要求乙方支付</w:t>
      </w:r>
      <w:r>
        <w:rPr>
          <w:rFonts w:hint="eastAsia" w:ascii="Times New Roman"/>
          <w:sz w:val="21"/>
          <w:szCs w:val="21"/>
          <w:lang w:val="en-US" w:eastAsia="zh-CN"/>
        </w:rPr>
        <w:t>暂定</w:t>
      </w:r>
      <w:r>
        <w:rPr>
          <w:rFonts w:hint="eastAsia" w:ascii="Times New Roman"/>
          <w:sz w:val="21"/>
          <w:szCs w:val="21"/>
        </w:rPr>
        <w:t>合同价的</w:t>
      </w:r>
      <w:r>
        <w:rPr>
          <w:rFonts w:hint="eastAsia" w:ascii="Times New Roman"/>
          <w:sz w:val="21"/>
          <w:szCs w:val="21"/>
          <w:u w:val="single"/>
          <w:lang w:val="en-US" w:eastAsia="zh-CN"/>
        </w:rPr>
        <w:t>3</w:t>
      </w:r>
      <w:r>
        <w:rPr>
          <w:rFonts w:hint="eastAsia" w:ascii="Times New Roman"/>
          <w:sz w:val="21"/>
          <w:szCs w:val="21"/>
          <w:u w:val="single"/>
        </w:rPr>
        <w:t>0%</w:t>
      </w:r>
      <w:r>
        <w:rPr>
          <w:rFonts w:hint="eastAsia" w:ascii="Times New Roman"/>
          <w:sz w:val="21"/>
          <w:szCs w:val="21"/>
        </w:rPr>
        <w:t>违约金，违约金不足以弥补甲方损失的，甲方有权继续向乙方追索。</w:t>
      </w:r>
    </w:p>
    <w:p w14:paraId="3B5C7062">
      <w:pPr>
        <w:spacing w:line="360" w:lineRule="auto"/>
        <w:ind w:firstLine="420" w:firstLineChars="200"/>
        <w:rPr>
          <w:rFonts w:hint="eastAsia" w:ascii="Times New Roman"/>
          <w:sz w:val="21"/>
          <w:szCs w:val="21"/>
        </w:rPr>
      </w:pPr>
      <w:r>
        <w:rPr>
          <w:rFonts w:hint="eastAsia" w:ascii="Times New Roman"/>
          <w:sz w:val="21"/>
          <w:szCs w:val="21"/>
          <w:lang w:val="en-US" w:eastAsia="zh-CN"/>
        </w:rPr>
        <w:t>5、</w:t>
      </w:r>
      <w:r>
        <w:rPr>
          <w:rFonts w:hint="eastAsia" w:ascii="Times New Roman"/>
          <w:sz w:val="21"/>
          <w:szCs w:val="21"/>
        </w:rPr>
        <w:t>乙方提供的成果文件出现遗漏或错误的，应无条件负责在</w:t>
      </w:r>
      <w:r>
        <w:rPr>
          <w:rFonts w:hint="eastAsia" w:ascii="Times New Roman"/>
          <w:sz w:val="21"/>
          <w:szCs w:val="21"/>
          <w:lang w:val="en-US" w:eastAsia="zh-CN"/>
        </w:rPr>
        <w:t>24小时</w:t>
      </w:r>
      <w:r>
        <w:rPr>
          <w:rFonts w:hint="eastAsia" w:ascii="Times New Roman"/>
          <w:sz w:val="21"/>
          <w:szCs w:val="21"/>
        </w:rPr>
        <w:t>内完成修改或补充</w:t>
      </w:r>
      <w:r>
        <w:rPr>
          <w:rFonts w:hint="eastAsia" w:ascii="Times New Roman"/>
          <w:sz w:val="21"/>
          <w:szCs w:val="21"/>
          <w:lang w:eastAsia="zh-CN"/>
        </w:rPr>
        <w:t>，</w:t>
      </w:r>
      <w:r>
        <w:rPr>
          <w:rFonts w:hint="eastAsia" w:ascii="Times New Roman"/>
          <w:sz w:val="21"/>
          <w:szCs w:val="21"/>
          <w:lang w:val="en-US" w:eastAsia="zh-CN"/>
        </w:rPr>
        <w:t>费用由乙方承担</w:t>
      </w:r>
      <w:r>
        <w:rPr>
          <w:rFonts w:hint="eastAsia" w:ascii="Times New Roman"/>
          <w:sz w:val="21"/>
          <w:szCs w:val="21"/>
        </w:rPr>
        <w:t>。若乙方怠于修改、补充成果文件或经3次补充修改后仍无法达到约定质量标准，甲方有权单方解除合同，并要求乙方按</w:t>
      </w:r>
      <w:r>
        <w:rPr>
          <w:rFonts w:hint="eastAsia" w:ascii="Times New Roman"/>
          <w:sz w:val="21"/>
          <w:szCs w:val="21"/>
          <w:lang w:val="en-US" w:eastAsia="zh-CN"/>
        </w:rPr>
        <w:t>暂定</w:t>
      </w:r>
      <w:r>
        <w:rPr>
          <w:rFonts w:hint="eastAsia" w:ascii="Times New Roman"/>
          <w:sz w:val="21"/>
          <w:szCs w:val="21"/>
        </w:rPr>
        <w:t>合同价的</w:t>
      </w:r>
      <w:r>
        <w:rPr>
          <w:rFonts w:hint="eastAsia" w:ascii="Times New Roman"/>
          <w:sz w:val="21"/>
          <w:szCs w:val="21"/>
          <w:u w:val="single"/>
          <w:lang w:val="en-US" w:eastAsia="zh-CN"/>
        </w:rPr>
        <w:t>3</w:t>
      </w:r>
      <w:r>
        <w:rPr>
          <w:rFonts w:hint="eastAsia" w:ascii="Times New Roman"/>
          <w:sz w:val="21"/>
          <w:szCs w:val="21"/>
          <w:u w:val="single"/>
        </w:rPr>
        <w:t>0%</w:t>
      </w:r>
      <w:r>
        <w:rPr>
          <w:rFonts w:hint="eastAsia" w:ascii="Times New Roman"/>
          <w:sz w:val="21"/>
          <w:szCs w:val="21"/>
          <w:lang w:val="en-US" w:eastAsia="zh-CN"/>
        </w:rPr>
        <w:t>向甲方支付</w:t>
      </w:r>
      <w:r>
        <w:rPr>
          <w:rFonts w:hint="eastAsia" w:ascii="Times New Roman"/>
          <w:sz w:val="21"/>
          <w:szCs w:val="21"/>
        </w:rPr>
        <w:t>违约金。由此造成甲方损失的，乙方应当予以赔偿。</w:t>
      </w:r>
    </w:p>
    <w:p w14:paraId="5C861A2D">
      <w:pPr>
        <w:spacing w:line="360" w:lineRule="auto"/>
        <w:ind w:firstLine="480" w:firstLineChars="200"/>
        <w:rPr>
          <w:rFonts w:hint="eastAsia" w:ascii="Times New Roman"/>
          <w:sz w:val="21"/>
          <w:szCs w:val="21"/>
          <w:lang w:val="en-US" w:eastAsia="zh-CN"/>
        </w:rPr>
      </w:pPr>
      <w:r>
        <w:rPr>
          <w:rFonts w:hint="eastAsia"/>
          <w:lang w:val="en-US" w:eastAsia="zh-CN"/>
        </w:rPr>
        <w:t>6、</w:t>
      </w:r>
      <w:r>
        <w:rPr>
          <w:rFonts w:hint="eastAsia" w:ascii="Times New Roman"/>
          <w:sz w:val="21"/>
          <w:szCs w:val="21"/>
          <w:lang w:val="en-US" w:eastAsia="zh-C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 30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E810038">
      <w:pPr>
        <w:spacing w:line="360" w:lineRule="auto"/>
        <w:ind w:firstLine="420" w:firstLineChars="200"/>
        <w:rPr>
          <w:rFonts w:hint="eastAsia" w:ascii="Times New Roman"/>
          <w:sz w:val="21"/>
          <w:szCs w:val="21"/>
          <w:lang w:val="en-US"/>
        </w:rPr>
      </w:pPr>
      <w:r>
        <w:rPr>
          <w:rFonts w:hint="eastAsia" w:ascii="Times New Roman"/>
          <w:sz w:val="21"/>
          <w:szCs w:val="21"/>
          <w:lang w:val="en-US" w:eastAsia="zh-CN"/>
        </w:rPr>
        <w:t>7、</w:t>
      </w:r>
      <w:r>
        <w:rPr>
          <w:rFonts w:hint="eastAsia" w:ascii="Times New Roman"/>
          <w:sz w:val="21"/>
          <w:szCs w:val="21"/>
          <w:lang w:val="en-US"/>
        </w:rPr>
        <w:t>乙方应保证提供</w:t>
      </w:r>
      <w:r>
        <w:rPr>
          <w:rFonts w:hint="eastAsia" w:ascii="Times New Roman"/>
          <w:sz w:val="21"/>
          <w:szCs w:val="21"/>
          <w:lang w:val="en-US" w:eastAsia="zh-CN"/>
        </w:rPr>
        <w:t>的服务及成果</w:t>
      </w:r>
      <w:r>
        <w:rPr>
          <w:rFonts w:hint="eastAsia" w:ascii="Times New Roman"/>
          <w:sz w:val="21"/>
          <w:szCs w:val="21"/>
          <w:lang w:val="en-US"/>
        </w:rPr>
        <w:t>不侵犯第三方的合法权益，如第三方以本合同</w:t>
      </w:r>
      <w:r>
        <w:rPr>
          <w:rFonts w:hint="eastAsia" w:ascii="Times New Roman"/>
          <w:sz w:val="21"/>
          <w:szCs w:val="21"/>
          <w:lang w:val="en-US" w:eastAsia="zh-CN"/>
        </w:rPr>
        <w:t>服务或成果</w:t>
      </w:r>
      <w:r>
        <w:rPr>
          <w:rFonts w:hint="eastAsia" w:ascii="Times New Roman"/>
          <w:sz w:val="21"/>
          <w:szCs w:val="21"/>
          <w:lang w:val="en-US"/>
        </w:rPr>
        <w:t>侵权为由提起侵权主张，乙方须与第三方交涉并承担由此发生的一切责任、费用和经济赔偿。由于乙方提供的</w:t>
      </w:r>
      <w:r>
        <w:rPr>
          <w:rFonts w:hint="eastAsia" w:ascii="Times New Roman"/>
          <w:sz w:val="21"/>
          <w:szCs w:val="21"/>
          <w:lang w:val="en-US" w:eastAsia="zh-CN"/>
        </w:rPr>
        <w:t>服务或成果</w:t>
      </w:r>
      <w:r>
        <w:rPr>
          <w:rFonts w:hint="eastAsia" w:ascii="Times New Roman"/>
          <w:sz w:val="21"/>
          <w:szCs w:val="21"/>
          <w:lang w:val="en-US"/>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4FE8B86D">
      <w:pPr>
        <w:spacing w:line="360" w:lineRule="auto"/>
        <w:ind w:firstLine="420" w:firstLineChars="200"/>
        <w:rPr>
          <w:rFonts w:hint="default" w:eastAsia="宋体"/>
          <w:lang w:val="en-US" w:eastAsia="zh-CN"/>
        </w:rPr>
      </w:pPr>
      <w:r>
        <w:rPr>
          <w:rFonts w:hint="eastAsia" w:ascii="Times New Roman"/>
          <w:sz w:val="21"/>
          <w:szCs w:val="21"/>
          <w:lang w:val="en-US" w:eastAsia="zh-CN"/>
        </w:rPr>
        <w:t>8、乙方违反本合同约定，合同对违约责任有特别约定的，适用该特别约定；无特别约定的，甲方有权要求乙方支付本合同的暂定合同价的【 30 】%作为违约金。</w:t>
      </w:r>
      <w:r>
        <w:rPr>
          <w:rFonts w:hint="eastAsia" w:ascii="Times New Roman"/>
          <w:sz w:val="21"/>
          <w:szCs w:val="21"/>
        </w:rPr>
        <w:t>若前述金额不足以覆盖甲方实际损失及实际损失金额的30%的，乙方应按甲方实际损失的30%向甲方支付违约金，并赔偿全部损失</w:t>
      </w:r>
      <w:r>
        <w:rPr>
          <w:rFonts w:hint="eastAsia" w:ascii="Times New Roman"/>
          <w:sz w:val="21"/>
          <w:szCs w:val="21"/>
          <w:lang w:val="en-US" w:eastAsia="zh-CN"/>
        </w:rPr>
        <w:t>。</w:t>
      </w:r>
    </w:p>
    <w:p w14:paraId="23C047FB">
      <w:pPr>
        <w:spacing w:line="360" w:lineRule="auto"/>
        <w:rPr>
          <w:rFonts w:ascii="Times New Roman"/>
          <w:sz w:val="21"/>
          <w:szCs w:val="21"/>
        </w:rPr>
      </w:pPr>
    </w:p>
    <w:p w14:paraId="10FAF30D">
      <w:pPr>
        <w:spacing w:line="360" w:lineRule="auto"/>
        <w:ind w:firstLine="422" w:firstLineChars="200"/>
        <w:rPr>
          <w:rFonts w:ascii="Times New Roman"/>
          <w:b/>
          <w:bCs/>
          <w:sz w:val="21"/>
          <w:szCs w:val="21"/>
        </w:rPr>
      </w:pPr>
      <w:r>
        <w:rPr>
          <w:rFonts w:hint="eastAsia" w:ascii="Times New Roman"/>
          <w:b/>
          <w:bCs/>
          <w:sz w:val="21"/>
          <w:szCs w:val="21"/>
        </w:rPr>
        <w:t>第</w:t>
      </w:r>
      <w:r>
        <w:rPr>
          <w:rFonts w:hint="eastAsia" w:ascii="Times New Roman"/>
          <w:b/>
          <w:bCs/>
          <w:sz w:val="21"/>
          <w:szCs w:val="21"/>
          <w:lang w:val="en-US" w:eastAsia="zh-CN"/>
        </w:rPr>
        <w:t>十</w:t>
      </w:r>
      <w:r>
        <w:rPr>
          <w:rFonts w:hint="eastAsia" w:ascii="Times New Roman"/>
          <w:b/>
          <w:bCs/>
          <w:sz w:val="21"/>
          <w:szCs w:val="21"/>
        </w:rPr>
        <w:t>条 不可抗力</w:t>
      </w:r>
    </w:p>
    <w:p w14:paraId="674FC1E4">
      <w:pPr>
        <w:spacing w:line="360" w:lineRule="auto"/>
        <w:ind w:firstLine="420" w:firstLineChars="200"/>
        <w:rPr>
          <w:rFonts w:hint="eastAsia" w:ascii="Times New Roman"/>
          <w:sz w:val="21"/>
          <w:szCs w:val="21"/>
        </w:rPr>
      </w:pPr>
      <w:r>
        <w:rPr>
          <w:rFonts w:hint="eastAsia" w:ascii="Times New Roman"/>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FC99DFD">
      <w:pPr>
        <w:spacing w:line="360" w:lineRule="auto"/>
        <w:rPr>
          <w:rFonts w:ascii="Times New Roman"/>
          <w:sz w:val="21"/>
          <w:szCs w:val="21"/>
        </w:rPr>
      </w:pPr>
    </w:p>
    <w:p w14:paraId="69F824D7">
      <w:pPr>
        <w:spacing w:line="360" w:lineRule="auto"/>
        <w:ind w:firstLine="422" w:firstLineChars="200"/>
        <w:rPr>
          <w:rFonts w:ascii="Times New Roman"/>
          <w:b/>
          <w:bCs/>
          <w:sz w:val="21"/>
          <w:szCs w:val="21"/>
        </w:rPr>
      </w:pPr>
      <w:r>
        <w:rPr>
          <w:rFonts w:hint="eastAsia" w:ascii="Times New Roman"/>
          <w:b/>
          <w:bCs/>
          <w:sz w:val="21"/>
          <w:szCs w:val="21"/>
        </w:rPr>
        <w:t>第</w:t>
      </w:r>
      <w:r>
        <w:rPr>
          <w:rFonts w:hint="eastAsia" w:ascii="Times New Roman"/>
          <w:b/>
          <w:bCs/>
          <w:sz w:val="21"/>
          <w:szCs w:val="21"/>
          <w:lang w:val="en-US" w:eastAsia="zh-CN"/>
        </w:rPr>
        <w:t>十一</w:t>
      </w:r>
      <w:r>
        <w:rPr>
          <w:rFonts w:hint="eastAsia" w:ascii="Times New Roman"/>
          <w:b/>
          <w:bCs/>
          <w:sz w:val="21"/>
          <w:szCs w:val="21"/>
        </w:rPr>
        <w:t>条 其它</w:t>
      </w:r>
    </w:p>
    <w:p w14:paraId="29ACB448">
      <w:pPr>
        <w:spacing w:line="360" w:lineRule="auto"/>
        <w:ind w:firstLine="420" w:firstLineChars="200"/>
        <w:rPr>
          <w:rFonts w:ascii="Times New Roman"/>
          <w:sz w:val="21"/>
          <w:szCs w:val="21"/>
        </w:rPr>
      </w:pPr>
      <w:r>
        <w:rPr>
          <w:rFonts w:hint="eastAsia" w:ascii="Times New Roman"/>
          <w:sz w:val="21"/>
          <w:szCs w:val="21"/>
        </w:rPr>
        <w:t>1、本合同如有未尽事宜，双方可另行协商，协商后所签订的补充协议与本合同具有同等效力。</w:t>
      </w:r>
    </w:p>
    <w:p w14:paraId="0EFA4D0D">
      <w:pPr>
        <w:spacing w:line="360" w:lineRule="auto"/>
        <w:ind w:firstLine="420" w:firstLineChars="200"/>
        <w:rPr>
          <w:rFonts w:ascii="Times New Roman"/>
          <w:sz w:val="21"/>
          <w:szCs w:val="21"/>
        </w:rPr>
      </w:pPr>
      <w:r>
        <w:rPr>
          <w:rFonts w:hint="eastAsia" w:ascii="Times New Roman"/>
          <w:sz w:val="21"/>
          <w:szCs w:val="21"/>
        </w:rPr>
        <w:t>2、双方因合同履行相关事宜发生争议的，由双方友好协商解决，若协商不成，任何一方有权向甲方住所地有管辖权的人民法院提出诉讼解决。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2134B932">
      <w:pPr>
        <w:spacing w:line="360" w:lineRule="auto"/>
        <w:ind w:firstLine="420" w:firstLineChars="200"/>
        <w:rPr>
          <w:rFonts w:ascii="Times New Roman"/>
          <w:sz w:val="21"/>
          <w:szCs w:val="21"/>
        </w:rPr>
      </w:pPr>
      <w:r>
        <w:rPr>
          <w:rFonts w:hint="eastAsia" w:ascii="Times New Roman"/>
          <w:sz w:val="21"/>
          <w:szCs w:val="21"/>
        </w:rPr>
        <w:t>3、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23C9E59">
      <w:pPr>
        <w:spacing w:line="360" w:lineRule="auto"/>
        <w:ind w:firstLine="420" w:firstLineChars="200"/>
        <w:rPr>
          <w:rFonts w:ascii="Times New Roman"/>
          <w:sz w:val="21"/>
          <w:szCs w:val="21"/>
        </w:rPr>
      </w:pPr>
      <w:r>
        <w:rPr>
          <w:rFonts w:hint="eastAsia" w:ascii="Times New Roman"/>
          <w:sz w:val="21"/>
          <w:szCs w:val="21"/>
        </w:rPr>
        <w:t>4、本合同一式</w:t>
      </w:r>
      <w:r>
        <w:rPr>
          <w:rFonts w:hint="eastAsia" w:ascii="Times New Roman"/>
          <w:sz w:val="21"/>
          <w:szCs w:val="21"/>
          <w:u w:val="single"/>
        </w:rPr>
        <w:t xml:space="preserve"> </w:t>
      </w:r>
      <w:r>
        <w:rPr>
          <w:rFonts w:hint="eastAsia" w:ascii="Times New Roman"/>
          <w:sz w:val="21"/>
          <w:szCs w:val="21"/>
          <w:u w:val="single"/>
          <w:lang w:val="en-US" w:eastAsia="zh-CN"/>
        </w:rPr>
        <w:t>肆</w:t>
      </w:r>
      <w:r>
        <w:rPr>
          <w:rFonts w:hint="eastAsia" w:ascii="Times New Roman"/>
          <w:sz w:val="21"/>
          <w:szCs w:val="21"/>
          <w:u w:val="single"/>
        </w:rPr>
        <w:t xml:space="preserve"> </w:t>
      </w:r>
      <w:r>
        <w:rPr>
          <w:rFonts w:hint="eastAsia" w:ascii="Times New Roman"/>
          <w:sz w:val="21"/>
          <w:szCs w:val="21"/>
        </w:rPr>
        <w:t>份，甲方执</w:t>
      </w:r>
      <w:r>
        <w:rPr>
          <w:rFonts w:hint="eastAsia" w:ascii="Times New Roman"/>
          <w:sz w:val="21"/>
          <w:szCs w:val="21"/>
          <w:u w:val="single"/>
        </w:rPr>
        <w:t xml:space="preserve"> </w:t>
      </w:r>
      <w:r>
        <w:rPr>
          <w:rFonts w:hint="eastAsia" w:ascii="Times New Roman"/>
          <w:sz w:val="21"/>
          <w:szCs w:val="21"/>
          <w:u w:val="single"/>
          <w:lang w:val="en-US" w:eastAsia="zh-CN"/>
        </w:rPr>
        <w:t>叁</w:t>
      </w:r>
      <w:r>
        <w:rPr>
          <w:rFonts w:hint="eastAsia" w:ascii="Times New Roman"/>
          <w:sz w:val="21"/>
          <w:szCs w:val="21"/>
          <w:u w:val="single"/>
        </w:rPr>
        <w:t xml:space="preserve"> </w:t>
      </w:r>
      <w:r>
        <w:rPr>
          <w:rFonts w:hint="eastAsia" w:ascii="Times New Roman"/>
          <w:sz w:val="21"/>
          <w:szCs w:val="21"/>
        </w:rPr>
        <w:t>份，乙方执</w:t>
      </w:r>
      <w:r>
        <w:rPr>
          <w:rFonts w:hint="eastAsia" w:ascii="Times New Roman"/>
          <w:sz w:val="21"/>
          <w:szCs w:val="21"/>
          <w:u w:val="single"/>
        </w:rPr>
        <w:t xml:space="preserve"> 壹 </w:t>
      </w:r>
      <w:r>
        <w:rPr>
          <w:rFonts w:hint="eastAsia" w:ascii="Times New Roman"/>
          <w:sz w:val="21"/>
          <w:szCs w:val="21"/>
        </w:rPr>
        <w:t>份，具有同等法律效力。对合同内容，双方均有保密义务。双方因本合同所负有的保密义务，不随本合同的终止而终止。本合同经双方法定代表人签字并</w:t>
      </w:r>
      <w:r>
        <w:rPr>
          <w:rFonts w:hint="eastAsia" w:ascii="Times New Roman"/>
          <w:sz w:val="21"/>
          <w:szCs w:val="21"/>
          <w:lang w:val="en-US" w:eastAsia="zh-CN"/>
        </w:rPr>
        <w:t>经双方</w:t>
      </w:r>
      <w:r>
        <w:rPr>
          <w:rFonts w:hint="eastAsia" w:ascii="Times New Roman"/>
          <w:sz w:val="21"/>
          <w:szCs w:val="21"/>
        </w:rPr>
        <w:t>盖章后生效。</w:t>
      </w:r>
    </w:p>
    <w:p w14:paraId="52908D01">
      <w:pPr>
        <w:spacing w:line="360" w:lineRule="auto"/>
        <w:ind w:firstLine="420" w:firstLineChars="200"/>
        <w:rPr>
          <w:rFonts w:ascii="Times New Roman"/>
          <w:sz w:val="21"/>
          <w:szCs w:val="21"/>
        </w:rPr>
      </w:pPr>
      <w:r>
        <w:rPr>
          <w:rFonts w:hint="eastAsia" w:ascii="Times New Roman"/>
          <w:sz w:val="21"/>
          <w:szCs w:val="21"/>
        </w:rPr>
        <w:t>5、乙方确认：本合同中列明的乙方“地址”为有效的收件地址，甲方对乙方的相关通知、函件等可通过特快专递方式送达至该地址。甲方通过特快专递方式向乙方“地址”发出相关通知、函件等3</w:t>
      </w:r>
      <w:r>
        <w:rPr>
          <w:rFonts w:hint="eastAsia" w:ascii="Times New Roman"/>
          <w:sz w:val="21"/>
          <w:szCs w:val="21"/>
          <w:lang w:eastAsia="zh-CN"/>
        </w:rPr>
        <w:t>日</w:t>
      </w:r>
      <w:r>
        <w:rPr>
          <w:rFonts w:hint="eastAsia" w:ascii="Times New Roman"/>
          <w:sz w:val="21"/>
          <w:szCs w:val="21"/>
        </w:rPr>
        <w:t>后，即视为有效送达。乙方更换地址的，应该</w:t>
      </w:r>
      <w:r>
        <w:rPr>
          <w:rFonts w:hint="eastAsia" w:ascii="Times New Roman"/>
          <w:sz w:val="21"/>
          <w:szCs w:val="21"/>
          <w:lang w:val="en-US" w:eastAsia="zh-CN"/>
        </w:rPr>
        <w:t>在</w:t>
      </w:r>
      <w:r>
        <w:rPr>
          <w:rFonts w:hint="eastAsia" w:ascii="Times New Roman"/>
          <w:sz w:val="21"/>
          <w:szCs w:val="21"/>
        </w:rPr>
        <w:t>3日内书面告知甲方，否则甲方仍按合同中列明的乙方“地址”发出相关通知、函件等并视为有效送达。</w:t>
      </w:r>
    </w:p>
    <w:p w14:paraId="718AF827">
      <w:pPr>
        <w:spacing w:line="360" w:lineRule="auto"/>
        <w:ind w:firstLine="420" w:firstLineChars="200"/>
        <w:rPr>
          <w:rFonts w:ascii="Times New Roman"/>
          <w:sz w:val="21"/>
          <w:szCs w:val="21"/>
        </w:rPr>
      </w:pPr>
      <w:r>
        <w:rPr>
          <w:rFonts w:hint="eastAsia" w:ascii="Times New Roman"/>
          <w:sz w:val="21"/>
          <w:szCs w:val="21"/>
        </w:rPr>
        <w:t>6、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6C10F227">
      <w:pPr>
        <w:spacing w:line="360" w:lineRule="auto"/>
        <w:ind w:firstLine="420" w:firstLineChars="200"/>
        <w:rPr>
          <w:rFonts w:hint="default" w:ascii="Times New Roman" w:eastAsia="宋体"/>
          <w:b/>
          <w:color w:val="000000" w:themeColor="text1"/>
          <w:szCs w:val="21"/>
          <w:lang w:val="en-US" w:eastAsia="zh-CN"/>
          <w14:textFill>
            <w14:solidFill>
              <w14:schemeClr w14:val="tx1"/>
            </w14:solidFill>
          </w14:textFill>
        </w:rPr>
      </w:pPr>
      <w:r>
        <w:rPr>
          <w:rFonts w:hint="eastAsia" w:ascii="Times New Roman"/>
          <w:sz w:val="21"/>
          <w:szCs w:val="21"/>
        </w:rPr>
        <w:t>附件：用户需求书；</w:t>
      </w:r>
      <w:r>
        <w:rPr>
          <w:rFonts w:hint="eastAsia"/>
          <w:sz w:val="21"/>
          <w:szCs w:val="21"/>
        </w:rPr>
        <w:t>履约评价表</w:t>
      </w:r>
      <w:r>
        <w:rPr>
          <w:rFonts w:hint="eastAsia"/>
          <w:sz w:val="21"/>
          <w:szCs w:val="21"/>
          <w:lang w:eastAsia="zh-CN"/>
        </w:rPr>
        <w:t>；</w:t>
      </w:r>
      <w:r>
        <w:rPr>
          <w:rFonts w:hint="eastAsia" w:ascii="Times New Roman"/>
          <w:sz w:val="21"/>
          <w:szCs w:val="21"/>
        </w:rPr>
        <w:t>分项报价表；安全生产管理协议</w:t>
      </w:r>
      <w:r>
        <w:rPr>
          <w:rFonts w:hint="eastAsia" w:ascii="Times New Roman"/>
          <w:sz w:val="21"/>
          <w:szCs w:val="21"/>
          <w:lang w:eastAsia="zh-CN"/>
        </w:rPr>
        <w:t>；</w:t>
      </w:r>
      <w:r>
        <w:rPr>
          <w:rFonts w:hint="eastAsia" w:ascii="Times New Roman"/>
          <w:sz w:val="21"/>
          <w:szCs w:val="21"/>
          <w:lang w:val="en-US" w:eastAsia="zh-CN"/>
        </w:rPr>
        <w:t>阳光合作告知函</w:t>
      </w:r>
    </w:p>
    <w:p w14:paraId="56A45E6F">
      <w:pPr>
        <w:pStyle w:val="42"/>
        <w:spacing w:line="360" w:lineRule="auto"/>
        <w:ind w:firstLineChars="0"/>
        <w:rPr>
          <w:rFonts w:ascii="Times New Roman"/>
          <w:b/>
          <w:sz w:val="21"/>
          <w:szCs w:val="21"/>
        </w:rPr>
      </w:pPr>
      <w:r>
        <w:rPr>
          <w:rFonts w:ascii="Times New Roman"/>
          <w:b/>
          <w:color w:val="000000" w:themeColor="text1"/>
          <w:sz w:val="21"/>
          <w:szCs w:val="21"/>
          <w14:textFill>
            <w14:solidFill>
              <w14:schemeClr w14:val="tx1"/>
            </w14:solidFill>
          </w14:textFill>
        </w:rPr>
        <w:t>（以下无正文）</w:t>
      </w:r>
    </w:p>
    <w:tbl>
      <w:tblPr>
        <w:tblStyle w:val="23"/>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EEE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40F8479">
            <w:pPr>
              <w:spacing w:line="360" w:lineRule="auto"/>
              <w:rPr>
                <w:rFonts w:ascii="Times New Roman"/>
                <w:sz w:val="21"/>
                <w:szCs w:val="21"/>
              </w:rPr>
            </w:pPr>
            <w:r>
              <w:rPr>
                <w:rFonts w:ascii="Times New Roman"/>
                <w:sz w:val="21"/>
                <w:szCs w:val="21"/>
              </w:rPr>
              <w:t>甲方（盖章）：</w:t>
            </w:r>
          </w:p>
        </w:tc>
        <w:tc>
          <w:tcPr>
            <w:tcW w:w="5102" w:type="dxa"/>
            <w:tcBorders>
              <w:tl2br w:val="nil"/>
              <w:tr2bl w:val="nil"/>
            </w:tcBorders>
            <w:tcMar>
              <w:top w:w="0" w:type="dxa"/>
              <w:left w:w="57" w:type="dxa"/>
              <w:bottom w:w="0" w:type="dxa"/>
              <w:right w:w="57" w:type="dxa"/>
            </w:tcMar>
          </w:tcPr>
          <w:p w14:paraId="3D647567">
            <w:pPr>
              <w:spacing w:line="360" w:lineRule="auto"/>
              <w:rPr>
                <w:rFonts w:ascii="Times New Roman"/>
                <w:sz w:val="21"/>
                <w:szCs w:val="21"/>
              </w:rPr>
            </w:pPr>
            <w:r>
              <w:rPr>
                <w:rFonts w:ascii="Times New Roman"/>
                <w:sz w:val="21"/>
                <w:szCs w:val="21"/>
              </w:rPr>
              <w:t>乙方（盖章）：</w:t>
            </w:r>
          </w:p>
        </w:tc>
      </w:tr>
      <w:tr w14:paraId="3851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6D59250">
            <w:pPr>
              <w:spacing w:line="360" w:lineRule="auto"/>
              <w:rPr>
                <w:rFonts w:ascii="Times New Roman"/>
                <w:sz w:val="21"/>
                <w:szCs w:val="21"/>
              </w:rPr>
            </w:pPr>
            <w:r>
              <w:rPr>
                <w:rFonts w:ascii="Times New Roman"/>
                <w:sz w:val="21"/>
                <w:szCs w:val="21"/>
              </w:rPr>
              <w:t>法定代表人：</w:t>
            </w:r>
          </w:p>
        </w:tc>
        <w:tc>
          <w:tcPr>
            <w:tcW w:w="5102" w:type="dxa"/>
            <w:tcBorders>
              <w:tl2br w:val="nil"/>
              <w:tr2bl w:val="nil"/>
            </w:tcBorders>
            <w:tcMar>
              <w:top w:w="0" w:type="dxa"/>
              <w:left w:w="57" w:type="dxa"/>
              <w:bottom w:w="0" w:type="dxa"/>
              <w:right w:w="57" w:type="dxa"/>
            </w:tcMar>
          </w:tcPr>
          <w:p w14:paraId="39B5BD7E">
            <w:pPr>
              <w:spacing w:line="360" w:lineRule="auto"/>
              <w:rPr>
                <w:rFonts w:ascii="Times New Roman"/>
                <w:sz w:val="21"/>
                <w:szCs w:val="21"/>
              </w:rPr>
            </w:pPr>
            <w:r>
              <w:rPr>
                <w:rFonts w:ascii="Times New Roman"/>
                <w:sz w:val="21"/>
                <w:szCs w:val="21"/>
              </w:rPr>
              <w:t>法定代表人：</w:t>
            </w:r>
          </w:p>
        </w:tc>
      </w:tr>
      <w:tr w14:paraId="0EE0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20DB2E1">
            <w:pPr>
              <w:spacing w:line="360" w:lineRule="auto"/>
              <w:rPr>
                <w:rFonts w:ascii="Times New Roman"/>
                <w:sz w:val="21"/>
                <w:szCs w:val="21"/>
              </w:rPr>
            </w:pPr>
            <w:r>
              <w:rPr>
                <w:rFonts w:ascii="Times New Roman"/>
                <w:sz w:val="21"/>
                <w:szCs w:val="21"/>
              </w:rPr>
              <w:t>地址：</w:t>
            </w:r>
          </w:p>
        </w:tc>
        <w:tc>
          <w:tcPr>
            <w:tcW w:w="5102" w:type="dxa"/>
            <w:tcBorders>
              <w:tl2br w:val="nil"/>
              <w:tr2bl w:val="nil"/>
            </w:tcBorders>
            <w:tcMar>
              <w:top w:w="0" w:type="dxa"/>
              <w:left w:w="57" w:type="dxa"/>
              <w:bottom w:w="0" w:type="dxa"/>
              <w:right w:w="57" w:type="dxa"/>
            </w:tcMar>
          </w:tcPr>
          <w:p w14:paraId="383E0CDD">
            <w:pPr>
              <w:spacing w:line="360" w:lineRule="auto"/>
              <w:rPr>
                <w:rFonts w:ascii="Times New Roman"/>
                <w:sz w:val="21"/>
                <w:szCs w:val="21"/>
              </w:rPr>
            </w:pPr>
            <w:r>
              <w:rPr>
                <w:rFonts w:ascii="Times New Roman"/>
                <w:sz w:val="21"/>
                <w:szCs w:val="21"/>
              </w:rPr>
              <w:t>地址：</w:t>
            </w:r>
          </w:p>
        </w:tc>
      </w:tr>
      <w:tr w14:paraId="47F0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FB878E3">
            <w:pPr>
              <w:spacing w:line="360" w:lineRule="auto"/>
              <w:rPr>
                <w:rFonts w:ascii="Times New Roman"/>
                <w:sz w:val="21"/>
                <w:szCs w:val="21"/>
              </w:rPr>
            </w:pPr>
            <w:r>
              <w:rPr>
                <w:rFonts w:ascii="Times New Roman"/>
                <w:sz w:val="21"/>
                <w:szCs w:val="21"/>
              </w:rPr>
              <w:t>电话：</w:t>
            </w:r>
          </w:p>
        </w:tc>
        <w:tc>
          <w:tcPr>
            <w:tcW w:w="5102" w:type="dxa"/>
            <w:tcBorders>
              <w:tl2br w:val="nil"/>
              <w:tr2bl w:val="nil"/>
            </w:tcBorders>
            <w:tcMar>
              <w:top w:w="0" w:type="dxa"/>
              <w:left w:w="57" w:type="dxa"/>
              <w:bottom w:w="0" w:type="dxa"/>
              <w:right w:w="57" w:type="dxa"/>
            </w:tcMar>
          </w:tcPr>
          <w:p w14:paraId="2BC9AF56">
            <w:pPr>
              <w:spacing w:line="360" w:lineRule="auto"/>
              <w:rPr>
                <w:rFonts w:ascii="Times New Roman"/>
                <w:sz w:val="21"/>
                <w:szCs w:val="21"/>
              </w:rPr>
            </w:pPr>
            <w:r>
              <w:rPr>
                <w:rFonts w:ascii="Times New Roman"/>
                <w:sz w:val="21"/>
                <w:szCs w:val="21"/>
              </w:rPr>
              <w:t>电话：</w:t>
            </w:r>
          </w:p>
        </w:tc>
      </w:tr>
      <w:tr w14:paraId="1FD0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B016E43">
            <w:pPr>
              <w:spacing w:line="360" w:lineRule="auto"/>
              <w:rPr>
                <w:rFonts w:ascii="Times New Roman"/>
                <w:sz w:val="21"/>
                <w:szCs w:val="21"/>
              </w:rPr>
            </w:pPr>
            <w:r>
              <w:rPr>
                <w:rFonts w:ascii="Times New Roman"/>
                <w:sz w:val="21"/>
                <w:szCs w:val="21"/>
              </w:rPr>
              <w:t>名称：</w:t>
            </w:r>
          </w:p>
        </w:tc>
        <w:tc>
          <w:tcPr>
            <w:tcW w:w="5102" w:type="dxa"/>
            <w:tcBorders>
              <w:tl2br w:val="nil"/>
              <w:tr2bl w:val="nil"/>
            </w:tcBorders>
            <w:tcMar>
              <w:top w:w="0" w:type="dxa"/>
              <w:left w:w="57" w:type="dxa"/>
              <w:bottom w:w="0" w:type="dxa"/>
              <w:right w:w="57" w:type="dxa"/>
            </w:tcMar>
          </w:tcPr>
          <w:p w14:paraId="506CACD6">
            <w:pPr>
              <w:spacing w:line="360" w:lineRule="auto"/>
              <w:rPr>
                <w:rFonts w:ascii="Times New Roman"/>
                <w:sz w:val="21"/>
                <w:szCs w:val="21"/>
              </w:rPr>
            </w:pPr>
            <w:r>
              <w:rPr>
                <w:rFonts w:ascii="Times New Roman"/>
                <w:sz w:val="21"/>
                <w:szCs w:val="21"/>
              </w:rPr>
              <w:t>名称：</w:t>
            </w:r>
          </w:p>
        </w:tc>
      </w:tr>
      <w:tr w14:paraId="2273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C968926">
            <w:pPr>
              <w:spacing w:line="360" w:lineRule="auto"/>
              <w:rPr>
                <w:rFonts w:ascii="Times New Roman"/>
                <w:sz w:val="21"/>
                <w:szCs w:val="21"/>
              </w:rPr>
            </w:pPr>
            <w:r>
              <w:rPr>
                <w:rFonts w:ascii="Times New Roman"/>
                <w:sz w:val="21"/>
                <w:szCs w:val="21"/>
              </w:rPr>
              <w:t>开户银行：</w:t>
            </w:r>
          </w:p>
        </w:tc>
        <w:tc>
          <w:tcPr>
            <w:tcW w:w="5102" w:type="dxa"/>
            <w:tcBorders>
              <w:tl2br w:val="nil"/>
              <w:tr2bl w:val="nil"/>
            </w:tcBorders>
            <w:tcMar>
              <w:top w:w="0" w:type="dxa"/>
              <w:left w:w="57" w:type="dxa"/>
              <w:bottom w:w="0" w:type="dxa"/>
              <w:right w:w="57" w:type="dxa"/>
            </w:tcMar>
          </w:tcPr>
          <w:p w14:paraId="087C7297">
            <w:pPr>
              <w:spacing w:line="360" w:lineRule="auto"/>
              <w:rPr>
                <w:rFonts w:ascii="Times New Roman"/>
                <w:sz w:val="21"/>
                <w:szCs w:val="21"/>
              </w:rPr>
            </w:pPr>
            <w:r>
              <w:rPr>
                <w:rFonts w:ascii="Times New Roman"/>
                <w:sz w:val="21"/>
                <w:szCs w:val="21"/>
              </w:rPr>
              <w:t>开户银行：</w:t>
            </w:r>
          </w:p>
        </w:tc>
      </w:tr>
      <w:tr w14:paraId="1F6B6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BDB9CD4">
            <w:pPr>
              <w:spacing w:line="360" w:lineRule="auto"/>
              <w:rPr>
                <w:rFonts w:ascii="Times New Roman"/>
                <w:sz w:val="21"/>
                <w:szCs w:val="21"/>
              </w:rPr>
            </w:pPr>
            <w:r>
              <w:rPr>
                <w:rFonts w:ascii="Times New Roman"/>
                <w:sz w:val="21"/>
                <w:szCs w:val="21"/>
              </w:rPr>
              <w:t>银行账号：</w:t>
            </w:r>
          </w:p>
        </w:tc>
        <w:tc>
          <w:tcPr>
            <w:tcW w:w="5102" w:type="dxa"/>
            <w:tcBorders>
              <w:tl2br w:val="nil"/>
              <w:tr2bl w:val="nil"/>
            </w:tcBorders>
            <w:tcMar>
              <w:top w:w="0" w:type="dxa"/>
              <w:left w:w="57" w:type="dxa"/>
              <w:bottom w:w="0" w:type="dxa"/>
              <w:right w:w="57" w:type="dxa"/>
            </w:tcMar>
          </w:tcPr>
          <w:p w14:paraId="0054A0EE">
            <w:pPr>
              <w:spacing w:line="360" w:lineRule="auto"/>
              <w:rPr>
                <w:rFonts w:ascii="Times New Roman"/>
                <w:sz w:val="21"/>
                <w:szCs w:val="21"/>
              </w:rPr>
            </w:pPr>
            <w:r>
              <w:rPr>
                <w:rFonts w:ascii="Times New Roman"/>
                <w:sz w:val="21"/>
                <w:szCs w:val="21"/>
              </w:rPr>
              <w:t>银行账号：</w:t>
            </w:r>
          </w:p>
        </w:tc>
      </w:tr>
      <w:tr w14:paraId="7F0A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578D901">
            <w:pPr>
              <w:spacing w:line="360" w:lineRule="auto"/>
              <w:rPr>
                <w:rFonts w:ascii="Times New Roman"/>
                <w:sz w:val="21"/>
                <w:szCs w:val="21"/>
              </w:rPr>
            </w:pPr>
            <w:r>
              <w:rPr>
                <w:rFonts w:ascii="Times New Roman"/>
                <w:sz w:val="21"/>
                <w:szCs w:val="21"/>
              </w:rPr>
              <w:t>税号：</w:t>
            </w:r>
          </w:p>
        </w:tc>
        <w:tc>
          <w:tcPr>
            <w:tcW w:w="5102" w:type="dxa"/>
            <w:tcBorders>
              <w:tl2br w:val="nil"/>
              <w:tr2bl w:val="nil"/>
            </w:tcBorders>
            <w:tcMar>
              <w:top w:w="0" w:type="dxa"/>
              <w:left w:w="57" w:type="dxa"/>
              <w:bottom w:w="0" w:type="dxa"/>
              <w:right w:w="57" w:type="dxa"/>
            </w:tcMar>
          </w:tcPr>
          <w:p w14:paraId="35A474AC">
            <w:pPr>
              <w:spacing w:line="360" w:lineRule="auto"/>
              <w:rPr>
                <w:rFonts w:ascii="Times New Roman"/>
                <w:sz w:val="21"/>
                <w:szCs w:val="21"/>
              </w:rPr>
            </w:pPr>
            <w:r>
              <w:rPr>
                <w:rFonts w:ascii="Times New Roman"/>
                <w:sz w:val="21"/>
                <w:szCs w:val="21"/>
              </w:rPr>
              <w:t>税号：</w:t>
            </w:r>
          </w:p>
        </w:tc>
      </w:tr>
    </w:tbl>
    <w:p w14:paraId="6DECDFC3">
      <w:pPr>
        <w:spacing w:line="360" w:lineRule="auto"/>
        <w:rPr>
          <w:rFonts w:ascii="Times New Roman"/>
          <w:sz w:val="21"/>
          <w:szCs w:val="21"/>
        </w:rPr>
      </w:pPr>
    </w:p>
    <w:p w14:paraId="3FC0B7C1">
      <w:pPr>
        <w:spacing w:line="360" w:lineRule="auto"/>
        <w:rPr>
          <w:rFonts w:ascii="Times New Roman"/>
          <w:sz w:val="21"/>
          <w:szCs w:val="21"/>
        </w:rPr>
      </w:pPr>
      <w:r>
        <w:rPr>
          <w:rFonts w:ascii="Times New Roman"/>
          <w:sz w:val="21"/>
          <w:szCs w:val="21"/>
        </w:rPr>
        <w:t xml:space="preserve">签订日期： </w:t>
      </w:r>
    </w:p>
    <w:p w14:paraId="12E4B71A">
      <w:pPr>
        <w:spacing w:line="360" w:lineRule="auto"/>
        <w:rPr>
          <w:rFonts w:ascii="Times New Roman"/>
          <w:sz w:val="21"/>
          <w:szCs w:val="21"/>
        </w:rPr>
      </w:pPr>
      <w:r>
        <w:rPr>
          <w:rFonts w:ascii="Times New Roman"/>
          <w:sz w:val="21"/>
          <w:szCs w:val="21"/>
        </w:rPr>
        <w:t>本合同签订于广东省东莞市</w:t>
      </w:r>
    </w:p>
    <w:p w14:paraId="7957506A">
      <w:pPr>
        <w:rPr>
          <w:rFonts w:ascii="Times New Roman"/>
          <w:sz w:val="21"/>
          <w:szCs w:val="21"/>
        </w:rPr>
      </w:pPr>
      <w:r>
        <w:rPr>
          <w:rFonts w:ascii="Times New Roman"/>
          <w:sz w:val="21"/>
          <w:szCs w:val="21"/>
        </w:rPr>
        <w:br w:type="page"/>
      </w:r>
    </w:p>
    <w:p w14:paraId="4A99CA32">
      <w:pPr>
        <w:spacing w:line="420" w:lineRule="exact"/>
        <w:rPr>
          <w:rFonts w:hint="eastAsia" w:ascii="仿宋_GB2312" w:hAnsi="仿宋_GB2312" w:eastAsia="仿宋_GB2312" w:cs="仿宋_GB2312"/>
          <w:b w:val="0"/>
          <w:bCs w:val="0"/>
        </w:rPr>
      </w:pPr>
      <w:r>
        <w:rPr>
          <w:rFonts w:hint="eastAsia" w:ascii="仿宋_GB2312" w:hAnsi="仿宋_GB2312" w:eastAsia="仿宋_GB2312" w:cs="仿宋_GB2312"/>
          <w:b w:val="0"/>
          <w:bCs w:val="0"/>
        </w:rPr>
        <w:t>附件</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供应商履约评价表</w:t>
      </w:r>
    </w:p>
    <w:p w14:paraId="0360653E">
      <w:pPr>
        <w:spacing w:line="360" w:lineRule="auto"/>
        <w:ind w:firstLine="422"/>
        <w:jc w:val="center"/>
        <w:rPr>
          <w:rFonts w:hAnsi="宋体" w:cs="宋体"/>
          <w:b/>
          <w:szCs w:val="21"/>
        </w:rPr>
      </w:pPr>
      <w:r>
        <w:rPr>
          <w:rFonts w:hint="eastAsia" w:hAnsi="宋体" w:cs="宋体"/>
          <w:b/>
          <w:szCs w:val="21"/>
        </w:rPr>
        <w:t>预防性试验服务履约评价表</w:t>
      </w:r>
    </w:p>
    <w:tbl>
      <w:tblPr>
        <w:tblStyle w:val="22"/>
        <w:tblW w:w="9114" w:type="dxa"/>
        <w:jc w:val="center"/>
        <w:tblLayout w:type="fixed"/>
        <w:tblCellMar>
          <w:top w:w="0" w:type="dxa"/>
          <w:left w:w="108" w:type="dxa"/>
          <w:bottom w:w="0" w:type="dxa"/>
          <w:right w:w="108" w:type="dxa"/>
        </w:tblCellMar>
      </w:tblPr>
      <w:tblGrid>
        <w:gridCol w:w="664"/>
        <w:gridCol w:w="1788"/>
        <w:gridCol w:w="4282"/>
        <w:gridCol w:w="855"/>
        <w:gridCol w:w="795"/>
        <w:gridCol w:w="730"/>
      </w:tblGrid>
      <w:tr w14:paraId="639A63DF">
        <w:tblPrEx>
          <w:tblCellMar>
            <w:top w:w="0" w:type="dxa"/>
            <w:left w:w="108" w:type="dxa"/>
            <w:bottom w:w="0" w:type="dxa"/>
            <w:right w:w="108" w:type="dxa"/>
          </w:tblCellMar>
        </w:tblPrEx>
        <w:trPr>
          <w:trHeight w:val="458"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3D7F2B97">
            <w:pPr>
              <w:ind w:firstLine="420"/>
              <w:jc w:val="center"/>
              <w:rPr>
                <w:rFonts w:hAnsi="宋体" w:cs="宋体"/>
                <w:b/>
                <w:szCs w:val="21"/>
              </w:rPr>
            </w:pPr>
            <w:r>
              <w:rPr>
                <w:rFonts w:hint="eastAsia" w:hAnsi="宋体" w:cs="宋体"/>
                <w:bCs/>
                <w:szCs w:val="21"/>
              </w:rPr>
              <w:t>合同名称</w:t>
            </w:r>
          </w:p>
        </w:tc>
        <w:tc>
          <w:tcPr>
            <w:tcW w:w="6662" w:type="dxa"/>
            <w:gridSpan w:val="4"/>
            <w:tcBorders>
              <w:top w:val="single" w:color="auto" w:sz="4" w:space="0"/>
              <w:left w:val="nil"/>
              <w:bottom w:val="single" w:color="auto" w:sz="4" w:space="0"/>
              <w:right w:val="single" w:color="auto" w:sz="4" w:space="0"/>
            </w:tcBorders>
            <w:vAlign w:val="center"/>
          </w:tcPr>
          <w:p w14:paraId="12CB1E27">
            <w:pPr>
              <w:ind w:firstLine="422"/>
              <w:jc w:val="center"/>
              <w:rPr>
                <w:rFonts w:hAnsi="宋体" w:cs="宋体"/>
                <w:b/>
                <w:szCs w:val="21"/>
              </w:rPr>
            </w:pPr>
          </w:p>
        </w:tc>
      </w:tr>
      <w:tr w14:paraId="3579D3D9">
        <w:tblPrEx>
          <w:tblCellMar>
            <w:top w:w="0" w:type="dxa"/>
            <w:left w:w="108" w:type="dxa"/>
            <w:bottom w:w="0" w:type="dxa"/>
            <w:right w:w="108" w:type="dxa"/>
          </w:tblCellMar>
        </w:tblPrEx>
        <w:trPr>
          <w:trHeight w:val="458"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54126595">
            <w:pPr>
              <w:ind w:firstLine="420"/>
              <w:jc w:val="center"/>
              <w:rPr>
                <w:rFonts w:hAnsi="宋体" w:cs="宋体"/>
                <w:b/>
                <w:szCs w:val="21"/>
              </w:rPr>
            </w:pPr>
            <w:r>
              <w:rPr>
                <w:rFonts w:hint="eastAsia" w:hAnsi="宋体" w:cs="宋体"/>
                <w:bCs/>
                <w:szCs w:val="21"/>
              </w:rPr>
              <w:t>合同编号</w:t>
            </w:r>
          </w:p>
        </w:tc>
        <w:tc>
          <w:tcPr>
            <w:tcW w:w="6662" w:type="dxa"/>
            <w:gridSpan w:val="4"/>
            <w:tcBorders>
              <w:top w:val="single" w:color="auto" w:sz="4" w:space="0"/>
              <w:left w:val="nil"/>
              <w:bottom w:val="single" w:color="auto" w:sz="4" w:space="0"/>
              <w:right w:val="single" w:color="auto" w:sz="4" w:space="0"/>
            </w:tcBorders>
            <w:vAlign w:val="center"/>
          </w:tcPr>
          <w:p w14:paraId="2F3DD242">
            <w:pPr>
              <w:ind w:firstLine="422"/>
              <w:jc w:val="center"/>
              <w:rPr>
                <w:rFonts w:hAnsi="宋体" w:cs="宋体"/>
                <w:b/>
                <w:szCs w:val="21"/>
              </w:rPr>
            </w:pPr>
          </w:p>
        </w:tc>
      </w:tr>
      <w:tr w14:paraId="1F457560">
        <w:tblPrEx>
          <w:tblCellMar>
            <w:top w:w="0" w:type="dxa"/>
            <w:left w:w="108" w:type="dxa"/>
            <w:bottom w:w="0" w:type="dxa"/>
            <w:right w:w="108" w:type="dxa"/>
          </w:tblCellMar>
        </w:tblPrEx>
        <w:trPr>
          <w:trHeight w:val="458"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7D5D814D">
            <w:pPr>
              <w:ind w:firstLine="420"/>
              <w:jc w:val="center"/>
              <w:rPr>
                <w:rFonts w:hAnsi="宋体" w:cs="宋体"/>
                <w:b/>
                <w:szCs w:val="21"/>
              </w:rPr>
            </w:pPr>
            <w:r>
              <w:rPr>
                <w:rFonts w:hint="eastAsia" w:hAnsi="宋体" w:cs="宋体"/>
                <w:bCs/>
                <w:szCs w:val="21"/>
              </w:rPr>
              <w:t>甲方名称</w:t>
            </w:r>
          </w:p>
        </w:tc>
        <w:tc>
          <w:tcPr>
            <w:tcW w:w="6662" w:type="dxa"/>
            <w:gridSpan w:val="4"/>
            <w:tcBorders>
              <w:top w:val="single" w:color="auto" w:sz="4" w:space="0"/>
              <w:left w:val="nil"/>
              <w:bottom w:val="single" w:color="auto" w:sz="4" w:space="0"/>
              <w:right w:val="single" w:color="auto" w:sz="4" w:space="0"/>
            </w:tcBorders>
            <w:vAlign w:val="center"/>
          </w:tcPr>
          <w:p w14:paraId="0242A93C">
            <w:pPr>
              <w:ind w:firstLine="422"/>
              <w:jc w:val="center"/>
              <w:rPr>
                <w:rFonts w:hAnsi="宋体" w:cs="宋体"/>
                <w:b/>
                <w:szCs w:val="21"/>
              </w:rPr>
            </w:pPr>
          </w:p>
        </w:tc>
      </w:tr>
      <w:tr w14:paraId="61044752">
        <w:tblPrEx>
          <w:tblCellMar>
            <w:top w:w="0" w:type="dxa"/>
            <w:left w:w="108" w:type="dxa"/>
            <w:bottom w:w="0" w:type="dxa"/>
            <w:right w:w="108" w:type="dxa"/>
          </w:tblCellMar>
        </w:tblPrEx>
        <w:trPr>
          <w:trHeight w:val="458"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27192E92">
            <w:pPr>
              <w:ind w:firstLine="420"/>
              <w:jc w:val="center"/>
              <w:rPr>
                <w:rFonts w:hAnsi="宋体" w:cs="宋体"/>
                <w:b/>
                <w:szCs w:val="21"/>
              </w:rPr>
            </w:pPr>
            <w:r>
              <w:rPr>
                <w:rFonts w:hint="eastAsia" w:hAnsi="宋体" w:cs="宋体"/>
                <w:bCs/>
                <w:szCs w:val="21"/>
              </w:rPr>
              <w:t>供应商</w:t>
            </w:r>
            <w:r>
              <w:rPr>
                <w:rFonts w:hint="eastAsia" w:hAnsi="宋体" w:cs="宋体"/>
                <w:szCs w:val="21"/>
              </w:rPr>
              <w:t>名称</w:t>
            </w:r>
          </w:p>
        </w:tc>
        <w:tc>
          <w:tcPr>
            <w:tcW w:w="6662" w:type="dxa"/>
            <w:gridSpan w:val="4"/>
            <w:tcBorders>
              <w:top w:val="single" w:color="auto" w:sz="4" w:space="0"/>
              <w:left w:val="nil"/>
              <w:bottom w:val="single" w:color="auto" w:sz="4" w:space="0"/>
              <w:right w:val="single" w:color="auto" w:sz="4" w:space="0"/>
            </w:tcBorders>
            <w:vAlign w:val="center"/>
          </w:tcPr>
          <w:p w14:paraId="6079927A">
            <w:pPr>
              <w:ind w:firstLine="422"/>
              <w:jc w:val="center"/>
              <w:rPr>
                <w:rFonts w:hAnsi="宋体" w:cs="宋体"/>
                <w:b/>
                <w:szCs w:val="21"/>
              </w:rPr>
            </w:pPr>
          </w:p>
        </w:tc>
      </w:tr>
      <w:tr w14:paraId="63764DA5">
        <w:tblPrEx>
          <w:tblCellMar>
            <w:top w:w="0" w:type="dxa"/>
            <w:left w:w="108" w:type="dxa"/>
            <w:bottom w:w="0" w:type="dxa"/>
            <w:right w:w="108" w:type="dxa"/>
          </w:tblCellMar>
        </w:tblPrEx>
        <w:trPr>
          <w:trHeight w:val="458"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3B5BE1C6">
            <w:pPr>
              <w:ind w:firstLine="420"/>
              <w:jc w:val="center"/>
              <w:rPr>
                <w:rFonts w:hAnsi="宋体" w:cs="宋体"/>
                <w:b/>
                <w:szCs w:val="21"/>
              </w:rPr>
            </w:pPr>
            <w:r>
              <w:rPr>
                <w:rFonts w:hint="eastAsia" w:hAnsi="宋体" w:cs="宋体"/>
                <w:bCs/>
                <w:szCs w:val="21"/>
              </w:rPr>
              <w:t>供应服务内容</w:t>
            </w:r>
          </w:p>
        </w:tc>
        <w:tc>
          <w:tcPr>
            <w:tcW w:w="6662" w:type="dxa"/>
            <w:gridSpan w:val="4"/>
            <w:tcBorders>
              <w:top w:val="single" w:color="auto" w:sz="4" w:space="0"/>
              <w:left w:val="nil"/>
              <w:bottom w:val="single" w:color="auto" w:sz="4" w:space="0"/>
              <w:right w:val="single" w:color="auto" w:sz="4" w:space="0"/>
            </w:tcBorders>
            <w:vAlign w:val="center"/>
          </w:tcPr>
          <w:p w14:paraId="35CA4C2E">
            <w:pPr>
              <w:ind w:firstLine="422"/>
              <w:jc w:val="center"/>
              <w:rPr>
                <w:rFonts w:hAnsi="宋体" w:cs="宋体"/>
                <w:b/>
                <w:szCs w:val="21"/>
              </w:rPr>
            </w:pPr>
          </w:p>
        </w:tc>
      </w:tr>
      <w:tr w14:paraId="3666FA80">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14C0413B">
            <w:pPr>
              <w:jc w:val="center"/>
              <w:rPr>
                <w:rFonts w:hAnsi="宋体" w:cs="宋体"/>
                <w:b/>
                <w:szCs w:val="21"/>
              </w:rPr>
            </w:pPr>
            <w:r>
              <w:rPr>
                <w:rFonts w:hint="eastAsia" w:hAnsi="宋体" w:cs="宋体"/>
                <w:b/>
                <w:szCs w:val="21"/>
              </w:rPr>
              <w:t>序号</w:t>
            </w:r>
          </w:p>
        </w:tc>
        <w:tc>
          <w:tcPr>
            <w:tcW w:w="1788" w:type="dxa"/>
            <w:tcBorders>
              <w:top w:val="single" w:color="auto" w:sz="4" w:space="0"/>
              <w:left w:val="nil"/>
              <w:bottom w:val="single" w:color="auto" w:sz="4" w:space="0"/>
              <w:right w:val="single" w:color="auto" w:sz="4" w:space="0"/>
            </w:tcBorders>
            <w:vAlign w:val="center"/>
          </w:tcPr>
          <w:p w14:paraId="089A1995">
            <w:pPr>
              <w:jc w:val="center"/>
              <w:rPr>
                <w:rFonts w:hAnsi="宋体" w:cs="宋体"/>
                <w:b/>
                <w:szCs w:val="21"/>
              </w:rPr>
            </w:pPr>
            <w:r>
              <w:rPr>
                <w:rFonts w:hint="eastAsia" w:hAnsi="宋体" w:cs="宋体"/>
                <w:b/>
                <w:szCs w:val="21"/>
              </w:rPr>
              <w:t>履约评价内容</w:t>
            </w:r>
          </w:p>
        </w:tc>
        <w:tc>
          <w:tcPr>
            <w:tcW w:w="4282" w:type="dxa"/>
            <w:tcBorders>
              <w:top w:val="single" w:color="auto" w:sz="4" w:space="0"/>
              <w:left w:val="nil"/>
              <w:bottom w:val="single" w:color="auto" w:sz="4" w:space="0"/>
              <w:right w:val="single" w:color="auto" w:sz="4" w:space="0"/>
            </w:tcBorders>
            <w:vAlign w:val="center"/>
          </w:tcPr>
          <w:p w14:paraId="350CBC08">
            <w:pPr>
              <w:jc w:val="center"/>
              <w:rPr>
                <w:rFonts w:hAnsi="宋体" w:cs="宋体"/>
                <w:b/>
                <w:szCs w:val="21"/>
              </w:rPr>
            </w:pPr>
            <w:r>
              <w:rPr>
                <w:rFonts w:hint="eastAsia" w:hAnsi="宋体" w:cs="宋体"/>
                <w:b/>
                <w:szCs w:val="21"/>
              </w:rPr>
              <w:t>履约评分标准</w:t>
            </w:r>
          </w:p>
        </w:tc>
        <w:tc>
          <w:tcPr>
            <w:tcW w:w="855" w:type="dxa"/>
            <w:tcBorders>
              <w:top w:val="single" w:color="auto" w:sz="4" w:space="0"/>
              <w:left w:val="nil"/>
              <w:bottom w:val="single" w:color="auto" w:sz="4" w:space="0"/>
              <w:right w:val="single" w:color="auto" w:sz="4" w:space="0"/>
            </w:tcBorders>
            <w:vAlign w:val="center"/>
          </w:tcPr>
          <w:p w14:paraId="4A5A1DD3">
            <w:pPr>
              <w:jc w:val="center"/>
              <w:rPr>
                <w:rFonts w:hAnsi="宋体" w:cs="宋体"/>
                <w:b/>
                <w:szCs w:val="21"/>
              </w:rPr>
            </w:pPr>
            <w:r>
              <w:rPr>
                <w:rFonts w:hint="eastAsia" w:hAnsi="宋体" w:cs="宋体"/>
                <w:b/>
                <w:szCs w:val="21"/>
              </w:rPr>
              <w:t>分值</w:t>
            </w:r>
          </w:p>
        </w:tc>
        <w:tc>
          <w:tcPr>
            <w:tcW w:w="795" w:type="dxa"/>
            <w:tcBorders>
              <w:top w:val="single" w:color="auto" w:sz="4" w:space="0"/>
              <w:left w:val="nil"/>
              <w:bottom w:val="single" w:color="auto" w:sz="4" w:space="0"/>
              <w:right w:val="single" w:color="auto" w:sz="4" w:space="0"/>
            </w:tcBorders>
            <w:vAlign w:val="center"/>
          </w:tcPr>
          <w:p w14:paraId="42F6AD4C">
            <w:pPr>
              <w:jc w:val="center"/>
              <w:rPr>
                <w:rFonts w:hAnsi="宋体" w:cs="宋体"/>
                <w:b/>
                <w:szCs w:val="21"/>
              </w:rPr>
            </w:pPr>
            <w:r>
              <w:rPr>
                <w:rFonts w:hint="eastAsia" w:hAnsi="宋体" w:cs="宋体"/>
                <w:b/>
                <w:szCs w:val="21"/>
              </w:rPr>
              <w:t>评价得分</w:t>
            </w:r>
          </w:p>
        </w:tc>
        <w:tc>
          <w:tcPr>
            <w:tcW w:w="730" w:type="dxa"/>
            <w:tcBorders>
              <w:top w:val="single" w:color="auto" w:sz="4" w:space="0"/>
              <w:left w:val="nil"/>
              <w:bottom w:val="single" w:color="auto" w:sz="4" w:space="0"/>
              <w:right w:val="single" w:color="auto" w:sz="4" w:space="0"/>
            </w:tcBorders>
            <w:vAlign w:val="center"/>
          </w:tcPr>
          <w:p w14:paraId="550184C8">
            <w:pPr>
              <w:jc w:val="center"/>
              <w:rPr>
                <w:rFonts w:hAnsi="宋体" w:cs="宋体"/>
                <w:b/>
                <w:szCs w:val="21"/>
              </w:rPr>
            </w:pPr>
            <w:r>
              <w:rPr>
                <w:rFonts w:hint="eastAsia" w:hAnsi="宋体" w:cs="宋体"/>
                <w:b/>
                <w:szCs w:val="21"/>
              </w:rPr>
              <w:t>备注</w:t>
            </w:r>
          </w:p>
        </w:tc>
      </w:tr>
      <w:tr w14:paraId="0633A8B2">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660C43FB">
            <w:pPr>
              <w:jc w:val="center"/>
              <w:rPr>
                <w:rFonts w:hAnsi="宋体" w:cs="宋体"/>
                <w:szCs w:val="21"/>
              </w:rPr>
            </w:pPr>
            <w:r>
              <w:rPr>
                <w:rFonts w:hint="eastAsia" w:hAnsi="宋体" w:cs="宋体"/>
                <w:szCs w:val="21"/>
              </w:rPr>
              <w:t>1</w:t>
            </w:r>
          </w:p>
        </w:tc>
        <w:tc>
          <w:tcPr>
            <w:tcW w:w="1788" w:type="dxa"/>
            <w:tcBorders>
              <w:top w:val="single" w:color="auto" w:sz="4" w:space="0"/>
              <w:left w:val="nil"/>
              <w:bottom w:val="single" w:color="auto" w:sz="4" w:space="0"/>
              <w:right w:val="single" w:color="auto" w:sz="4" w:space="0"/>
            </w:tcBorders>
            <w:vAlign w:val="center"/>
          </w:tcPr>
          <w:p w14:paraId="60AEA9C1">
            <w:pPr>
              <w:jc w:val="center"/>
              <w:rPr>
                <w:rFonts w:hAnsi="宋体" w:cs="宋体"/>
                <w:szCs w:val="21"/>
              </w:rPr>
            </w:pPr>
            <w:r>
              <w:rPr>
                <w:rFonts w:hint="eastAsia" w:hAnsi="宋体" w:cs="宋体"/>
                <w:szCs w:val="21"/>
              </w:rPr>
              <w:t>试验情况</w:t>
            </w:r>
          </w:p>
        </w:tc>
        <w:tc>
          <w:tcPr>
            <w:tcW w:w="4282" w:type="dxa"/>
            <w:tcBorders>
              <w:top w:val="single" w:color="auto" w:sz="4" w:space="0"/>
              <w:left w:val="nil"/>
              <w:bottom w:val="single" w:color="auto" w:sz="4" w:space="0"/>
              <w:right w:val="single" w:color="auto" w:sz="4" w:space="0"/>
            </w:tcBorders>
            <w:vAlign w:val="center"/>
          </w:tcPr>
          <w:p w14:paraId="71425CEB">
            <w:pPr>
              <w:pStyle w:val="30"/>
              <w:ind w:firstLine="0" w:firstLineChars="0"/>
              <w:rPr>
                <w:rFonts w:hAnsi="宋体" w:cs="宋体"/>
                <w:szCs w:val="21"/>
              </w:rPr>
            </w:pPr>
            <w:r>
              <w:rPr>
                <w:rFonts w:hint="eastAsia" w:hAnsi="宋体" w:cs="宋体"/>
                <w:szCs w:val="21"/>
              </w:rPr>
              <w:t>1.未按合同检测项目清单完成试验，扣5分/项；2.未按《电力设备预防性试验规程》等相关规定和标准进行试验，扣5分/项；3.试验报告数据记录不清晰或缺失，扣5分/项；4.试验工具或人员准备不充分，延误停电时长，扣5分/项；5.试验完毕后未粘贴标签或标签不规范，扣5分/项。</w:t>
            </w:r>
          </w:p>
        </w:tc>
        <w:tc>
          <w:tcPr>
            <w:tcW w:w="855" w:type="dxa"/>
            <w:tcBorders>
              <w:top w:val="single" w:color="auto" w:sz="4" w:space="0"/>
              <w:left w:val="nil"/>
              <w:bottom w:val="single" w:color="auto" w:sz="4" w:space="0"/>
              <w:right w:val="single" w:color="auto" w:sz="4" w:space="0"/>
            </w:tcBorders>
            <w:vAlign w:val="center"/>
          </w:tcPr>
          <w:p w14:paraId="3EC3723E">
            <w:pPr>
              <w:jc w:val="center"/>
              <w:rPr>
                <w:rFonts w:hAnsi="宋体" w:cs="宋体"/>
                <w:szCs w:val="21"/>
              </w:rPr>
            </w:pPr>
            <w:r>
              <w:rPr>
                <w:rFonts w:hint="eastAsia" w:hAnsi="宋体" w:cs="宋体"/>
                <w:szCs w:val="21"/>
              </w:rPr>
              <w:t>50分</w:t>
            </w:r>
          </w:p>
        </w:tc>
        <w:tc>
          <w:tcPr>
            <w:tcW w:w="795" w:type="dxa"/>
            <w:tcBorders>
              <w:top w:val="single" w:color="auto" w:sz="4" w:space="0"/>
              <w:left w:val="nil"/>
              <w:bottom w:val="single" w:color="auto" w:sz="4" w:space="0"/>
              <w:right w:val="single" w:color="auto" w:sz="4" w:space="0"/>
            </w:tcBorders>
            <w:vAlign w:val="center"/>
          </w:tcPr>
          <w:p w14:paraId="184A50D8">
            <w:pPr>
              <w:jc w:val="center"/>
              <w:rPr>
                <w:rFonts w:hAnsi="宋体" w:cs="宋体"/>
                <w:b/>
                <w:szCs w:val="21"/>
              </w:rPr>
            </w:pPr>
          </w:p>
        </w:tc>
        <w:tc>
          <w:tcPr>
            <w:tcW w:w="730" w:type="dxa"/>
            <w:tcBorders>
              <w:top w:val="single" w:color="auto" w:sz="4" w:space="0"/>
              <w:left w:val="nil"/>
              <w:bottom w:val="single" w:color="auto" w:sz="4" w:space="0"/>
              <w:right w:val="single" w:color="auto" w:sz="4" w:space="0"/>
            </w:tcBorders>
            <w:vAlign w:val="center"/>
          </w:tcPr>
          <w:p w14:paraId="7648124C">
            <w:pPr>
              <w:jc w:val="center"/>
              <w:rPr>
                <w:rFonts w:hAnsi="宋体" w:cs="宋体"/>
                <w:b/>
                <w:szCs w:val="21"/>
              </w:rPr>
            </w:pPr>
          </w:p>
        </w:tc>
      </w:tr>
      <w:tr w14:paraId="136ABB59">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2E61805F">
            <w:pPr>
              <w:jc w:val="center"/>
              <w:rPr>
                <w:rFonts w:hAnsi="宋体" w:cs="宋体"/>
                <w:szCs w:val="21"/>
              </w:rPr>
            </w:pPr>
            <w:r>
              <w:rPr>
                <w:rFonts w:hint="eastAsia" w:hAnsi="宋体" w:cs="宋体"/>
                <w:szCs w:val="21"/>
              </w:rPr>
              <w:t>2</w:t>
            </w:r>
          </w:p>
        </w:tc>
        <w:tc>
          <w:tcPr>
            <w:tcW w:w="1788" w:type="dxa"/>
            <w:tcBorders>
              <w:top w:val="single" w:color="auto" w:sz="4" w:space="0"/>
              <w:left w:val="nil"/>
              <w:bottom w:val="single" w:color="auto" w:sz="4" w:space="0"/>
              <w:right w:val="single" w:color="auto" w:sz="4" w:space="0"/>
            </w:tcBorders>
            <w:vAlign w:val="center"/>
          </w:tcPr>
          <w:p w14:paraId="027449A0">
            <w:pPr>
              <w:jc w:val="center"/>
              <w:rPr>
                <w:rFonts w:hAnsi="宋体" w:cs="宋体"/>
                <w:szCs w:val="21"/>
              </w:rPr>
            </w:pPr>
            <w:r>
              <w:rPr>
                <w:rFonts w:hint="eastAsia" w:hAnsi="宋体" w:cs="宋体"/>
                <w:szCs w:val="21"/>
              </w:rPr>
              <w:t>问题反馈情况</w:t>
            </w:r>
          </w:p>
        </w:tc>
        <w:tc>
          <w:tcPr>
            <w:tcW w:w="4282" w:type="dxa"/>
            <w:tcBorders>
              <w:top w:val="single" w:color="auto" w:sz="4" w:space="0"/>
              <w:left w:val="nil"/>
              <w:bottom w:val="single" w:color="auto" w:sz="4" w:space="0"/>
              <w:right w:val="single" w:color="auto" w:sz="4" w:space="0"/>
            </w:tcBorders>
            <w:vAlign w:val="center"/>
          </w:tcPr>
          <w:p w14:paraId="3D1BB898">
            <w:pPr>
              <w:rPr>
                <w:rFonts w:hAnsi="宋体" w:cs="宋体"/>
                <w:szCs w:val="21"/>
              </w:rPr>
            </w:pPr>
            <w:r>
              <w:rPr>
                <w:rFonts w:hint="eastAsia" w:hAnsi="宋体" w:cs="宋体"/>
                <w:szCs w:val="21"/>
              </w:rPr>
              <w:t>1.未及时、主动反馈试验过程中存在的问题，扣2分/项。</w:t>
            </w:r>
          </w:p>
        </w:tc>
        <w:tc>
          <w:tcPr>
            <w:tcW w:w="855" w:type="dxa"/>
            <w:tcBorders>
              <w:top w:val="single" w:color="auto" w:sz="4" w:space="0"/>
              <w:left w:val="nil"/>
              <w:bottom w:val="single" w:color="auto" w:sz="4" w:space="0"/>
              <w:right w:val="single" w:color="auto" w:sz="4" w:space="0"/>
            </w:tcBorders>
            <w:vAlign w:val="center"/>
          </w:tcPr>
          <w:p w14:paraId="266C87D7">
            <w:pPr>
              <w:jc w:val="center"/>
              <w:rPr>
                <w:rFonts w:hAnsi="宋体" w:cs="宋体"/>
                <w:szCs w:val="21"/>
              </w:rPr>
            </w:pPr>
            <w:r>
              <w:rPr>
                <w:rFonts w:hint="eastAsia" w:hAnsi="宋体" w:cs="宋体"/>
                <w:szCs w:val="21"/>
              </w:rPr>
              <w:t>10分</w:t>
            </w:r>
          </w:p>
        </w:tc>
        <w:tc>
          <w:tcPr>
            <w:tcW w:w="795" w:type="dxa"/>
            <w:tcBorders>
              <w:top w:val="single" w:color="auto" w:sz="4" w:space="0"/>
              <w:left w:val="nil"/>
              <w:bottom w:val="single" w:color="auto" w:sz="4" w:space="0"/>
              <w:right w:val="single" w:color="auto" w:sz="4" w:space="0"/>
            </w:tcBorders>
            <w:vAlign w:val="center"/>
          </w:tcPr>
          <w:p w14:paraId="166E0A07">
            <w:pPr>
              <w:jc w:val="center"/>
              <w:rPr>
                <w:rFonts w:hAnsi="宋体" w:cs="宋体"/>
                <w:szCs w:val="21"/>
              </w:rPr>
            </w:pPr>
          </w:p>
        </w:tc>
        <w:tc>
          <w:tcPr>
            <w:tcW w:w="730" w:type="dxa"/>
            <w:tcBorders>
              <w:top w:val="single" w:color="auto" w:sz="4" w:space="0"/>
              <w:left w:val="nil"/>
              <w:bottom w:val="single" w:color="auto" w:sz="4" w:space="0"/>
              <w:right w:val="single" w:color="auto" w:sz="4" w:space="0"/>
            </w:tcBorders>
          </w:tcPr>
          <w:p w14:paraId="3C57996A">
            <w:pPr>
              <w:jc w:val="center"/>
              <w:rPr>
                <w:rFonts w:hAnsi="宋体" w:cs="宋体"/>
                <w:szCs w:val="21"/>
              </w:rPr>
            </w:pPr>
          </w:p>
        </w:tc>
      </w:tr>
      <w:tr w14:paraId="69834DD0">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1D7B1096">
            <w:pPr>
              <w:jc w:val="center"/>
              <w:rPr>
                <w:rFonts w:hAnsi="宋体" w:cs="宋体"/>
                <w:szCs w:val="21"/>
              </w:rPr>
            </w:pPr>
            <w:r>
              <w:rPr>
                <w:rFonts w:hint="eastAsia" w:hAnsi="宋体" w:cs="宋体"/>
                <w:szCs w:val="21"/>
              </w:rPr>
              <w:t>3</w:t>
            </w:r>
          </w:p>
        </w:tc>
        <w:tc>
          <w:tcPr>
            <w:tcW w:w="1788" w:type="dxa"/>
            <w:tcBorders>
              <w:top w:val="single" w:color="auto" w:sz="4" w:space="0"/>
              <w:left w:val="nil"/>
              <w:bottom w:val="single" w:color="auto" w:sz="4" w:space="0"/>
              <w:right w:val="single" w:color="auto" w:sz="4" w:space="0"/>
            </w:tcBorders>
            <w:vAlign w:val="center"/>
          </w:tcPr>
          <w:p w14:paraId="0AA6B396">
            <w:pPr>
              <w:jc w:val="center"/>
              <w:rPr>
                <w:rFonts w:hAnsi="宋体" w:cs="宋体"/>
                <w:szCs w:val="21"/>
              </w:rPr>
            </w:pPr>
            <w:r>
              <w:rPr>
                <w:rFonts w:hint="eastAsia" w:hAnsi="宋体" w:cs="宋体"/>
                <w:szCs w:val="21"/>
              </w:rPr>
              <w:t>整改协助情况</w:t>
            </w:r>
          </w:p>
        </w:tc>
        <w:tc>
          <w:tcPr>
            <w:tcW w:w="4282" w:type="dxa"/>
            <w:tcBorders>
              <w:top w:val="single" w:color="auto" w:sz="4" w:space="0"/>
              <w:left w:val="nil"/>
              <w:bottom w:val="single" w:color="auto" w:sz="4" w:space="0"/>
              <w:right w:val="single" w:color="auto" w:sz="4" w:space="0"/>
            </w:tcBorders>
            <w:vAlign w:val="center"/>
          </w:tcPr>
          <w:p w14:paraId="0F560593">
            <w:pPr>
              <w:rPr>
                <w:rFonts w:hAnsi="宋体" w:cs="宋体"/>
                <w:szCs w:val="21"/>
              </w:rPr>
            </w:pPr>
            <w:r>
              <w:rPr>
                <w:rFonts w:hint="eastAsia" w:hAnsi="宋体" w:cs="宋体"/>
                <w:szCs w:val="21"/>
              </w:rPr>
              <w:t>1.未提供合理整改建议，扣2分/项；2.整改完成后未提供试验合格的报告，扣20分。</w:t>
            </w:r>
          </w:p>
        </w:tc>
        <w:tc>
          <w:tcPr>
            <w:tcW w:w="855" w:type="dxa"/>
            <w:tcBorders>
              <w:top w:val="single" w:color="auto" w:sz="4" w:space="0"/>
              <w:left w:val="nil"/>
              <w:bottom w:val="single" w:color="auto" w:sz="4" w:space="0"/>
              <w:right w:val="single" w:color="auto" w:sz="4" w:space="0"/>
            </w:tcBorders>
            <w:vAlign w:val="center"/>
          </w:tcPr>
          <w:p w14:paraId="1646BB19">
            <w:pPr>
              <w:jc w:val="center"/>
              <w:rPr>
                <w:rFonts w:hAnsi="宋体" w:cs="宋体"/>
                <w:szCs w:val="21"/>
              </w:rPr>
            </w:pPr>
            <w:r>
              <w:rPr>
                <w:rFonts w:hint="eastAsia" w:hAnsi="宋体" w:cs="宋体"/>
                <w:szCs w:val="21"/>
              </w:rPr>
              <w:t>20分</w:t>
            </w:r>
          </w:p>
        </w:tc>
        <w:tc>
          <w:tcPr>
            <w:tcW w:w="795" w:type="dxa"/>
            <w:tcBorders>
              <w:top w:val="single" w:color="auto" w:sz="4" w:space="0"/>
              <w:left w:val="nil"/>
              <w:bottom w:val="single" w:color="auto" w:sz="4" w:space="0"/>
              <w:right w:val="single" w:color="auto" w:sz="4" w:space="0"/>
            </w:tcBorders>
            <w:vAlign w:val="center"/>
          </w:tcPr>
          <w:p w14:paraId="3C26CE0F">
            <w:pPr>
              <w:jc w:val="center"/>
              <w:rPr>
                <w:rFonts w:hAnsi="宋体" w:cs="宋体"/>
                <w:szCs w:val="21"/>
              </w:rPr>
            </w:pPr>
          </w:p>
        </w:tc>
        <w:tc>
          <w:tcPr>
            <w:tcW w:w="730" w:type="dxa"/>
            <w:tcBorders>
              <w:top w:val="single" w:color="auto" w:sz="4" w:space="0"/>
              <w:left w:val="nil"/>
              <w:bottom w:val="single" w:color="auto" w:sz="4" w:space="0"/>
              <w:right w:val="single" w:color="auto" w:sz="4" w:space="0"/>
            </w:tcBorders>
          </w:tcPr>
          <w:p w14:paraId="01AE1BE2">
            <w:pPr>
              <w:jc w:val="center"/>
              <w:rPr>
                <w:rFonts w:hAnsi="宋体" w:cs="宋体"/>
                <w:szCs w:val="21"/>
              </w:rPr>
            </w:pPr>
          </w:p>
        </w:tc>
      </w:tr>
      <w:tr w14:paraId="4FE8777D">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23E31C52">
            <w:pPr>
              <w:jc w:val="center"/>
              <w:rPr>
                <w:rFonts w:hAnsi="宋体" w:cs="宋体"/>
                <w:szCs w:val="21"/>
              </w:rPr>
            </w:pPr>
            <w:r>
              <w:rPr>
                <w:rFonts w:hint="eastAsia" w:hAnsi="宋体" w:cs="宋体"/>
                <w:szCs w:val="21"/>
              </w:rPr>
              <w:t>6</w:t>
            </w:r>
          </w:p>
        </w:tc>
        <w:tc>
          <w:tcPr>
            <w:tcW w:w="1788" w:type="dxa"/>
            <w:tcBorders>
              <w:top w:val="single" w:color="auto" w:sz="4" w:space="0"/>
              <w:left w:val="nil"/>
              <w:bottom w:val="single" w:color="auto" w:sz="4" w:space="0"/>
              <w:right w:val="single" w:color="auto" w:sz="4" w:space="0"/>
            </w:tcBorders>
            <w:vAlign w:val="center"/>
          </w:tcPr>
          <w:p w14:paraId="19ABA383">
            <w:pPr>
              <w:jc w:val="center"/>
              <w:rPr>
                <w:rFonts w:hAnsi="宋体" w:cs="宋体"/>
                <w:szCs w:val="21"/>
              </w:rPr>
            </w:pPr>
            <w:r>
              <w:rPr>
                <w:rFonts w:hint="eastAsia" w:hAnsi="宋体" w:cs="宋体"/>
                <w:szCs w:val="21"/>
              </w:rPr>
              <w:t>安全作业</w:t>
            </w:r>
          </w:p>
        </w:tc>
        <w:tc>
          <w:tcPr>
            <w:tcW w:w="4282" w:type="dxa"/>
            <w:tcBorders>
              <w:top w:val="single" w:color="auto" w:sz="4" w:space="0"/>
              <w:left w:val="nil"/>
              <w:bottom w:val="single" w:color="auto" w:sz="4" w:space="0"/>
              <w:right w:val="single" w:color="auto" w:sz="4" w:space="0"/>
            </w:tcBorders>
            <w:vAlign w:val="center"/>
          </w:tcPr>
          <w:p w14:paraId="70656BDA">
            <w:pPr>
              <w:rPr>
                <w:rFonts w:hAnsi="宋体" w:cs="宋体"/>
                <w:szCs w:val="21"/>
              </w:rPr>
            </w:pPr>
            <w:r>
              <w:rPr>
                <w:rFonts w:hint="eastAsia" w:hAnsi="宋体" w:cs="宋体"/>
                <w:szCs w:val="21"/>
              </w:rPr>
              <w:t>1.试验过程中未按规范穿戴防护手套、安全帽、安全吊带等安全用具扣2分/项；2.未严格执行高空作业、特种设备操作、用电安全等相关规范，扣10分。</w:t>
            </w:r>
          </w:p>
        </w:tc>
        <w:tc>
          <w:tcPr>
            <w:tcW w:w="855" w:type="dxa"/>
            <w:tcBorders>
              <w:top w:val="single" w:color="auto" w:sz="4" w:space="0"/>
              <w:left w:val="nil"/>
              <w:bottom w:val="single" w:color="auto" w:sz="4" w:space="0"/>
              <w:right w:val="single" w:color="auto" w:sz="4" w:space="0"/>
            </w:tcBorders>
            <w:vAlign w:val="center"/>
          </w:tcPr>
          <w:p w14:paraId="48A3C49B">
            <w:pPr>
              <w:jc w:val="center"/>
              <w:rPr>
                <w:rFonts w:hAnsi="宋体" w:cs="宋体"/>
                <w:szCs w:val="21"/>
              </w:rPr>
            </w:pPr>
            <w:r>
              <w:rPr>
                <w:rFonts w:hint="eastAsia" w:hAnsi="宋体" w:cs="宋体"/>
                <w:szCs w:val="21"/>
              </w:rPr>
              <w:t>10分</w:t>
            </w:r>
          </w:p>
        </w:tc>
        <w:tc>
          <w:tcPr>
            <w:tcW w:w="795" w:type="dxa"/>
            <w:tcBorders>
              <w:top w:val="single" w:color="auto" w:sz="4" w:space="0"/>
              <w:left w:val="nil"/>
              <w:bottom w:val="single" w:color="auto" w:sz="4" w:space="0"/>
              <w:right w:val="single" w:color="auto" w:sz="4" w:space="0"/>
            </w:tcBorders>
            <w:vAlign w:val="center"/>
          </w:tcPr>
          <w:p w14:paraId="6CC029B2">
            <w:pPr>
              <w:jc w:val="center"/>
              <w:rPr>
                <w:rFonts w:hAnsi="宋体" w:cs="宋体"/>
                <w:szCs w:val="21"/>
              </w:rPr>
            </w:pPr>
          </w:p>
        </w:tc>
        <w:tc>
          <w:tcPr>
            <w:tcW w:w="730" w:type="dxa"/>
            <w:tcBorders>
              <w:top w:val="single" w:color="auto" w:sz="4" w:space="0"/>
              <w:left w:val="nil"/>
              <w:bottom w:val="single" w:color="auto" w:sz="4" w:space="0"/>
              <w:right w:val="single" w:color="auto" w:sz="4" w:space="0"/>
            </w:tcBorders>
          </w:tcPr>
          <w:p w14:paraId="2E484222">
            <w:pPr>
              <w:jc w:val="center"/>
              <w:rPr>
                <w:rFonts w:hAnsi="宋体" w:cs="宋体"/>
                <w:szCs w:val="21"/>
              </w:rPr>
            </w:pPr>
          </w:p>
        </w:tc>
      </w:tr>
      <w:tr w14:paraId="63B929F7">
        <w:tblPrEx>
          <w:tblCellMar>
            <w:top w:w="0" w:type="dxa"/>
            <w:left w:w="108" w:type="dxa"/>
            <w:bottom w:w="0" w:type="dxa"/>
            <w:right w:w="108" w:type="dxa"/>
          </w:tblCellMar>
        </w:tblPrEx>
        <w:trPr>
          <w:trHeight w:val="45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14:paraId="4CC39D40">
            <w:pPr>
              <w:jc w:val="center"/>
              <w:rPr>
                <w:rFonts w:hAnsi="宋体" w:cs="宋体"/>
                <w:szCs w:val="21"/>
              </w:rPr>
            </w:pPr>
            <w:r>
              <w:rPr>
                <w:rFonts w:hint="eastAsia" w:hAnsi="宋体" w:cs="宋体"/>
                <w:szCs w:val="21"/>
              </w:rPr>
              <w:t>7</w:t>
            </w:r>
          </w:p>
        </w:tc>
        <w:tc>
          <w:tcPr>
            <w:tcW w:w="1788" w:type="dxa"/>
            <w:tcBorders>
              <w:top w:val="single" w:color="auto" w:sz="4" w:space="0"/>
              <w:left w:val="nil"/>
              <w:bottom w:val="single" w:color="auto" w:sz="4" w:space="0"/>
              <w:right w:val="single" w:color="auto" w:sz="4" w:space="0"/>
            </w:tcBorders>
            <w:vAlign w:val="center"/>
          </w:tcPr>
          <w:p w14:paraId="7A5DDB30">
            <w:pPr>
              <w:jc w:val="center"/>
              <w:rPr>
                <w:rFonts w:hAnsi="宋体" w:cs="宋体"/>
                <w:szCs w:val="21"/>
              </w:rPr>
            </w:pPr>
            <w:r>
              <w:rPr>
                <w:rFonts w:hint="eastAsia" w:hAnsi="宋体" w:cs="宋体"/>
                <w:szCs w:val="21"/>
              </w:rPr>
              <w:t>沟通配合情况</w:t>
            </w:r>
          </w:p>
        </w:tc>
        <w:tc>
          <w:tcPr>
            <w:tcW w:w="4282" w:type="dxa"/>
            <w:tcBorders>
              <w:top w:val="single" w:color="auto" w:sz="4" w:space="0"/>
              <w:left w:val="nil"/>
              <w:bottom w:val="single" w:color="auto" w:sz="4" w:space="0"/>
              <w:right w:val="single" w:color="auto" w:sz="4" w:space="0"/>
            </w:tcBorders>
            <w:vAlign w:val="center"/>
          </w:tcPr>
          <w:p w14:paraId="527678CA">
            <w:pPr>
              <w:rPr>
                <w:rFonts w:hAnsi="宋体" w:cs="宋体"/>
                <w:szCs w:val="21"/>
              </w:rPr>
            </w:pPr>
            <w:r>
              <w:rPr>
                <w:rFonts w:hint="eastAsia" w:hAnsi="宋体" w:cs="宋体"/>
                <w:szCs w:val="21"/>
              </w:rPr>
              <w:t>1.未提前一周或以上与项目负责人沟通具体实施时间与细节，扣5分；2.未按计划实施时间进行试验，扣5分。</w:t>
            </w:r>
          </w:p>
        </w:tc>
        <w:tc>
          <w:tcPr>
            <w:tcW w:w="855" w:type="dxa"/>
            <w:tcBorders>
              <w:top w:val="single" w:color="auto" w:sz="4" w:space="0"/>
              <w:left w:val="nil"/>
              <w:bottom w:val="single" w:color="auto" w:sz="4" w:space="0"/>
              <w:right w:val="single" w:color="auto" w:sz="4" w:space="0"/>
            </w:tcBorders>
            <w:vAlign w:val="center"/>
          </w:tcPr>
          <w:p w14:paraId="2DF08B23">
            <w:pPr>
              <w:jc w:val="center"/>
              <w:rPr>
                <w:rFonts w:hAnsi="宋体" w:cs="宋体"/>
                <w:szCs w:val="21"/>
              </w:rPr>
            </w:pPr>
            <w:r>
              <w:rPr>
                <w:rFonts w:hint="eastAsia" w:hAnsi="宋体" w:cs="宋体"/>
                <w:szCs w:val="21"/>
              </w:rPr>
              <w:t>10分</w:t>
            </w:r>
          </w:p>
        </w:tc>
        <w:tc>
          <w:tcPr>
            <w:tcW w:w="795" w:type="dxa"/>
            <w:tcBorders>
              <w:top w:val="single" w:color="auto" w:sz="4" w:space="0"/>
              <w:left w:val="nil"/>
              <w:bottom w:val="single" w:color="auto" w:sz="4" w:space="0"/>
              <w:right w:val="single" w:color="auto" w:sz="4" w:space="0"/>
            </w:tcBorders>
            <w:vAlign w:val="center"/>
          </w:tcPr>
          <w:p w14:paraId="7A039359">
            <w:pPr>
              <w:jc w:val="center"/>
              <w:rPr>
                <w:rFonts w:hAnsi="宋体" w:cs="宋体"/>
                <w:szCs w:val="21"/>
              </w:rPr>
            </w:pPr>
          </w:p>
        </w:tc>
        <w:tc>
          <w:tcPr>
            <w:tcW w:w="730" w:type="dxa"/>
            <w:tcBorders>
              <w:top w:val="single" w:color="auto" w:sz="4" w:space="0"/>
              <w:left w:val="nil"/>
              <w:bottom w:val="single" w:color="auto" w:sz="4" w:space="0"/>
              <w:right w:val="single" w:color="auto" w:sz="4" w:space="0"/>
            </w:tcBorders>
          </w:tcPr>
          <w:p w14:paraId="399089F3">
            <w:pPr>
              <w:jc w:val="center"/>
              <w:rPr>
                <w:rFonts w:hAnsi="宋体" w:cs="宋体"/>
                <w:szCs w:val="21"/>
              </w:rPr>
            </w:pPr>
          </w:p>
        </w:tc>
      </w:tr>
      <w:tr w14:paraId="0DAB4434">
        <w:tblPrEx>
          <w:tblCellMar>
            <w:top w:w="0" w:type="dxa"/>
            <w:left w:w="108" w:type="dxa"/>
            <w:bottom w:w="0" w:type="dxa"/>
            <w:right w:w="108" w:type="dxa"/>
          </w:tblCellMar>
        </w:tblPrEx>
        <w:trPr>
          <w:trHeight w:val="458" w:hRule="atLeast"/>
          <w:jc w:val="center"/>
        </w:trPr>
        <w:tc>
          <w:tcPr>
            <w:tcW w:w="6734" w:type="dxa"/>
            <w:gridSpan w:val="3"/>
            <w:tcBorders>
              <w:top w:val="single" w:color="auto" w:sz="4" w:space="0"/>
              <w:left w:val="single" w:color="auto" w:sz="4" w:space="0"/>
              <w:bottom w:val="single" w:color="auto" w:sz="4" w:space="0"/>
              <w:right w:val="single" w:color="auto" w:sz="4" w:space="0"/>
            </w:tcBorders>
            <w:noWrap/>
            <w:vAlign w:val="center"/>
          </w:tcPr>
          <w:p w14:paraId="0BFCF59B">
            <w:pPr>
              <w:jc w:val="center"/>
              <w:rPr>
                <w:rFonts w:hAnsi="宋体" w:cs="宋体"/>
                <w:szCs w:val="21"/>
              </w:rPr>
            </w:pPr>
            <w:r>
              <w:rPr>
                <w:rFonts w:hint="eastAsia" w:hAnsi="宋体" w:cs="宋体"/>
                <w:szCs w:val="21"/>
              </w:rPr>
              <w:t>合计</w:t>
            </w:r>
          </w:p>
        </w:tc>
        <w:tc>
          <w:tcPr>
            <w:tcW w:w="855" w:type="dxa"/>
            <w:tcBorders>
              <w:top w:val="single" w:color="auto" w:sz="4" w:space="0"/>
              <w:left w:val="nil"/>
              <w:bottom w:val="single" w:color="auto" w:sz="4" w:space="0"/>
              <w:right w:val="single" w:color="auto" w:sz="4" w:space="0"/>
            </w:tcBorders>
            <w:vAlign w:val="center"/>
          </w:tcPr>
          <w:p w14:paraId="746C0A57">
            <w:pPr>
              <w:jc w:val="center"/>
              <w:rPr>
                <w:rFonts w:hAnsi="宋体" w:cs="宋体"/>
                <w:szCs w:val="21"/>
              </w:rPr>
            </w:pPr>
            <w:r>
              <w:rPr>
                <w:rFonts w:hint="eastAsia" w:hAnsi="宋体" w:cs="宋体"/>
                <w:szCs w:val="21"/>
              </w:rPr>
              <w:t>100分</w:t>
            </w:r>
          </w:p>
        </w:tc>
        <w:tc>
          <w:tcPr>
            <w:tcW w:w="795" w:type="dxa"/>
            <w:tcBorders>
              <w:top w:val="single" w:color="auto" w:sz="4" w:space="0"/>
              <w:left w:val="nil"/>
              <w:bottom w:val="single" w:color="auto" w:sz="4" w:space="0"/>
              <w:right w:val="single" w:color="auto" w:sz="4" w:space="0"/>
            </w:tcBorders>
            <w:vAlign w:val="center"/>
          </w:tcPr>
          <w:p w14:paraId="165BE4B9">
            <w:pPr>
              <w:jc w:val="center"/>
              <w:rPr>
                <w:rFonts w:hAnsi="宋体" w:cs="宋体"/>
                <w:szCs w:val="21"/>
              </w:rPr>
            </w:pPr>
          </w:p>
        </w:tc>
        <w:tc>
          <w:tcPr>
            <w:tcW w:w="730" w:type="dxa"/>
            <w:tcBorders>
              <w:top w:val="single" w:color="auto" w:sz="4" w:space="0"/>
              <w:left w:val="nil"/>
              <w:bottom w:val="single" w:color="auto" w:sz="4" w:space="0"/>
              <w:right w:val="single" w:color="auto" w:sz="4" w:space="0"/>
            </w:tcBorders>
          </w:tcPr>
          <w:p w14:paraId="243703D7">
            <w:pPr>
              <w:jc w:val="center"/>
              <w:rPr>
                <w:rFonts w:hAnsi="宋体" w:cs="宋体"/>
                <w:szCs w:val="21"/>
              </w:rPr>
            </w:pPr>
          </w:p>
        </w:tc>
      </w:tr>
      <w:tr w14:paraId="138B1B9F">
        <w:tblPrEx>
          <w:tblCellMar>
            <w:top w:w="0" w:type="dxa"/>
            <w:left w:w="108" w:type="dxa"/>
            <w:bottom w:w="0" w:type="dxa"/>
            <w:right w:w="108" w:type="dxa"/>
          </w:tblCellMar>
        </w:tblPrEx>
        <w:trPr>
          <w:trHeight w:val="698"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1DEEB2D4">
            <w:pPr>
              <w:jc w:val="center"/>
              <w:rPr>
                <w:rFonts w:hAnsi="宋体" w:cs="宋体"/>
                <w:szCs w:val="21"/>
              </w:rPr>
            </w:pPr>
            <w:r>
              <w:rPr>
                <w:rFonts w:hint="eastAsia" w:hAnsi="宋体" w:cs="宋体"/>
                <w:szCs w:val="21"/>
              </w:rPr>
              <w:t>考核结论</w:t>
            </w:r>
          </w:p>
        </w:tc>
        <w:tc>
          <w:tcPr>
            <w:tcW w:w="6662" w:type="dxa"/>
            <w:gridSpan w:val="4"/>
            <w:tcBorders>
              <w:top w:val="single" w:color="auto" w:sz="4" w:space="0"/>
              <w:left w:val="nil"/>
              <w:bottom w:val="single" w:color="auto" w:sz="4" w:space="0"/>
              <w:right w:val="single" w:color="auto" w:sz="4" w:space="0"/>
            </w:tcBorders>
            <w:vAlign w:val="center"/>
          </w:tcPr>
          <w:p w14:paraId="0F323A07">
            <w:pPr>
              <w:rPr>
                <w:szCs w:val="21"/>
              </w:rPr>
            </w:pPr>
            <w:r>
              <w:rPr>
                <w:rFonts w:hint="eastAsia" w:hAnsi="宋体" w:cs="宋体"/>
                <w:bCs/>
                <w:szCs w:val="21"/>
              </w:rPr>
              <w:t>□合计得分不低于80分，支付全额服务费</w:t>
            </w:r>
          </w:p>
          <w:p w14:paraId="31721944">
            <w:pPr>
              <w:rPr>
                <w:rFonts w:hAnsi="宋体" w:cs="宋体"/>
                <w:bCs/>
                <w:szCs w:val="21"/>
                <w:u w:val="single"/>
              </w:rPr>
            </w:pPr>
            <w:r>
              <w:rPr>
                <w:rFonts w:hint="eastAsia" w:hAnsi="宋体" w:cs="宋体"/>
                <w:bCs/>
                <w:szCs w:val="21"/>
              </w:rPr>
              <w:t>□合计得分低于80分，达到60分的，支付____%服务费</w:t>
            </w:r>
          </w:p>
          <w:p w14:paraId="411403E8">
            <w:pPr>
              <w:rPr>
                <w:rFonts w:hAnsi="宋体" w:cs="宋体"/>
                <w:bCs/>
                <w:szCs w:val="21"/>
                <w:u w:val="single"/>
              </w:rPr>
            </w:pPr>
            <w:r>
              <w:rPr>
                <w:rFonts w:hint="eastAsia" w:hAnsi="宋体" w:cs="宋体"/>
                <w:bCs/>
                <w:szCs w:val="21"/>
              </w:rPr>
              <w:t>□合计得分低于60分，无需支付服务费</w:t>
            </w:r>
          </w:p>
          <w:p w14:paraId="5351389E">
            <w:pPr>
              <w:rPr>
                <w:rFonts w:hAnsi="宋体" w:cs="宋体"/>
                <w:bCs/>
                <w:szCs w:val="21"/>
                <w:u w:val="single"/>
              </w:rPr>
            </w:pPr>
            <w:r>
              <w:rPr>
                <w:rFonts w:hint="eastAsia" w:hAnsi="宋体" w:cs="宋体"/>
                <w:bCs/>
                <w:szCs w:val="21"/>
                <w:u w:val="single"/>
              </w:rPr>
              <w:t xml:space="preserve">补充说明：                                         </w:t>
            </w:r>
          </w:p>
        </w:tc>
      </w:tr>
      <w:tr w14:paraId="2C685C10">
        <w:tblPrEx>
          <w:tblCellMar>
            <w:top w:w="0" w:type="dxa"/>
            <w:left w:w="108" w:type="dxa"/>
            <w:bottom w:w="0" w:type="dxa"/>
            <w:right w:w="108" w:type="dxa"/>
          </w:tblCellMar>
        </w:tblPrEx>
        <w:trPr>
          <w:trHeight w:val="458" w:hRule="atLeast"/>
          <w:jc w:val="center"/>
        </w:trPr>
        <w:tc>
          <w:tcPr>
            <w:tcW w:w="245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85DEE6F">
            <w:pPr>
              <w:jc w:val="center"/>
              <w:rPr>
                <w:rFonts w:hAnsi="宋体" w:cs="宋体"/>
                <w:szCs w:val="21"/>
              </w:rPr>
            </w:pPr>
            <w:r>
              <w:rPr>
                <w:rFonts w:hint="eastAsia" w:hAnsi="宋体" w:cs="宋体"/>
                <w:szCs w:val="21"/>
              </w:rPr>
              <w:t>履约考核意见及签署</w:t>
            </w:r>
          </w:p>
        </w:tc>
        <w:tc>
          <w:tcPr>
            <w:tcW w:w="6662" w:type="dxa"/>
            <w:gridSpan w:val="4"/>
            <w:tcBorders>
              <w:top w:val="single" w:color="auto" w:sz="4" w:space="0"/>
              <w:left w:val="nil"/>
              <w:bottom w:val="single" w:color="auto" w:sz="4" w:space="0"/>
              <w:right w:val="single" w:color="auto" w:sz="4" w:space="0"/>
            </w:tcBorders>
            <w:vAlign w:val="center"/>
          </w:tcPr>
          <w:p w14:paraId="5F83FEDF">
            <w:pPr>
              <w:rPr>
                <w:rFonts w:hAnsi="宋体" w:cs="宋体"/>
                <w:szCs w:val="21"/>
              </w:rPr>
            </w:pPr>
            <w:r>
              <w:rPr>
                <w:rFonts w:hint="eastAsia" w:hAnsi="宋体" w:cs="宋体"/>
                <w:szCs w:val="21"/>
              </w:rPr>
              <w:t>经办人：</w:t>
            </w:r>
          </w:p>
        </w:tc>
      </w:tr>
      <w:tr w14:paraId="5761EA0C">
        <w:tblPrEx>
          <w:tblCellMar>
            <w:top w:w="0" w:type="dxa"/>
            <w:left w:w="108" w:type="dxa"/>
            <w:bottom w:w="0" w:type="dxa"/>
            <w:right w:w="108" w:type="dxa"/>
          </w:tblCellMar>
        </w:tblPrEx>
        <w:trPr>
          <w:trHeight w:val="458" w:hRule="atLeast"/>
          <w:jc w:val="center"/>
        </w:trPr>
        <w:tc>
          <w:tcPr>
            <w:tcW w:w="2452"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D672F3C">
            <w:pPr>
              <w:ind w:firstLine="420"/>
              <w:jc w:val="center"/>
              <w:rPr>
                <w:rFonts w:hAnsi="宋体" w:cs="宋体"/>
                <w:szCs w:val="21"/>
              </w:rPr>
            </w:pPr>
          </w:p>
        </w:tc>
        <w:tc>
          <w:tcPr>
            <w:tcW w:w="6662" w:type="dxa"/>
            <w:gridSpan w:val="4"/>
            <w:tcBorders>
              <w:top w:val="single" w:color="auto" w:sz="4" w:space="0"/>
              <w:left w:val="nil"/>
              <w:bottom w:val="single" w:color="auto" w:sz="4" w:space="0"/>
              <w:right w:val="single" w:color="auto" w:sz="4" w:space="0"/>
            </w:tcBorders>
            <w:vAlign w:val="center"/>
          </w:tcPr>
          <w:p w14:paraId="013F2943">
            <w:pPr>
              <w:rPr>
                <w:rFonts w:hAnsi="宋体" w:cs="宋体"/>
                <w:szCs w:val="21"/>
              </w:rPr>
            </w:pPr>
            <w:r>
              <w:rPr>
                <w:rFonts w:hint="eastAsia" w:hAnsi="宋体" w:cs="宋体"/>
                <w:szCs w:val="21"/>
              </w:rPr>
              <w:t>运营项目负责人：</w:t>
            </w:r>
          </w:p>
        </w:tc>
      </w:tr>
      <w:tr w14:paraId="22B43884">
        <w:tblPrEx>
          <w:tblCellMar>
            <w:top w:w="0" w:type="dxa"/>
            <w:left w:w="108" w:type="dxa"/>
            <w:bottom w:w="0" w:type="dxa"/>
            <w:right w:w="108" w:type="dxa"/>
          </w:tblCellMar>
        </w:tblPrEx>
        <w:trPr>
          <w:trHeight w:val="458" w:hRule="atLeast"/>
          <w:jc w:val="center"/>
        </w:trPr>
        <w:tc>
          <w:tcPr>
            <w:tcW w:w="2452" w:type="dxa"/>
            <w:gridSpan w:val="2"/>
            <w:tcBorders>
              <w:top w:val="single" w:color="auto" w:sz="4" w:space="0"/>
              <w:left w:val="single" w:color="auto" w:sz="4" w:space="0"/>
              <w:bottom w:val="single" w:color="auto" w:sz="4" w:space="0"/>
              <w:right w:val="single" w:color="auto" w:sz="4" w:space="0"/>
            </w:tcBorders>
            <w:noWrap/>
            <w:vAlign w:val="center"/>
          </w:tcPr>
          <w:p w14:paraId="55470EDB">
            <w:pPr>
              <w:ind w:firstLine="0"/>
              <w:jc w:val="both"/>
              <w:rPr>
                <w:rFonts w:hint="default" w:hAnsi="宋体" w:eastAsia="宋体" w:cs="宋体"/>
                <w:szCs w:val="21"/>
                <w:lang w:val="en-US" w:eastAsia="zh-CN"/>
              </w:rPr>
            </w:pPr>
            <w:r>
              <w:rPr>
                <w:rFonts w:hint="eastAsia" w:hAnsi="宋体" w:cs="宋体"/>
                <w:szCs w:val="21"/>
                <w:lang w:val="en-US" w:eastAsia="zh-CN"/>
              </w:rPr>
              <w:t>供应商意见及签署</w:t>
            </w:r>
          </w:p>
        </w:tc>
        <w:tc>
          <w:tcPr>
            <w:tcW w:w="6662" w:type="dxa"/>
            <w:gridSpan w:val="4"/>
            <w:tcBorders>
              <w:top w:val="single" w:color="auto" w:sz="4" w:space="0"/>
              <w:left w:val="nil"/>
              <w:bottom w:val="single" w:color="auto" w:sz="4" w:space="0"/>
              <w:right w:val="single" w:color="auto" w:sz="4" w:space="0"/>
            </w:tcBorders>
            <w:vAlign w:val="center"/>
          </w:tcPr>
          <w:p w14:paraId="0D68A21D">
            <w:pPr>
              <w:rPr>
                <w:rFonts w:hint="eastAsia" w:hAnsi="宋体" w:cs="宋体"/>
                <w:szCs w:val="21"/>
              </w:rPr>
            </w:pPr>
          </w:p>
        </w:tc>
      </w:tr>
    </w:tbl>
    <w:p w14:paraId="2420B0D2">
      <w:pPr>
        <w:spacing w:line="420" w:lineRule="exact"/>
        <w:rPr>
          <w:rFonts w:hint="eastAsia" w:ascii="仿宋_GB2312" w:hAnsi="仿宋_GB2312" w:eastAsia="仿宋_GB2312" w:cs="仿宋_GB2312"/>
          <w:b w:val="0"/>
          <w:bCs w:val="0"/>
        </w:rPr>
      </w:pPr>
    </w:p>
    <w:p w14:paraId="7D356777">
      <w:pPr>
        <w:spacing w:line="240" w:lineRule="auto"/>
        <w:rPr>
          <w:rFonts w:hint="eastAsia" w:ascii="仿宋_GB2312" w:hAnsi="仿宋_GB2312" w:eastAsia="仿宋_GB2312" w:cs="仿宋_GB2312"/>
          <w:b w:val="0"/>
          <w:bCs w:val="0"/>
        </w:rPr>
      </w:pPr>
      <w:r>
        <w:rPr>
          <w:rFonts w:hint="eastAsia" w:ascii="仿宋_GB2312" w:hAnsi="仿宋_GB2312" w:eastAsia="仿宋_GB2312" w:cs="仿宋_GB2312"/>
          <w:b w:val="0"/>
          <w:bCs w:val="0"/>
        </w:rPr>
        <w:br w:type="page"/>
      </w:r>
    </w:p>
    <w:p w14:paraId="1E5B333C">
      <w:pPr>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附件4：</w:t>
      </w:r>
      <w:r>
        <w:rPr>
          <w:rFonts w:hint="eastAsia" w:ascii="仿宋_GB2312" w:hAnsi="仿宋_GB2312" w:eastAsia="仿宋_GB2312" w:cs="仿宋_GB2312"/>
          <w:b w:val="0"/>
          <w:bCs w:val="0"/>
        </w:rPr>
        <w:t>安全生产管理协议</w:t>
      </w:r>
    </w:p>
    <w:p w14:paraId="612296A1">
      <w:pPr>
        <w:jc w:val="center"/>
        <w:rPr>
          <w:rFonts w:hint="eastAsia" w:ascii="仿宋_GB2312" w:hAnsi="仿宋" w:eastAsia="仿宋_GB2312" w:cs="仿宋"/>
          <w:b/>
          <w:bCs/>
          <w:color w:val="000000" w:themeColor="text1"/>
          <w:sz w:val="36"/>
          <w:szCs w:val="36"/>
          <w:lang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3FC050AD">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688C3629">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hint="eastAsia" w:hAnsi="宋体" w:cs="宋体"/>
          <w:szCs w:val="21"/>
        </w:rPr>
        <w:t>东莞市</w:t>
      </w:r>
      <w:r>
        <w:rPr>
          <w:rFonts w:hint="eastAsia" w:hAnsi="宋体" w:cs="宋体"/>
          <w:szCs w:val="21"/>
          <w:lang w:val="en-US" w:eastAsia="zh-CN"/>
        </w:rPr>
        <w:t>石鼓净水</w:t>
      </w:r>
      <w:r>
        <w:rPr>
          <w:rFonts w:hint="eastAsia" w:hAnsi="宋体" w:cs="宋体"/>
          <w:szCs w:val="21"/>
        </w:rPr>
        <w:t>有限公司</w:t>
      </w:r>
    </w:p>
    <w:p w14:paraId="7AD93EE1">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413023BD">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4D4228C2">
      <w:pPr>
        <w:spacing w:line="360" w:lineRule="auto"/>
        <w:rPr>
          <w:rFonts w:hint="default" w:ascii="仿宋_GB2312" w:hAnsi="仿宋" w:eastAsia="仿宋_GB2312" w:cs="仿宋"/>
          <w:color w:val="000000" w:themeColor="text1"/>
          <w:sz w:val="28"/>
          <w:szCs w:val="28"/>
          <w:u w:val="single"/>
          <w:lang w:val="en-US" w:eastAsia="zh-CN"/>
          <w14:textFill>
            <w14:solidFill>
              <w14:schemeClr w14:val="tx1"/>
            </w14:solidFill>
          </w14:textFill>
        </w:rPr>
      </w:pPr>
    </w:p>
    <w:p w14:paraId="255A8A71">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7D7A7A1">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540F64E1">
      <w:pPr>
        <w:spacing w:line="360" w:lineRule="auto"/>
        <w:rPr>
          <w:rFonts w:hint="default"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B51DFD7">
      <w:pPr>
        <w:spacing w:line="360" w:lineRule="auto"/>
        <w:rPr>
          <w:rFonts w:ascii="仿宋_GB2312" w:hAnsi="仿宋" w:eastAsia="仿宋_GB2312" w:cs="仿宋"/>
          <w:color w:val="000000" w:themeColor="text1"/>
          <w:sz w:val="28"/>
          <w:szCs w:val="28"/>
          <w14:textFill>
            <w14:solidFill>
              <w14:schemeClr w14:val="tx1"/>
            </w14:solidFill>
          </w14:textFill>
        </w:rPr>
      </w:pPr>
    </w:p>
    <w:p w14:paraId="47741CD8">
      <w:pPr>
        <w:pStyle w:val="9"/>
        <w:spacing w:line="276" w:lineRule="auto"/>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59C608A0">
      <w:pPr>
        <w:autoSpaceDE/>
        <w:autoSpaceDN/>
        <w:adjustRightInd/>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14:textFill>
            <w14:solidFill>
              <w14:schemeClr w14:val="tx1"/>
            </w14:solidFill>
          </w14:textFill>
        </w:rPr>
        <w:t>东莞市石鼓净水有限公司万江厂二期2026年高低压配电系统预防性试验服务项目</w:t>
      </w:r>
    </w:p>
    <w:p w14:paraId="06D11240">
      <w:pPr>
        <w:autoSpaceDE/>
        <w:autoSpaceDN/>
        <w:adjustRightInd/>
        <w:spacing w:line="500" w:lineRule="exact"/>
        <w:ind w:firstLine="560" w:firstLineChars="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项目地点：</w:t>
      </w:r>
      <w:r>
        <w:rPr>
          <w:rFonts w:hint="eastAsia" w:ascii="仿宋" w:hAnsi="仿宋" w:eastAsia="仿宋" w:cs="仿宋"/>
          <w:color w:val="000000" w:themeColor="text1"/>
          <w:sz w:val="28"/>
          <w:szCs w:val="28"/>
          <w:u w:val="single"/>
          <w14:textFill>
            <w14:solidFill>
              <w14:schemeClr w14:val="tx1"/>
            </w14:solidFill>
          </w14:textFill>
        </w:rPr>
        <w:t>东莞市万江街道流涌尾社区白水涡万江污水处理厂二期</w:t>
      </w:r>
      <w:r>
        <w:rPr>
          <w:rFonts w:ascii="仿宋" w:hAnsi="仿宋" w:eastAsia="仿宋" w:cs="仿宋"/>
          <w:color w:val="000000" w:themeColor="text1"/>
          <w:sz w:val="28"/>
          <w:szCs w:val="28"/>
          <w14:textFill>
            <w14:solidFill>
              <w14:schemeClr w14:val="tx1"/>
            </w14:solidFill>
          </w14:textFill>
        </w:rPr>
        <w:t xml:space="preserve">                                                   </w:t>
      </w:r>
    </w:p>
    <w:p w14:paraId="016BF1A6">
      <w:pPr>
        <w:autoSpaceDE/>
        <w:autoSpaceDN/>
        <w:adjustRightInd/>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hint="eastAsia" w:ascii="仿宋" w:hAnsi="仿宋" w:eastAsia="仿宋" w:cs="仿宋"/>
          <w:color w:val="000000" w:themeColor="text1"/>
          <w:sz w:val="28"/>
          <w:szCs w:val="28"/>
          <w:u w:val="single"/>
          <w14:textFill>
            <w14:solidFill>
              <w14:schemeClr w14:val="tx1"/>
            </w14:solidFill>
          </w14:textFill>
        </w:rPr>
        <w:t>自本合同签订之日始至本合同权利义务履行完毕时止。</w:t>
      </w:r>
    </w:p>
    <w:p w14:paraId="003B3053">
      <w:pPr>
        <w:autoSpaceDE/>
        <w:autoSpaceDN/>
        <w:adjustRightInd/>
        <w:spacing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14:paraId="2E1B37F9">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81BAE19">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14:paraId="3EC0BCE8">
      <w:pPr>
        <w:spacing w:before="44"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14:paraId="524AB1C2">
      <w:pPr>
        <w:autoSpaceDE/>
        <w:autoSpaceDN/>
        <w:adjustRightInd/>
        <w:spacing w:line="276" w:lineRule="auto"/>
        <w:ind w:firstLine="600" w:firstLineChars="200"/>
        <w:jc w:val="both"/>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30"/>
          <w:szCs w:val="30"/>
          <w:lang w:eastAsia="zh-CN"/>
          <w14:textFill>
            <w14:solidFill>
              <w14:schemeClr w14:val="tx1"/>
            </w14:solidFill>
          </w14:textFill>
        </w:rPr>
        <w:t>。</w:t>
      </w:r>
    </w:p>
    <w:p w14:paraId="3D46525C">
      <w:pPr>
        <w:numPr>
          <w:ilvl w:val="255"/>
          <w:numId w:val="0"/>
        </w:numPr>
        <w:autoSpaceDE/>
        <w:autoSpaceDN/>
        <w:adjustRightInd/>
        <w:spacing w:line="5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14:paraId="2AFFED60">
      <w:pPr>
        <w:numPr>
          <w:ilvl w:val="0"/>
          <w:numId w:val="5"/>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以下简称“相关方”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。主要包括： </w:t>
      </w:r>
    </w:p>
    <w:p w14:paraId="58732A57">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（1）依照与公司订立的有关合同，在公司内从事基建、设</w:t>
      </w:r>
    </w:p>
    <w:p w14:paraId="4E48C23D">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446376C1">
      <w:pPr>
        <w:numPr>
          <w:ilvl w:val="0"/>
          <w:numId w:val="6"/>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7D08D1D6">
      <w:pPr>
        <w:numPr>
          <w:ilvl w:val="0"/>
          <w:numId w:val="6"/>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32B1A288">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121DF40E">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72C9AD94">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643F9065">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w:t>
      </w:r>
      <w:r>
        <w:rPr>
          <w:rFonts w:hint="eastAsia" w:ascii="仿宋" w:hAnsi="仿宋" w:eastAsia="仿宋" w:cs="仿宋"/>
          <w:color w:val="000000" w:themeColor="text1"/>
          <w:sz w:val="30"/>
          <w:szCs w:val="30"/>
          <w:lang w:val="en-US" w:eastAsia="zh-CN"/>
          <w14:textFill>
            <w14:solidFill>
              <w14:schemeClr w14:val="tx1"/>
            </w14:solidFill>
          </w14:textFill>
        </w:rPr>
        <w:t>相关方的的日常考勤管理，严格遵守厂区对进出人员的管理要求。</w:t>
      </w:r>
    </w:p>
    <w:p w14:paraId="76084AE9">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作业场所配备</w:t>
      </w:r>
      <w:r>
        <w:rPr>
          <w:rFonts w:hint="eastAsia" w:ascii="仿宋" w:hAnsi="仿宋" w:eastAsia="仿宋" w:cs="仿宋"/>
          <w:color w:val="000000" w:themeColor="text1"/>
          <w:sz w:val="30"/>
          <w:szCs w:val="30"/>
          <w:lang w:val="en-US" w:eastAsia="zh-CN"/>
          <w14:textFill>
            <w14:solidFill>
              <w14:schemeClr w14:val="tx1"/>
            </w14:solidFill>
          </w14:textFill>
        </w:rPr>
        <w:t>专职或兼职</w:t>
      </w:r>
      <w:r>
        <w:rPr>
          <w:rFonts w:hint="eastAsia" w:ascii="仿宋" w:hAnsi="仿宋" w:eastAsia="仿宋" w:cs="仿宋"/>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30"/>
          <w:szCs w:val="30"/>
          <w:lang w:val="en-US" w:eastAsia="zh-CN"/>
          <w14:textFill>
            <w14:solidFill>
              <w14:schemeClr w14:val="tx1"/>
            </w14:solidFill>
          </w14:textFill>
        </w:rPr>
        <w:t>进行维修作业</w:t>
      </w:r>
      <w:r>
        <w:rPr>
          <w:rFonts w:hint="eastAsia" w:ascii="仿宋" w:hAnsi="仿宋" w:eastAsia="仿宋" w:cs="仿宋"/>
          <w:color w:val="000000" w:themeColor="text1"/>
          <w:sz w:val="30"/>
          <w:szCs w:val="30"/>
          <w14:textFill>
            <w14:solidFill>
              <w14:schemeClr w14:val="tx1"/>
            </w14:solidFill>
          </w14:textFill>
        </w:rPr>
        <w:t>等其他可能存在危险的作业前需由</w:t>
      </w:r>
      <w:r>
        <w:rPr>
          <w:rFonts w:hint="eastAsia" w:ascii="仿宋" w:hAnsi="仿宋" w:eastAsia="仿宋" w:cs="仿宋"/>
          <w:color w:val="000000" w:themeColor="text1"/>
          <w:sz w:val="30"/>
          <w:szCs w:val="30"/>
          <w:lang w:val="en-US" w:eastAsia="zh-CN"/>
          <w14:textFill>
            <w14:solidFill>
              <w14:schemeClr w14:val="tx1"/>
            </w14:solidFill>
          </w14:textFill>
        </w:rPr>
        <w:t>乙方的</w:t>
      </w:r>
      <w:r>
        <w:rPr>
          <w:rFonts w:hint="eastAsia" w:ascii="仿宋" w:hAnsi="仿宋" w:eastAsia="仿宋" w:cs="仿宋"/>
          <w:color w:val="000000" w:themeColor="text1"/>
          <w:sz w:val="30"/>
          <w:szCs w:val="30"/>
          <w14:textFill>
            <w14:solidFill>
              <w14:schemeClr w14:val="tx1"/>
            </w14:solidFill>
          </w14:textFill>
        </w:rPr>
        <w:t>带班</w:t>
      </w:r>
      <w:r>
        <w:rPr>
          <w:rFonts w:hint="eastAsia" w:ascii="仿宋" w:hAnsi="仿宋" w:eastAsia="仿宋" w:cs="仿宋"/>
          <w:color w:val="000000" w:themeColor="text1"/>
          <w:sz w:val="30"/>
          <w:szCs w:val="30"/>
          <w:lang w:val="en-US" w:eastAsia="zh-CN"/>
          <w14:textFill>
            <w14:solidFill>
              <w14:schemeClr w14:val="tx1"/>
            </w14:solidFill>
          </w14:textFill>
        </w:rPr>
        <w:t>人员</w:t>
      </w:r>
      <w:r>
        <w:rPr>
          <w:rFonts w:hint="eastAsia" w:ascii="仿宋" w:hAnsi="仿宋" w:eastAsia="仿宋" w:cs="仿宋"/>
          <w:color w:val="000000" w:themeColor="text1"/>
          <w:sz w:val="30"/>
          <w:szCs w:val="30"/>
          <w14:textFill>
            <w14:solidFill>
              <w14:schemeClr w14:val="tx1"/>
            </w14:solidFill>
          </w14:textFill>
        </w:rPr>
        <w:t>对作业人员进行安全交底。</w:t>
      </w:r>
    </w:p>
    <w:p w14:paraId="6C07B51E">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432B14B5">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14:paraId="37C80AD8">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64BB598E">
      <w:pPr>
        <w:numPr>
          <w:ilvl w:val="0"/>
          <w:numId w:val="5"/>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4CB4E55B">
      <w:pPr>
        <w:numPr>
          <w:ilvl w:val="0"/>
          <w:numId w:val="5"/>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642FBB6A">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097107B7">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58954361">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C96F23E">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5FF4210C">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30"/>
          <w:szCs w:val="30"/>
          <w:lang w:val="en-US" w:eastAsia="zh-CN"/>
          <w14:textFill>
            <w14:solidFill>
              <w14:schemeClr w14:val="tx1"/>
            </w14:solidFill>
          </w14:textFill>
        </w:rPr>
        <w:t>单方</w:t>
      </w:r>
      <w:r>
        <w:rPr>
          <w:rFonts w:hint="eastAsia" w:ascii="仿宋" w:hAnsi="仿宋" w:eastAsia="仿宋" w:cs="仿宋"/>
          <w:color w:val="000000" w:themeColor="text1"/>
          <w:sz w:val="30"/>
          <w:szCs w:val="30"/>
          <w14:textFill>
            <w14:solidFill>
              <w14:schemeClr w14:val="tx1"/>
            </w14:solidFill>
          </w14:textFill>
        </w:rPr>
        <w:t>解除合同，并要求乙方清退出场。</w:t>
      </w:r>
    </w:p>
    <w:p w14:paraId="7BAE4077">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1BBFA811">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w:t>
      </w:r>
      <w:r>
        <w:rPr>
          <w:rFonts w:hint="eastAsia" w:ascii="仿宋" w:hAnsi="仿宋" w:eastAsia="仿宋" w:cs="仿宋"/>
          <w:color w:val="000000" w:themeColor="text1"/>
          <w:sz w:val="30"/>
          <w:szCs w:val="30"/>
          <w:lang w:val="en-US" w:eastAsia="zh-CN"/>
          <w14:textFill>
            <w14:solidFill>
              <w14:schemeClr w14:val="tx1"/>
            </w14:solidFill>
          </w14:textFill>
        </w:rPr>
        <w:t>作业人员在甲方区域内</w:t>
      </w:r>
      <w:r>
        <w:rPr>
          <w:rFonts w:hint="eastAsia" w:ascii="仿宋" w:hAnsi="仿宋" w:eastAsia="仿宋" w:cs="仿宋"/>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754BBE2B">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73C27EF7">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1725B32A">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3B44342D">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14:paraId="139B0117">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431C8AEA">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14:paraId="2EC9C19A">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14:paraId="0DE86BCC">
      <w:pPr>
        <w:spacing w:line="276" w:lineRule="auto"/>
        <w:ind w:left="600" w:leftChars="250" w:firstLine="0"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hint="default" w:ascii="仿宋" w:hAnsi="仿宋" w:eastAsia="仿宋" w:cs="仿宋"/>
          <w:color w:val="000000" w:themeColor="text1"/>
          <w:sz w:val="30"/>
          <w:szCs w:val="30"/>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lang w:val="en-US" w:eastAsia="zh-CN"/>
          <w14:textFill>
            <w14:solidFill>
              <w14:schemeClr w14:val="tx1"/>
            </w14:solidFill>
          </w14:textFill>
        </w:rPr>
        <w:t>；</w:t>
      </w:r>
    </w:p>
    <w:p w14:paraId="79039FAA">
      <w:pPr>
        <w:spacing w:line="276" w:lineRule="auto"/>
        <w:ind w:left="0" w:leftChars="0" w:firstLine="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严禁</w:t>
      </w:r>
      <w:r>
        <w:rPr>
          <w:rFonts w:hint="eastAsia" w:ascii="仿宋" w:hAnsi="仿宋" w:eastAsia="仿宋" w:cs="仿宋"/>
          <w:color w:val="000000" w:themeColor="text1"/>
          <w:sz w:val="30"/>
          <w:szCs w:val="30"/>
          <w14:textFill>
            <w14:solidFill>
              <w14:schemeClr w14:val="tx1"/>
            </w14:solidFill>
          </w14:textFill>
        </w:rPr>
        <w:t>占用、堵塞、遮掩、挪用、损毁、破坏</w:t>
      </w:r>
      <w:r>
        <w:rPr>
          <w:rFonts w:hint="eastAsia" w:ascii="仿宋" w:hAnsi="仿宋" w:eastAsia="仿宋" w:cs="仿宋"/>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30"/>
          <w:szCs w:val="30"/>
          <w14:textFill>
            <w14:solidFill>
              <w14:schemeClr w14:val="tx1"/>
            </w14:solidFill>
          </w14:textFill>
        </w:rPr>
        <w:t>。</w:t>
      </w:r>
    </w:p>
    <w:p w14:paraId="318CE11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14:paraId="2C89B02A">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2E499649">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14:paraId="0F73004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14:paraId="4B070AE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80BA186">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23D441E5">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4DD83B5">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2D0E3429">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第三条，</w:t>
      </w:r>
      <w:r>
        <w:rPr>
          <w:rFonts w:hint="eastAsia" w:ascii="仿宋" w:hAnsi="仿宋" w:eastAsia="仿宋" w:cs="仿宋"/>
          <w:color w:val="000000" w:themeColor="text1"/>
          <w:sz w:val="30"/>
          <w:szCs w:val="30"/>
          <w14:textFill>
            <w14:solidFill>
              <w14:schemeClr w14:val="tx1"/>
            </w14:solidFill>
          </w14:textFill>
        </w:rPr>
        <w:t>协议实施条款</w:t>
      </w:r>
      <w:r>
        <w:rPr>
          <w:rFonts w:hint="eastAsia" w:ascii="仿宋" w:hAnsi="仿宋" w:eastAsia="仿宋" w:cs="仿宋"/>
          <w:color w:val="000000" w:themeColor="text1"/>
          <w:sz w:val="30"/>
          <w:szCs w:val="30"/>
          <w:lang w:eastAsia="zh-CN"/>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762EF63F">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30"/>
          <w:szCs w:val="30"/>
          <w:lang w:val="en-US" w:eastAsia="zh-CN"/>
          <w14:textFill>
            <w14:solidFill>
              <w14:schemeClr w14:val="tx1"/>
            </w14:solidFill>
          </w14:textFill>
        </w:rPr>
        <w:t>甲方有权要求</w:t>
      </w:r>
      <w:r>
        <w:rPr>
          <w:rFonts w:hint="eastAsia" w:ascii="仿宋" w:hAnsi="仿宋" w:eastAsia="仿宋" w:cs="仿宋"/>
          <w:color w:val="000000" w:themeColor="text1"/>
          <w:sz w:val="30"/>
          <w:szCs w:val="30"/>
          <w14:textFill>
            <w14:solidFill>
              <w14:schemeClr w14:val="tx1"/>
            </w14:solidFill>
          </w14:textFill>
        </w:rPr>
        <w:t>乙方向甲方支付</w:t>
      </w:r>
      <w:r>
        <w:rPr>
          <w:rFonts w:hint="eastAsia" w:ascii="仿宋" w:hAnsi="仿宋" w:eastAsia="仿宋" w:cs="仿宋"/>
          <w:color w:val="000000" w:themeColor="text1"/>
          <w:sz w:val="30"/>
          <w:szCs w:val="30"/>
          <w:lang w:val="en-US" w:eastAsia="zh-CN"/>
          <w14:textFill>
            <w14:solidFill>
              <w14:schemeClr w14:val="tx1"/>
            </w14:solidFill>
          </w14:textFill>
        </w:rPr>
        <w:t>本合同总金额的10%</w:t>
      </w:r>
      <w:r>
        <w:rPr>
          <w:rFonts w:hint="eastAsia" w:ascii="仿宋" w:hAnsi="仿宋" w:eastAsia="仿宋" w:cs="仿宋"/>
          <w:color w:val="000000" w:themeColor="text1"/>
          <w:sz w:val="30"/>
          <w:szCs w:val="30"/>
          <w14:textFill>
            <w14:solidFill>
              <w14:schemeClr w14:val="tx1"/>
            </w14:solidFill>
          </w14:textFill>
        </w:rPr>
        <w:t>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14:paraId="2F076CE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04628D39">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3117799E">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14:paraId="40755DD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14:paraId="3D92F9F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14:paraId="42F8802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14:paraId="3BF33EE9">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14:paraId="5F20E64A">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14:paraId="103C652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14:paraId="7B88913A">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乙方需</w:t>
      </w:r>
      <w:r>
        <w:rPr>
          <w:rFonts w:hint="eastAsia" w:ascii="仿宋" w:hAnsi="仿宋" w:eastAsia="仿宋" w:cs="仿宋"/>
          <w:color w:val="000000" w:themeColor="text1"/>
          <w:sz w:val="30"/>
          <w:szCs w:val="30"/>
          <w14:textFill>
            <w14:solidFill>
              <w14:schemeClr w14:val="tx1"/>
            </w14:solidFill>
          </w14:textFill>
        </w:rPr>
        <w:t>做好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作业安全保障工作，</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6B6B0F30">
      <w:pPr>
        <w:numPr>
          <w:ilvl w:val="0"/>
          <w:numId w:val="7"/>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作业时，需设一名或以上监护人员</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作业</w:t>
      </w:r>
      <w:r>
        <w:rPr>
          <w:rFonts w:hint="eastAsia" w:ascii="仿宋" w:hAnsi="仿宋" w:eastAsia="仿宋" w:cs="仿宋"/>
          <w:color w:val="000000" w:themeColor="text1"/>
          <w:sz w:val="30"/>
          <w:szCs w:val="30"/>
          <w14:textFill>
            <w14:solidFill>
              <w14:schemeClr w14:val="tx1"/>
            </w14:solidFill>
          </w14:textFill>
        </w:rPr>
        <w:t>存在</w:t>
      </w:r>
      <w:r>
        <w:rPr>
          <w:rFonts w:hint="eastAsia" w:ascii="仿宋" w:hAnsi="仿宋" w:eastAsia="仿宋" w:cs="仿宋"/>
          <w:color w:val="000000" w:themeColor="text1"/>
          <w:sz w:val="30"/>
          <w:szCs w:val="30"/>
          <w:lang w:val="en-US" w:eastAsia="zh-CN"/>
          <w14:textFill>
            <w14:solidFill>
              <w14:schemeClr w14:val="tx1"/>
            </w14:solidFill>
          </w14:textFill>
        </w:rPr>
        <w:t>多种</w:t>
      </w:r>
      <w:r>
        <w:rPr>
          <w:rFonts w:hint="eastAsia" w:ascii="仿宋" w:hAnsi="仿宋" w:eastAsia="仿宋" w:cs="仿宋"/>
          <w:color w:val="000000" w:themeColor="text1"/>
          <w:sz w:val="30"/>
          <w:szCs w:val="30"/>
          <w14:textFill>
            <w14:solidFill>
              <w14:schemeClr w14:val="tx1"/>
            </w14:solidFill>
          </w14:textFill>
        </w:rPr>
        <w:t>危险作业</w:t>
      </w:r>
      <w:r>
        <w:rPr>
          <w:rFonts w:hint="eastAsia" w:ascii="仿宋" w:hAnsi="仿宋" w:eastAsia="仿宋" w:cs="仿宋"/>
          <w:color w:val="000000" w:themeColor="text1"/>
          <w:sz w:val="30"/>
          <w:szCs w:val="30"/>
          <w:lang w:val="en-US" w:eastAsia="zh-CN"/>
          <w14:textFill>
            <w14:solidFill>
              <w14:schemeClr w14:val="tx1"/>
            </w14:solidFill>
          </w14:textFill>
        </w:rPr>
        <w:t>情况下，</w:t>
      </w:r>
      <w:r>
        <w:rPr>
          <w:rFonts w:hint="eastAsia" w:ascii="仿宋" w:hAnsi="仿宋" w:eastAsia="仿宋" w:cs="仿宋"/>
          <w:color w:val="000000" w:themeColor="text1"/>
          <w:sz w:val="30"/>
          <w:szCs w:val="30"/>
          <w14:textFill>
            <w14:solidFill>
              <w14:schemeClr w14:val="tx1"/>
            </w14:solidFill>
          </w14:textFill>
        </w:rPr>
        <w:t>需严格落实2人或2人以上为一组协同作业</w:t>
      </w:r>
      <w:r>
        <w:rPr>
          <w:rFonts w:hint="eastAsia" w:ascii="仿宋" w:hAnsi="仿宋" w:eastAsia="仿宋" w:cs="仿宋"/>
          <w:color w:val="000000" w:themeColor="text1"/>
          <w:sz w:val="30"/>
          <w:szCs w:val="30"/>
          <w:lang w:val="en-US" w:eastAsia="zh-CN"/>
          <w14:textFill>
            <w14:solidFill>
              <w14:schemeClr w14:val="tx1"/>
            </w14:solidFill>
          </w14:textFill>
        </w:rPr>
        <w:t>或交替作业</w:t>
      </w:r>
      <w:r>
        <w:rPr>
          <w:rFonts w:hint="eastAsia" w:ascii="仿宋" w:hAnsi="仿宋" w:eastAsia="仿宋" w:cs="仿宋"/>
          <w:color w:val="000000" w:themeColor="text1"/>
          <w:sz w:val="30"/>
          <w:szCs w:val="30"/>
          <w14:textFill>
            <w14:solidFill>
              <w14:schemeClr w14:val="tx1"/>
            </w14:solidFill>
          </w14:textFill>
        </w:rPr>
        <w:t>，不能单独作业。</w:t>
      </w:r>
    </w:p>
    <w:p w14:paraId="0B336084">
      <w:pPr>
        <w:numPr>
          <w:ilvl w:val="0"/>
          <w:numId w:val="7"/>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14:paraId="21E341C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5A705D5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）如遇阴雨及大雾、雷暴雨、台风等恶劣天气，禁止危险作业。</w:t>
      </w:r>
    </w:p>
    <w:p w14:paraId="3E533ED2">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14:paraId="44313547">
      <w:pPr>
        <w:numPr>
          <w:ilvl w:val="0"/>
          <w:numId w:val="5"/>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肆 </w:t>
      </w:r>
      <w:r>
        <w:rPr>
          <w:rFonts w:hint="eastAsia" w:ascii="仿宋" w:hAnsi="仿宋" w:eastAsia="仿宋" w:cs="仿宋"/>
          <w:color w:val="000000" w:themeColor="text1"/>
          <w:sz w:val="30"/>
          <w:szCs w:val="30"/>
          <w14:textFill>
            <w14:solidFill>
              <w14:schemeClr w14:val="tx1"/>
            </w14:solidFill>
          </w14:textFill>
        </w:rPr>
        <w:t>份，</w:t>
      </w:r>
      <w:r>
        <w:rPr>
          <w:rFonts w:hint="default" w:ascii="Times New Roman" w:hAnsi="Times New Roman" w:eastAsia="仿宋" w:cs="Times New Roman"/>
          <w:sz w:val="28"/>
          <w:szCs w:val="28"/>
        </w:rPr>
        <w:t>甲方执</w:t>
      </w:r>
      <w:r>
        <w:rPr>
          <w:rFonts w:hint="eastAsia" w:ascii="Times New Roman" w:eastAsia="仿宋" w:cs="Times New Roman"/>
          <w:sz w:val="28"/>
          <w:szCs w:val="28"/>
          <w:u w:val="single"/>
          <w:lang w:val="en-US" w:eastAsia="zh-CN"/>
        </w:rPr>
        <w:t xml:space="preserve">叁  </w:t>
      </w:r>
      <w:r>
        <w:rPr>
          <w:rFonts w:hint="default" w:ascii="Times New Roman" w:hAnsi="Times New Roman" w:eastAsia="仿宋" w:cs="Times New Roman"/>
          <w:sz w:val="28"/>
          <w:szCs w:val="28"/>
        </w:rPr>
        <w:t>份，乙方执</w:t>
      </w:r>
      <w:r>
        <w:rPr>
          <w:rFonts w:hint="eastAsia" w:ascii="Times New Roman" w:eastAsia="仿宋" w:cs="Times New Roman"/>
          <w:sz w:val="28"/>
          <w:szCs w:val="28"/>
          <w:u w:val="single"/>
          <w:lang w:val="en-US" w:eastAsia="zh-CN"/>
        </w:rPr>
        <w:t xml:space="preserve">壹 </w:t>
      </w:r>
      <w:r>
        <w:rPr>
          <w:rFonts w:hint="default" w:ascii="Times New Roman" w:hAnsi="Times New Roman" w:eastAsia="仿宋" w:cs="Times New Roman"/>
          <w:sz w:val="28"/>
          <w:szCs w:val="28"/>
        </w:rPr>
        <w:t>份</w:t>
      </w:r>
      <w:r>
        <w:rPr>
          <w:rFonts w:hint="eastAsia" w:ascii="仿宋" w:hAnsi="仿宋" w:eastAsia="仿宋" w:cs="仿宋"/>
          <w:color w:val="000000" w:themeColor="text1"/>
          <w:sz w:val="30"/>
          <w:szCs w:val="30"/>
          <w14:textFill>
            <w14:solidFill>
              <w14:schemeClr w14:val="tx1"/>
            </w14:solidFill>
          </w14:textFill>
        </w:rPr>
        <w:t>，自双方</w:t>
      </w:r>
      <w:r>
        <w:rPr>
          <w:rFonts w:hint="eastAsia" w:ascii="仿宋" w:hAnsi="仿宋" w:eastAsia="仿宋" w:cs="仿宋"/>
          <w:color w:val="000000" w:themeColor="text1"/>
          <w:sz w:val="30"/>
          <w:szCs w:val="30"/>
          <w:lang w:val="en-US" w:eastAsia="zh-CN"/>
          <w14:textFill>
            <w14:solidFill>
              <w14:schemeClr w14:val="tx1"/>
            </w14:solidFill>
          </w14:textFill>
        </w:rPr>
        <w:t>盖章、并经双方</w:t>
      </w:r>
      <w:r>
        <w:rPr>
          <w:rFonts w:hint="eastAsia" w:ascii="仿宋" w:hAnsi="仿宋" w:eastAsia="仿宋" w:cs="仿宋"/>
          <w:color w:val="000000" w:themeColor="text1"/>
          <w:sz w:val="30"/>
          <w:szCs w:val="30"/>
          <w14:textFill>
            <w14:solidFill>
              <w14:schemeClr w14:val="tx1"/>
            </w14:solidFill>
          </w14:textFill>
        </w:rPr>
        <w:t>法定代表人签字后生效。</w:t>
      </w:r>
    </w:p>
    <w:p w14:paraId="4E6B6443">
      <w:pPr>
        <w:spacing w:line="276" w:lineRule="auto"/>
        <w:ind w:firstLine="560" w:firstLineChars="200"/>
        <w:rPr>
          <w:rFonts w:ascii="仿宋" w:hAnsi="仿宋" w:eastAsia="仿宋" w:cs="仿宋"/>
          <w:color w:val="000000" w:themeColor="text1"/>
          <w:sz w:val="28"/>
          <w14:textFill>
            <w14:solidFill>
              <w14:schemeClr w14:val="tx1"/>
            </w14:solidFill>
          </w14:textFill>
        </w:rPr>
      </w:pPr>
    </w:p>
    <w:p w14:paraId="15186871">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7CD974D4">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3AE34832">
      <w:pPr>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2674B08B">
      <w:pPr>
        <w:ind w:firstLine="560" w:firstLineChars="200"/>
        <w:rPr>
          <w:rFonts w:ascii="仿宋_GB2312" w:hAnsi="仿宋" w:eastAsia="仿宋_GB2312" w:cs="仿宋"/>
          <w:color w:val="000000" w:themeColor="text1"/>
          <w:sz w:val="28"/>
          <w:szCs w:val="28"/>
          <w14:textFill>
            <w14:solidFill>
              <w14:schemeClr w14:val="tx1"/>
            </w14:solidFill>
          </w14:textFill>
        </w:rPr>
      </w:pPr>
    </w:p>
    <w:p w14:paraId="6C1B36CA">
      <w:pPr>
        <w:pStyle w:val="2"/>
        <w:rPr>
          <w:rFonts w:ascii="仿宋_GB2312" w:hAnsi="仿宋" w:eastAsia="仿宋_GB2312" w:cs="仿宋"/>
          <w:color w:val="000000" w:themeColor="text1"/>
          <w:sz w:val="28"/>
          <w:szCs w:val="28"/>
          <w14:textFill>
            <w14:solidFill>
              <w14:schemeClr w14:val="tx1"/>
            </w14:solidFill>
          </w14:textFill>
        </w:rPr>
      </w:pPr>
    </w:p>
    <w:p w14:paraId="5E22DA66">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14:paraId="1ECC0CDC">
      <w:pPr>
        <w:spacing w:line="3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法定代表人</w:t>
      </w:r>
      <w:r>
        <w:rPr>
          <w:rFonts w:hint="eastAsia" w:ascii="仿宋" w:hAnsi="仿宋" w:eastAsia="仿宋" w:cs="仿宋"/>
          <w:color w:val="000000" w:themeColor="text1"/>
          <w:sz w:val="28"/>
          <w:szCs w:val="28"/>
          <w14:textFill>
            <w14:solidFill>
              <w14:schemeClr w14:val="tx1"/>
            </w14:solidFill>
          </w14:textFill>
        </w:rPr>
        <w:t>：</w:t>
      </w:r>
    </w:p>
    <w:p w14:paraId="6A2B6301">
      <w:pPr>
        <w:spacing w:line="360" w:lineRule="exact"/>
        <w:rPr>
          <w:rFonts w:hint="eastAsia" w:ascii="仿宋" w:hAnsi="仿宋" w:eastAsia="仿宋" w:cs="仿宋"/>
          <w:color w:val="000000" w:themeColor="text1"/>
          <w:sz w:val="28"/>
          <w:szCs w:val="28"/>
          <w14:textFill>
            <w14:solidFill>
              <w14:schemeClr w14:val="tx1"/>
            </w14:solidFill>
          </w14:textFill>
        </w:rPr>
      </w:pPr>
    </w:p>
    <w:p w14:paraId="01F28A0F">
      <w:pPr>
        <w:spacing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w:t>
      </w:r>
      <w:r>
        <w:rPr>
          <w:rFonts w:hint="eastAsia" w:ascii="仿宋" w:hAnsi="仿宋" w:eastAsia="仿宋" w:cs="仿宋"/>
          <w:color w:val="000000" w:themeColor="text1"/>
          <w:sz w:val="28"/>
          <w:szCs w:val="28"/>
          <w14:textFill>
            <w14:solidFill>
              <w14:schemeClr w14:val="tx1"/>
            </w14:solidFill>
          </w14:textFill>
        </w:rPr>
        <w:t>日期：</w:t>
      </w:r>
    </w:p>
    <w:p w14:paraId="457A178C">
      <w:pPr>
        <w:spacing w:line="420" w:lineRule="exact"/>
        <w:ind w:firstLine="0" w:firstLineChars="0"/>
        <w:rPr>
          <w:rFonts w:hint="eastAsia" w:ascii="仿宋_GB2312" w:hAnsi="仿宋_GB2312" w:eastAsia="仿宋_GB2312" w:cs="仿宋_GB2312"/>
          <w:sz w:val="24"/>
          <w:szCs w:val="24"/>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签订地点：广东省东莞市</w:t>
      </w:r>
      <w:r>
        <w:rPr>
          <w:rFonts w:ascii="仿宋" w:hAnsi="仿宋" w:eastAsia="仿宋" w:cs="仿宋"/>
          <w:color w:val="000000" w:themeColor="text1"/>
          <w:sz w:val="28"/>
          <w:szCs w:val="28"/>
          <w14:textFill>
            <w14:solidFill>
              <w14:schemeClr w14:val="tx1"/>
            </w14:solidFill>
          </w14:textFill>
        </w:rPr>
        <w:t xml:space="preserve">                    </w:t>
      </w:r>
    </w:p>
    <w:p w14:paraId="0587366E">
      <w:pPr>
        <w:spacing w:line="420" w:lineRule="exact"/>
        <w:ind w:firstLine="0" w:firstLineChars="0"/>
        <w:rPr>
          <w:rFonts w:hint="eastAsia" w:ascii="仿宋_GB2312" w:hAnsi="仿宋_GB2312" w:eastAsia="仿宋_GB2312" w:cs="仿宋_GB2312"/>
          <w:sz w:val="24"/>
          <w:szCs w:val="24"/>
          <w:lang w:val="en-US" w:eastAsia="zh-CN"/>
        </w:rPr>
      </w:pPr>
    </w:p>
    <w:p w14:paraId="37D8601E">
      <w:pPr>
        <w:spacing w:line="420" w:lineRule="exact"/>
        <w:ind w:firstLine="0" w:firstLineChars="0"/>
        <w:rPr>
          <w:rFonts w:hint="eastAsia" w:ascii="仿宋_GB2312" w:hAnsi="仿宋_GB2312" w:eastAsia="仿宋_GB2312" w:cs="仿宋_GB2312"/>
          <w:sz w:val="24"/>
          <w:szCs w:val="24"/>
          <w:lang w:val="en-US" w:eastAsia="zh-CN"/>
        </w:rPr>
      </w:pPr>
    </w:p>
    <w:p w14:paraId="358FC4D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14:paraId="16E50053">
      <w:pPr>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附件5：</w:t>
      </w:r>
      <w:r>
        <w:rPr>
          <w:rFonts w:hint="default" w:ascii="仿宋_GB2312" w:hAnsi="仿宋_GB2312" w:eastAsia="仿宋_GB2312" w:cs="仿宋_GB2312"/>
          <w:b w:val="0"/>
          <w:bCs w:val="0"/>
          <w:lang w:val="en-US" w:eastAsia="zh-CN"/>
        </w:rPr>
        <w:t>阳光合作告知函</w:t>
      </w:r>
    </w:p>
    <w:p w14:paraId="51A2A2D7">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3760A9B5">
      <w:pPr>
        <w:spacing w:line="560" w:lineRule="exact"/>
        <w:rPr>
          <w:rFonts w:hint="default" w:ascii="Times New Roman" w:hAnsi="Times New Roman" w:eastAsia="仿宋_GB2312" w:cs="Times New Roman"/>
          <w:b/>
          <w:bCs/>
          <w:sz w:val="32"/>
          <w:szCs w:val="32"/>
        </w:rPr>
      </w:pPr>
    </w:p>
    <w:p w14:paraId="53241E33">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u w:val="single"/>
          <w:lang w:val="en-US" w:eastAsia="zh-CN"/>
        </w:rPr>
        <w:t>东莞市石鼓净水有限公司万江厂二期2026年高低压配电系统预防性试验服务项目</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p>
    <w:p w14:paraId="447B148E">
      <w:pPr>
        <w:pStyle w:val="58"/>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0EE7176B">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05E8DE5D">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2413C52F">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7898FA43">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0C66F42F">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3D4BD4CC">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69B8BC25">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0FFEE3A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5C08A1EA">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5CB309DA">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63FB18E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660886DD">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7A3EA7E1">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4B5DE491">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5E8466B8">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78BFAC56">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3136B6F2">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57C7BF23">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15" w:name="OLE_LINK1"/>
      <w:r>
        <w:rPr>
          <w:rFonts w:hint="eastAsia" w:ascii="仿宋_GB2312" w:hAnsi="Times New Roman" w:eastAsia="仿宋_GB2312"/>
          <w:sz w:val="32"/>
          <w:szCs w:val="32"/>
        </w:rPr>
        <w:t>其他</w:t>
      </w:r>
    </w:p>
    <w:p w14:paraId="641A4C39">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15"/>
    <w:p w14:paraId="42E8AA10">
      <w:pPr>
        <w:pStyle w:val="58"/>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7705D7A2">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14:paraId="7E041236">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0FD0CA0C">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3E32AF34">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38FA494C">
      <w:pPr>
        <w:pStyle w:val="58"/>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5B5587FE">
      <w:pPr>
        <w:pStyle w:val="58"/>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2C91B0C7">
      <w:pPr>
        <w:pStyle w:val="58"/>
        <w:snapToGrid w:val="0"/>
        <w:spacing w:line="580" w:lineRule="exact"/>
        <w:ind w:firstLine="640" w:firstLineChars="200"/>
        <w:rPr>
          <w:rFonts w:ascii="仿宋_GB2312" w:hAnsi="Times New Roman" w:eastAsia="仿宋_GB2312"/>
          <w:sz w:val="32"/>
          <w:szCs w:val="32"/>
        </w:rPr>
      </w:pPr>
    </w:p>
    <w:p w14:paraId="0D8EBE47">
      <w:pPr>
        <w:pStyle w:val="58"/>
        <w:snapToGrid w:val="0"/>
        <w:spacing w:line="580" w:lineRule="exact"/>
        <w:ind w:firstLine="640" w:firstLineChars="200"/>
        <w:rPr>
          <w:rFonts w:ascii="仿宋_GB2312" w:hAnsi="Times New Roman" w:eastAsia="仿宋_GB2312"/>
          <w:sz w:val="32"/>
          <w:szCs w:val="32"/>
        </w:rPr>
      </w:pPr>
    </w:p>
    <w:p w14:paraId="0D3F193B">
      <w:pPr>
        <w:pStyle w:val="58"/>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东莞市石鼓净水有限公司</w:t>
      </w:r>
    </w:p>
    <w:p w14:paraId="548B5E7E">
      <w:pPr>
        <w:pStyle w:val="58"/>
        <w:snapToGrid w:val="0"/>
        <w:spacing w:line="580" w:lineRule="exact"/>
        <w:jc w:val="right"/>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bookmarkStart w:id="16" w:name="现场签证通知单"/>
      <w:bookmarkEnd w:id="16"/>
      <w:bookmarkStart w:id="17" w:name="设计变更通知单"/>
      <w:bookmarkEnd w:id="17"/>
    </w:p>
    <w:p w14:paraId="3464C835">
      <w:pPr>
        <w:pStyle w:val="58"/>
        <w:snapToGrid w:val="0"/>
        <w:spacing w:line="580" w:lineRule="exact"/>
        <w:ind w:firstLine="5932" w:firstLineChars="1854"/>
        <w:jc w:val="right"/>
        <w:rPr>
          <w:rFonts w:hint="eastAsia" w:ascii="仿宋_GB2312" w:hAnsi="Times New Roman" w:eastAsia="仿宋_GB2312"/>
          <w:sz w:val="32"/>
          <w:szCs w:val="32"/>
        </w:rPr>
      </w:pPr>
    </w:p>
    <w:p w14:paraId="5B7AB0C4">
      <w:pPr>
        <w:pStyle w:val="58"/>
        <w:snapToGrid w:val="0"/>
        <w:spacing w:line="580" w:lineRule="exact"/>
        <w:ind w:firstLine="5932" w:firstLineChars="1854"/>
        <w:jc w:val="right"/>
        <w:rPr>
          <w:rFonts w:hint="eastAsia" w:ascii="仿宋_GB2312" w:hAnsi="Times New Roman" w:eastAsia="仿宋_GB2312"/>
          <w:sz w:val="32"/>
          <w:szCs w:val="32"/>
        </w:rPr>
      </w:pPr>
    </w:p>
    <w:p w14:paraId="1FAB8D52">
      <w:pPr>
        <w:pStyle w:val="58"/>
        <w:snapToGrid w:val="0"/>
        <w:spacing w:line="580" w:lineRule="exact"/>
        <w:ind w:firstLine="5932" w:firstLineChars="1854"/>
        <w:jc w:val="right"/>
        <w:rPr>
          <w:rFonts w:hint="eastAsia" w:ascii="仿宋_GB2312" w:hAnsi="Times New Roman" w:eastAsia="仿宋_GB2312"/>
          <w:sz w:val="32"/>
          <w:szCs w:val="32"/>
        </w:rPr>
      </w:pPr>
    </w:p>
    <w:p w14:paraId="51BF0FA8">
      <w:pPr>
        <w:pStyle w:val="58"/>
        <w:snapToGrid w:val="0"/>
        <w:spacing w:line="580" w:lineRule="exact"/>
        <w:ind w:firstLine="5932" w:firstLineChars="1854"/>
        <w:jc w:val="right"/>
        <w:rPr>
          <w:rFonts w:hint="eastAsia" w:ascii="仿宋_GB2312" w:hAnsi="Times New Roman" w:eastAsia="仿宋_GB2312"/>
          <w:sz w:val="32"/>
          <w:szCs w:val="32"/>
        </w:rPr>
      </w:pPr>
    </w:p>
    <w:p w14:paraId="2D9CDAE8">
      <w:pPr>
        <w:pStyle w:val="58"/>
        <w:snapToGrid w:val="0"/>
        <w:spacing w:line="580" w:lineRule="exact"/>
        <w:ind w:firstLine="5932" w:firstLineChars="1854"/>
        <w:jc w:val="right"/>
        <w:rPr>
          <w:rFonts w:hint="eastAsia" w:ascii="仿宋_GB2312" w:hAnsi="Times New Roman" w:eastAsia="仿宋_GB2312"/>
          <w:sz w:val="32"/>
          <w:szCs w:val="32"/>
        </w:rPr>
      </w:pPr>
    </w:p>
    <w:p w14:paraId="2C5F26CB">
      <w:pPr>
        <w:pStyle w:val="58"/>
        <w:snapToGrid w:val="0"/>
        <w:spacing w:line="580" w:lineRule="exact"/>
        <w:ind w:firstLine="5932" w:firstLineChars="1854"/>
        <w:jc w:val="right"/>
        <w:rPr>
          <w:rFonts w:hint="eastAsia" w:ascii="仿宋_GB2312" w:hAnsi="Times New Roman" w:eastAsia="仿宋_GB2312"/>
          <w:sz w:val="32"/>
          <w:szCs w:val="32"/>
        </w:rPr>
      </w:pPr>
    </w:p>
    <w:p w14:paraId="1FF90FC2">
      <w:pPr>
        <w:pStyle w:val="58"/>
        <w:snapToGrid w:val="0"/>
        <w:spacing w:line="580" w:lineRule="exact"/>
        <w:ind w:firstLine="5932" w:firstLineChars="1854"/>
        <w:jc w:val="right"/>
        <w:rPr>
          <w:rFonts w:hint="eastAsia" w:ascii="仿宋_GB2312" w:hAnsi="Times New Roman" w:eastAsia="仿宋_GB2312"/>
          <w:sz w:val="32"/>
          <w:szCs w:val="32"/>
        </w:rPr>
      </w:pPr>
    </w:p>
    <w:p w14:paraId="60936780">
      <w:pPr>
        <w:pStyle w:val="58"/>
        <w:snapToGrid w:val="0"/>
        <w:spacing w:line="580" w:lineRule="exact"/>
        <w:ind w:firstLine="5932" w:firstLineChars="1854"/>
        <w:jc w:val="right"/>
        <w:rPr>
          <w:rFonts w:hint="eastAsia" w:ascii="仿宋_GB2312" w:hAnsi="Times New Roman" w:eastAsia="仿宋_GB2312"/>
          <w:sz w:val="32"/>
          <w:szCs w:val="32"/>
        </w:rPr>
      </w:pPr>
    </w:p>
    <w:p w14:paraId="302AA316">
      <w:pPr>
        <w:pStyle w:val="58"/>
        <w:snapToGrid w:val="0"/>
        <w:spacing w:line="580" w:lineRule="exact"/>
        <w:ind w:firstLine="0"/>
        <w:jc w:val="center"/>
        <w:rPr>
          <w:rFonts w:ascii="仿宋_GB2312" w:hAnsi="Times New Roman" w:eastAsia="仿宋_GB2312"/>
          <w:sz w:val="32"/>
          <w:szCs w:val="32"/>
        </w:rPr>
      </w:pPr>
    </w:p>
    <w:p w14:paraId="44B258D4">
      <w:pPr>
        <w:rPr>
          <w:rFonts w:hint="eastAsia" w:ascii="Times New Roman" w:hAnsi="Times New Roman" w:eastAsia="黑体"/>
          <w:sz w:val="48"/>
          <w:szCs w:val="48"/>
          <w:lang w:val="zh-CN"/>
        </w:rPr>
      </w:pPr>
      <w:r>
        <w:rPr>
          <w:rFonts w:hint="eastAsia" w:ascii="Times New Roman" w:hAnsi="Times New Roman" w:eastAsia="黑体"/>
          <w:sz w:val="48"/>
          <w:szCs w:val="48"/>
          <w:lang w:val="zh-CN"/>
        </w:rPr>
        <w:br w:type="page"/>
      </w:r>
    </w:p>
    <w:p w14:paraId="6BC83CAB">
      <w:pPr>
        <w:pStyle w:val="58"/>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0A5EAE63">
      <w:pPr>
        <w:pStyle w:val="58"/>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30C915EE">
      <w:pPr>
        <w:pStyle w:val="58"/>
        <w:snapToGrid w:val="0"/>
        <w:spacing w:line="580" w:lineRule="exact"/>
        <w:ind w:firstLine="0"/>
        <w:jc w:val="center"/>
        <w:rPr>
          <w:rFonts w:hint="eastAsia" w:ascii="楷体_GB2312" w:hAnsi="Times New Roman" w:eastAsia="楷体_GB2312"/>
          <w:sz w:val="28"/>
          <w:szCs w:val="28"/>
          <w:lang w:val="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p>
    <w:p w14:paraId="3CEACCFD">
      <w:pPr>
        <w:pStyle w:val="58"/>
        <w:snapToGrid w:val="0"/>
        <w:spacing w:line="580" w:lineRule="exact"/>
        <w:ind w:firstLine="0"/>
        <w:jc w:val="center"/>
        <w:rPr>
          <w:rFonts w:ascii="楷体_GB2312" w:hAnsi="Times New Roman" w:eastAsia="楷体_GB2312"/>
          <w:sz w:val="28"/>
          <w:szCs w:val="28"/>
          <w:lang w:val="zh-CN"/>
        </w:rPr>
      </w:pPr>
    </w:p>
    <w:p w14:paraId="44207C09">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hint="eastAsia" w:cs="Times New Roman"/>
          <w:u w:val="single"/>
        </w:rPr>
        <w:t>东莞市石鼓净水有限公司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74F36499">
      <w:pPr>
        <w:autoSpaceDE w:val="0"/>
        <w:autoSpaceDN w:val="0"/>
        <w:adjustRightInd w:val="0"/>
        <w:snapToGrid w:val="0"/>
        <w:spacing w:line="580" w:lineRule="exact"/>
        <w:jc w:val="left"/>
        <w:rPr>
          <w:rFonts w:cs="Times New Roman"/>
          <w:lang w:val="zh-CN"/>
        </w:rPr>
      </w:pPr>
    </w:p>
    <w:p w14:paraId="4F17A1D5">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14:paraId="399BE96D">
      <w:pPr>
        <w:autoSpaceDE w:val="0"/>
        <w:autoSpaceDN w:val="0"/>
        <w:adjustRightInd w:val="0"/>
        <w:snapToGrid w:val="0"/>
        <w:spacing w:line="580" w:lineRule="exact"/>
        <w:jc w:val="left"/>
        <w:rPr>
          <w:rFonts w:cs="Times New Roman"/>
          <w:lang w:val="zh-CN"/>
        </w:rPr>
      </w:pPr>
    </w:p>
    <w:p w14:paraId="6B2CAAE6">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14:paraId="18A7CFDE">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65BE7F78">
      <w:pPr>
        <w:autoSpaceDE w:val="0"/>
        <w:autoSpaceDN w:val="0"/>
        <w:adjustRightInd w:val="0"/>
        <w:snapToGrid w:val="0"/>
        <w:spacing w:line="580" w:lineRule="exact"/>
        <w:jc w:val="right"/>
        <w:rPr>
          <w:rFonts w:cs="Times New Roman"/>
        </w:rPr>
      </w:pPr>
      <w:r>
        <w:rPr>
          <w:rFonts w:cs="Times New Roman"/>
        </w:rPr>
        <w:t>年    月    日</w:t>
      </w:r>
    </w:p>
    <w:p w14:paraId="4D5C2CF5">
      <w:pPr>
        <w:spacing w:line="420" w:lineRule="exact"/>
        <w:rPr>
          <w:rFonts w:hint="eastAsia" w:ascii="仿宋_GB2312" w:hAnsi="仿宋_GB2312" w:eastAsia="仿宋_GB2312" w:cs="仿宋_GB2312"/>
          <w:sz w:val="24"/>
          <w:szCs w:val="24"/>
          <w:lang w:val="en-US" w:eastAsia="zh-CN"/>
        </w:rPr>
      </w:pPr>
    </w:p>
    <w:p w14:paraId="6548E873">
      <w:pPr>
        <w:bidi w:val="0"/>
        <w:jc w:val="left"/>
        <w:rPr>
          <w:lang w:val="en-US" w:eastAsia="zh-CN"/>
        </w:rPr>
      </w:pPr>
    </w:p>
    <w:p w14:paraId="695E9411">
      <w:pPr>
        <w:pStyle w:val="2"/>
      </w:pPr>
    </w:p>
    <w:p w14:paraId="0B5B87C1">
      <w:pPr>
        <w:rPr>
          <w:rFonts w:hint="eastAsia" w:hAnsi="宋体" w:cs="宋体"/>
          <w:color w:val="auto"/>
          <w:szCs w:val="32"/>
          <w:highlight w:val="none"/>
        </w:rPr>
      </w:pPr>
      <w:r>
        <w:rPr>
          <w:rFonts w:hint="eastAsia" w:hAnsi="宋体" w:cs="宋体"/>
          <w:color w:val="auto"/>
          <w:szCs w:val="32"/>
          <w:highlight w:val="none"/>
        </w:rPr>
        <w:br w:type="page"/>
      </w:r>
    </w:p>
    <w:p w14:paraId="39B45ECF">
      <w:pPr>
        <w:pStyle w:val="3"/>
        <w:spacing w:before="0" w:after="0"/>
        <w:jc w:val="center"/>
        <w:rPr>
          <w:rFonts w:hAnsi="宋体" w:cs="宋体"/>
          <w:color w:val="auto"/>
          <w:szCs w:val="32"/>
          <w:highlight w:val="none"/>
        </w:rPr>
      </w:pPr>
      <w:bookmarkStart w:id="18" w:name="_Toc29280"/>
      <w:r>
        <w:rPr>
          <w:rFonts w:hint="eastAsia" w:hAnsi="宋体" w:cs="宋体"/>
          <w:color w:val="auto"/>
          <w:szCs w:val="32"/>
          <w:highlight w:val="none"/>
        </w:rPr>
        <w:t>第四章 报价须知</w:t>
      </w:r>
      <w:bookmarkEnd w:id="18"/>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Ansi="宋体" w:cs="宋体"/>
          <w:color w:val="auto"/>
          <w:highlight w:val="none"/>
        </w:rPr>
      </w:pPr>
      <w:r>
        <w:rPr>
          <w:rFonts w:hint="eastAsia" w:hAnsi="宋体" w:cs="宋体"/>
          <w:color w:val="auto"/>
          <w:highlight w:val="none"/>
        </w:rPr>
        <w:t>2.项目响应声明；</w:t>
      </w:r>
    </w:p>
    <w:p w14:paraId="7DA91630">
      <w:pPr>
        <w:spacing w:line="360" w:lineRule="auto"/>
        <w:ind w:firstLine="424" w:firstLineChars="177"/>
        <w:rPr>
          <w:rFonts w:hint="eastAsia" w:hAnsi="宋体" w:cs="宋体"/>
          <w:color w:val="auto"/>
          <w:highlight w:val="none"/>
        </w:rPr>
      </w:pPr>
      <w:r>
        <w:rPr>
          <w:rFonts w:hAnsi="宋体" w:cs="宋体"/>
          <w:color w:val="auto"/>
          <w:highlight w:val="none"/>
        </w:rPr>
        <w:t>3.</w:t>
      </w:r>
      <w:r>
        <w:rPr>
          <w:rFonts w:hint="eastAsia" w:hAnsi="宋体" w:cs="宋体"/>
          <w:color w:val="auto"/>
          <w:highlight w:val="none"/>
        </w:rPr>
        <w:t>营业执照；</w:t>
      </w:r>
    </w:p>
    <w:p w14:paraId="331424F5">
      <w:pPr>
        <w:spacing w:line="360" w:lineRule="auto"/>
        <w:ind w:firstLine="424" w:firstLineChars="177"/>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4.</w:t>
      </w:r>
      <w:r>
        <w:rPr>
          <w:rFonts w:hint="eastAsia" w:hAnsi="宋体" w:cs="宋体"/>
        </w:rPr>
        <w:t>报价人</w:t>
      </w:r>
      <w:r>
        <w:rPr>
          <w:rFonts w:hint="eastAsia" w:ascii="宋体" w:hAnsi="宋体" w:eastAsia="宋体" w:cs="宋体"/>
          <w:color w:val="auto"/>
          <w:highlight w:val="none"/>
          <w:lang w:val="en-US" w:eastAsia="zh-CN"/>
        </w:rPr>
        <w:t>具备国家能源局派出机构颁发的承装（修、试）电力设施许可证资质证书，证书类别包括承修类、承试类且类别等级为四级或以上【或具有2025年7月1日之后日期颁发或换领的承装（修、试）电力设施许可证三级或以上】</w:t>
      </w:r>
      <w:r>
        <w:rPr>
          <w:rFonts w:hint="eastAsia"/>
          <w:lang w:eastAsia="zh-CN"/>
        </w:rPr>
        <w:t>。</w:t>
      </w:r>
    </w:p>
    <w:p w14:paraId="13B2C2F5">
      <w:pPr>
        <w:spacing w:line="360" w:lineRule="auto"/>
        <w:ind w:firstLine="424" w:firstLineChars="177"/>
        <w:rPr>
          <w:rFonts w:hAnsi="宋体" w:cs="宋体"/>
          <w:color w:val="auto"/>
          <w:highlight w:val="none"/>
        </w:rPr>
      </w:pPr>
      <w:r>
        <w:rPr>
          <w:rFonts w:hint="eastAsia" w:hAnsi="宋体" w:cs="宋体"/>
          <w:color w:val="auto"/>
          <w:highlight w:val="none"/>
          <w:lang w:val="en-US" w:eastAsia="zh-CN"/>
        </w:rPr>
        <w:t>5</w:t>
      </w:r>
      <w:r>
        <w:rPr>
          <w:rFonts w:hAnsi="宋体" w:cs="宋体"/>
          <w:color w:val="auto"/>
          <w:highlight w:val="none"/>
        </w:rPr>
        <w:t>.</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ascii="宋体" w:hAnsi="宋体" w:eastAsia="宋体" w:cs="宋体"/>
          <w:color w:val="auto"/>
          <w:highlight w:val="none"/>
          <w:u w:val="single"/>
          <w:lang w:val="en-US" w:eastAsia="zh-CN"/>
        </w:rPr>
        <w:t>电气设备</w:t>
      </w:r>
      <w:r>
        <w:rPr>
          <w:rFonts w:hint="eastAsia" w:ascii="宋体" w:hAnsi="宋体" w:eastAsia="宋体" w:cs="宋体"/>
          <w:color w:val="auto"/>
          <w:highlight w:val="none"/>
          <w:u w:val="single"/>
          <w:lang w:eastAsia="zh-CN"/>
        </w:rPr>
        <w:t>预防性试验服务</w:t>
      </w:r>
      <w:r>
        <w:rPr>
          <w:rFonts w:hint="eastAsia" w:hAnsi="宋体" w:cs="宋体"/>
          <w:color w:val="auto"/>
          <w:highlight w:val="none"/>
          <w:u w:val="none"/>
          <w:lang w:val="en-US" w:eastAsia="zh-CN"/>
        </w:rPr>
        <w:t>相关</w:t>
      </w:r>
      <w:r>
        <w:rPr>
          <w:rFonts w:ascii="Times New Roman"/>
          <w:color w:val="auto"/>
          <w:highlight w:val="none"/>
        </w:rPr>
        <w:t>业绩（合同签订日期为</w:t>
      </w:r>
      <w:r>
        <w:rPr>
          <w:rFonts w:hint="eastAsia" w:ascii="Times New Roman"/>
          <w:color w:val="auto"/>
          <w:highlight w:val="none"/>
          <w:lang w:eastAsia="zh-CN"/>
        </w:rPr>
        <w:t>2023年1月1日</w:t>
      </w:r>
      <w:r>
        <w:rPr>
          <w:rFonts w:ascii="Times New Roman"/>
          <w:color w:val="auto"/>
          <w:highlight w:val="none"/>
        </w:rPr>
        <w:t>或以后）</w:t>
      </w:r>
      <w:r>
        <w:rPr>
          <w:rFonts w:hint="eastAsia" w:hAnsi="宋体" w:cs="宋体"/>
          <w:color w:val="auto"/>
          <w:highlight w:val="none"/>
        </w:rPr>
        <w:t>；</w:t>
      </w:r>
    </w:p>
    <w:p w14:paraId="62C8E8EA">
      <w:pPr>
        <w:spacing w:line="360" w:lineRule="auto"/>
        <w:ind w:firstLine="424" w:firstLineChars="177"/>
        <w:rPr>
          <w:rFonts w:hAnsi="宋体" w:cs="宋体"/>
          <w:color w:val="auto"/>
          <w:highlight w:val="none"/>
        </w:rPr>
      </w:pPr>
      <w:r>
        <w:rPr>
          <w:rFonts w:hint="eastAsia" w:hAnsi="宋体" w:cs="宋体"/>
          <w:color w:val="auto"/>
          <w:highlight w:val="none"/>
          <w:lang w:val="en-US" w:eastAsia="zh-CN"/>
        </w:rPr>
        <w:t>6</w:t>
      </w:r>
      <w:r>
        <w:rPr>
          <w:rFonts w:hAnsi="宋体" w:cs="宋体"/>
          <w:color w:val="auto"/>
          <w:highlight w:val="none"/>
        </w:rPr>
        <w:t>.</w:t>
      </w:r>
      <w:r>
        <w:rPr>
          <w:rFonts w:hint="eastAsia" w:hAnsi="宋体" w:cs="宋体"/>
          <w:color w:val="auto"/>
          <w:highlight w:val="none"/>
        </w:rPr>
        <w:t>承诺函。</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密封好的报价文件，应于询价邀请函中规定的截止时间前递交到采购人指定的递交地点，否则视为放弃参与本项目。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3DE3EC7A">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报价人不符合合格报价人的基本条件[报价人被列入“信用中国”网站（www.creditchina.gov.cn）失信被执行人、重大税收违法失信主体、政府采购严重违法失信行为记录名单（处罚期限届满的除外）]。</w:t>
      </w:r>
    </w:p>
    <w:p w14:paraId="18DE1900">
      <w:pPr>
        <w:spacing w:line="360" w:lineRule="auto"/>
        <w:ind w:firstLine="482" w:firstLineChars="200"/>
        <w:rPr>
          <w:rFonts w:ascii="Times New Roman"/>
          <w:b/>
          <w:bCs/>
        </w:rPr>
      </w:pPr>
      <w:r>
        <w:rPr>
          <w:rFonts w:hint="eastAsia" w:ascii="Times New Roman"/>
          <w:b/>
          <w:bCs/>
        </w:rPr>
        <w:t>2.</w:t>
      </w:r>
      <w:r>
        <w:rPr>
          <w:rFonts w:ascii="Times New Roman"/>
          <w:b/>
          <w:bCs/>
        </w:rPr>
        <w:t>不含税报价不得高于本项目不含税最高限价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A79A9CA">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C9A834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30A62FBF">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42CEBA4B">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96A7996">
      <w:pPr>
        <w:spacing w:line="360" w:lineRule="auto"/>
        <w:rPr>
          <w:rFonts w:hAnsi="宋体" w:cs="宋体"/>
          <w:b/>
          <w:color w:val="auto"/>
          <w:highlight w:val="none"/>
        </w:rPr>
      </w:pPr>
    </w:p>
    <w:p w14:paraId="37E4073C">
      <w:pPr>
        <w:spacing w:line="360" w:lineRule="auto"/>
        <w:rPr>
          <w:rFonts w:hAnsi="宋体" w:cs="宋体"/>
          <w:b/>
          <w:color w:val="auto"/>
          <w:highlight w:val="none"/>
        </w:rPr>
      </w:pPr>
      <w:r>
        <w:rPr>
          <w:rFonts w:hint="eastAsia" w:hAnsi="宋体" w:cs="宋体"/>
          <w:b/>
          <w:color w:val="auto"/>
          <w:highlight w:val="none"/>
        </w:rPr>
        <w:t>五、合同签订说明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8"/>
        <w:ind w:firstLine="481"/>
      </w:pPr>
    </w:p>
    <w:p w14:paraId="0866030F">
      <w:pPr>
        <w:numPr>
          <w:ilvl w:val="0"/>
          <w:numId w:val="8"/>
        </w:numPr>
        <w:spacing w:line="360" w:lineRule="auto"/>
        <w:rPr>
          <w:rFonts w:hint="eastAsia" w:hAnsi="宋体" w:cs="宋体"/>
          <w:b/>
          <w:color w:val="auto"/>
          <w:highlight w:val="none"/>
          <w:lang w:val="en-US" w:eastAsia="zh-CN"/>
        </w:rPr>
      </w:pPr>
      <w:r>
        <w:rPr>
          <w:rFonts w:hint="eastAsia" w:hAnsi="宋体" w:cs="宋体"/>
          <w:b/>
          <w:color w:val="auto"/>
          <w:highlight w:val="none"/>
          <w:lang w:val="en-US" w:eastAsia="zh-CN"/>
        </w:rPr>
        <w:t>特别说明</w:t>
      </w:r>
    </w:p>
    <w:p w14:paraId="78B9CEBF">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1.与采购人存在利害关系可能影响采购公正性的法人、其他组织或者个人,不得参与报价;</w:t>
      </w:r>
    </w:p>
    <w:p w14:paraId="6DD9E8E6">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2.供应商负责人为同一人或者存在控股管理关系的不同供应商，不得参加同一项目报价。</w:t>
      </w:r>
    </w:p>
    <w:p w14:paraId="12CAA428">
      <w:pPr>
        <w:spacing w:line="360" w:lineRule="auto"/>
        <w:ind w:firstLine="481"/>
        <w:rPr>
          <w:rFonts w:hAnsi="宋体" w:cs="宋体"/>
          <w:color w:val="auto"/>
          <w:highlight w:val="none"/>
        </w:rPr>
      </w:pPr>
      <w:r>
        <w:rPr>
          <w:rFonts w:hint="default" w:hAnsi="宋体" w:cs="宋体"/>
          <w:b/>
          <w:color w:val="auto"/>
          <w:highlight w:val="none"/>
          <w:lang w:val="en-US" w:eastAsia="zh-CN"/>
        </w:rPr>
        <w:t>上述情况一经发现，相关报价均无效。</w:t>
      </w: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3"/>
        <w:spacing w:before="0" w:after="0"/>
        <w:jc w:val="center"/>
        <w:rPr>
          <w:rFonts w:hAnsi="宋体" w:cs="宋体"/>
          <w:color w:val="auto"/>
          <w:szCs w:val="32"/>
          <w:highlight w:val="none"/>
        </w:rPr>
      </w:pPr>
      <w:bookmarkStart w:id="19" w:name="_Toc3402"/>
      <w:r>
        <w:rPr>
          <w:rFonts w:hint="eastAsia" w:hAnsi="宋体" w:cs="宋体"/>
          <w:color w:val="auto"/>
          <w:szCs w:val="32"/>
          <w:highlight w:val="none"/>
        </w:rPr>
        <w:t>第五章 报价文件（格式）</w:t>
      </w:r>
      <w:bookmarkEnd w:id="19"/>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1"/>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东莞市石鼓净水有限公司万江厂二期2026年高低压配电系统预防性试验服务项目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2A1E314C">
            <w:pPr>
              <w:pStyle w:val="11"/>
              <w:jc w:val="center"/>
              <w:rPr>
                <w:rFonts w:hAnsi="宋体" w:cs="宋体"/>
                <w:color w:val="auto"/>
                <w:sz w:val="24"/>
                <w:szCs w:val="28"/>
                <w:highlight w:val="none"/>
              </w:rPr>
            </w:pPr>
            <w:r>
              <w:rPr>
                <w:rFonts w:hint="eastAsia" w:hAnsi="宋体" w:cs="宋体"/>
                <w:color w:val="auto"/>
                <w:sz w:val="24"/>
                <w:szCs w:val="28"/>
                <w:highlight w:val="none"/>
              </w:rPr>
              <w:t>不含税总报价</w:t>
            </w:r>
          </w:p>
          <w:p w14:paraId="640AAE85">
            <w:pPr>
              <w:pStyle w:val="11"/>
              <w:jc w:val="center"/>
              <w:rPr>
                <w:rFonts w:hAnsi="宋体" w:cs="宋体"/>
                <w:color w:val="auto"/>
                <w:sz w:val="24"/>
                <w:szCs w:val="28"/>
                <w:highlight w:val="none"/>
              </w:rPr>
            </w:pPr>
            <w:r>
              <w:rPr>
                <w:rFonts w:hint="eastAsia" w:hAnsi="宋体" w:cs="宋体"/>
                <w:color w:val="auto"/>
                <w:sz w:val="24"/>
                <w:szCs w:val="28"/>
                <w:highlight w:val="none"/>
              </w:rPr>
              <w:t>（单位：元）</w:t>
            </w:r>
          </w:p>
        </w:tc>
        <w:tc>
          <w:tcPr>
            <w:tcW w:w="7082" w:type="dxa"/>
            <w:shd w:val="clear" w:color="auto" w:fill="auto"/>
            <w:vAlign w:val="center"/>
          </w:tcPr>
          <w:p w14:paraId="2BEEB7DA">
            <w:pPr>
              <w:pStyle w:val="11"/>
              <w:ind w:firstLine="720" w:firstLineChars="300"/>
              <w:rPr>
                <w:rFonts w:hAnsi="宋体" w:cs="宋体"/>
                <w:color w:val="auto"/>
                <w:sz w:val="24"/>
                <w:szCs w:val="28"/>
                <w:highlight w:val="none"/>
                <w:u w:val="single"/>
              </w:rPr>
            </w:pPr>
            <w:r>
              <w:rPr>
                <w:rFonts w:hint="eastAsia" w:hAnsi="宋体" w:cs="宋体"/>
                <w:color w:val="auto"/>
                <w:sz w:val="24"/>
                <w:szCs w:val="28"/>
                <w:highlight w:val="none"/>
              </w:rPr>
              <w:t>人民币（小写）：</w:t>
            </w:r>
            <w:r>
              <w:rPr>
                <w:rFonts w:hint="eastAsia" w:hAnsi="宋体" w:cs="宋体"/>
                <w:color w:val="auto"/>
                <w:sz w:val="24"/>
                <w:szCs w:val="28"/>
                <w:highlight w:val="none"/>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1"/>
              <w:jc w:val="center"/>
              <w:rPr>
                <w:rFonts w:hint="default" w:hAnsi="宋体" w:eastAsia="宋体" w:cs="宋体"/>
                <w:color w:val="auto"/>
                <w:sz w:val="24"/>
                <w:szCs w:val="28"/>
                <w:highlight w:val="none"/>
                <w:u w:val="single"/>
                <w:lang w:val="en-US" w:eastAsia="zh-CN"/>
              </w:rPr>
            </w:pPr>
            <w:r>
              <w:rPr>
                <w:rFonts w:hint="eastAsia" w:hAnsi="宋体" w:cs="宋体"/>
                <w:color w:val="auto"/>
                <w:sz w:val="24"/>
                <w:szCs w:val="28"/>
                <w:highlight w:val="none"/>
                <w:lang w:val="en-US" w:eastAsia="zh-CN"/>
              </w:rPr>
              <w:t>工期/供货期/服务期</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1"/>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1"/>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1"/>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9"/>
              </w:numPr>
              <w:autoSpaceDE/>
              <w:autoSpaceDN/>
              <w:adjustRightInd/>
              <w:jc w:val="both"/>
              <w:rPr>
                <w:rFonts w:ascii="Times New Roman"/>
                <w:b/>
                <w:bCs/>
                <w:color w:val="auto"/>
                <w:highlight w:val="none"/>
              </w:rPr>
            </w:pPr>
            <w:r>
              <w:rPr>
                <w:rFonts w:ascii="Times New Roman"/>
                <w:b/>
                <w:bCs/>
                <w:color w:val="auto"/>
                <w:highlight w:val="none"/>
              </w:rPr>
              <w:t>本次所报价格为不含销项税额，包含</w:t>
            </w:r>
            <w:r>
              <w:rPr>
                <w:rFonts w:hint="eastAsia" w:ascii="Times New Roman"/>
                <w:b/>
                <w:bCs/>
                <w:color w:val="auto"/>
                <w:highlight w:val="none"/>
              </w:rPr>
              <w:t>供应</w:t>
            </w:r>
            <w:r>
              <w:rPr>
                <w:rFonts w:ascii="Times New Roman"/>
                <w:b/>
                <w:bCs/>
                <w:color w:val="auto"/>
                <w:highlight w:val="none"/>
              </w:rPr>
              <w:t>商销项税额以外的税费及完成本项目所需的全部费用。</w:t>
            </w:r>
          </w:p>
          <w:p w14:paraId="6930ABB6">
            <w:pPr>
              <w:numPr>
                <w:ilvl w:val="0"/>
                <w:numId w:val="9"/>
              </w:numPr>
              <w:autoSpaceDE/>
              <w:autoSpaceDN/>
              <w:adjustRightInd/>
              <w:jc w:val="both"/>
              <w:rPr>
                <w:rFonts w:ascii="Times New Roman"/>
                <w:b/>
                <w:bCs/>
                <w:color w:val="auto"/>
                <w:highlight w:val="none"/>
              </w:rPr>
            </w:pPr>
            <w:r>
              <w:rPr>
                <w:rFonts w:ascii="Times New Roman"/>
                <w:b/>
                <w:bCs/>
                <w:color w:val="auto"/>
                <w:highlight w:val="none"/>
              </w:rPr>
              <w:t>不含税报价不得高于本项目不含税最高</w:t>
            </w:r>
            <w:r>
              <w:rPr>
                <w:rFonts w:ascii="Times New Roman" w:eastAsia="宋体"/>
                <w:b/>
                <w:bCs/>
                <w:color w:val="auto"/>
                <w:highlight w:val="none"/>
              </w:rPr>
              <w:t>限价</w:t>
            </w:r>
            <w:r>
              <w:rPr>
                <w:rFonts w:hint="eastAsia" w:ascii="Times New Roman" w:eastAsia="宋体"/>
                <w:b/>
                <w:bCs/>
                <w:color w:val="auto"/>
                <w:highlight w:val="none"/>
                <w:lang w:val="en-US" w:eastAsia="zh-CN"/>
              </w:rPr>
              <w:t>46,847.84元</w:t>
            </w:r>
            <w:r>
              <w:rPr>
                <w:rFonts w:ascii="Times New Roman" w:eastAsia="宋体"/>
                <w:b/>
                <w:bCs/>
                <w:color w:val="auto"/>
                <w:highlight w:val="none"/>
              </w:rPr>
              <w:t>，</w:t>
            </w:r>
            <w:r>
              <w:rPr>
                <w:rFonts w:ascii="Times New Roman"/>
                <w:b/>
                <w:bCs/>
                <w:color w:val="auto"/>
                <w:highlight w:val="none"/>
              </w:rPr>
              <w:t>否则视为无效报价。</w:t>
            </w:r>
          </w:p>
          <w:p w14:paraId="399A0B6B">
            <w:pPr>
              <w:numPr>
                <w:ilvl w:val="0"/>
                <w:numId w:val="9"/>
              </w:numPr>
              <w:autoSpaceDE/>
              <w:autoSpaceDN/>
              <w:adjustRightInd/>
              <w:jc w:val="both"/>
              <w:rPr>
                <w:rFonts w:ascii="Times New Roman"/>
                <w:b/>
                <w:bCs/>
                <w:color w:val="auto"/>
                <w:highlight w:val="none"/>
              </w:rPr>
            </w:pPr>
            <w:r>
              <w:rPr>
                <w:rFonts w:ascii="Times New Roman"/>
                <w:b/>
                <w:bCs/>
                <w:color w:val="auto"/>
                <w:highlight w:val="none"/>
              </w:rPr>
              <w:t>当分项报价表内累计与</w:t>
            </w:r>
            <w:r>
              <w:rPr>
                <w:rFonts w:hint="eastAsia" w:ascii="Times New Roman"/>
                <w:b/>
                <w:bCs/>
                <w:color w:val="auto"/>
                <w:highlight w:val="none"/>
                <w:lang w:val="en-US" w:eastAsia="zh-CN"/>
              </w:rPr>
              <w:t>本</w:t>
            </w:r>
            <w:r>
              <w:rPr>
                <w:rFonts w:ascii="Times New Roman"/>
                <w:b/>
                <w:bCs/>
                <w:color w:val="auto"/>
                <w:highlight w:val="none"/>
              </w:rPr>
              <w:t>报价表不符时，以</w:t>
            </w:r>
            <w:r>
              <w:rPr>
                <w:rFonts w:hint="eastAsia" w:ascii="Times New Roman"/>
                <w:b/>
                <w:bCs/>
                <w:color w:val="auto"/>
                <w:highlight w:val="none"/>
                <w:lang w:val="en-US" w:eastAsia="zh-CN"/>
              </w:rPr>
              <w:t>本</w:t>
            </w:r>
            <w:r>
              <w:rPr>
                <w:rFonts w:ascii="Times New Roman"/>
                <w:b/>
                <w:bCs/>
                <w:color w:val="auto"/>
                <w:highlight w:val="none"/>
              </w:rPr>
              <w:t>报价表为准，修正分项报价表内的各项报价。</w:t>
            </w:r>
          </w:p>
          <w:p w14:paraId="293503DC">
            <w:pPr>
              <w:numPr>
                <w:ilvl w:val="0"/>
                <w:numId w:val="9"/>
              </w:numPr>
              <w:autoSpaceDE/>
              <w:autoSpaceDN/>
              <w:adjustRightInd/>
              <w:jc w:val="both"/>
              <w:rPr>
                <w:rFonts w:ascii="Times New Roman"/>
                <w:b/>
                <w:bCs/>
                <w:color w:val="auto"/>
                <w:highlight w:val="none"/>
              </w:rPr>
            </w:pPr>
            <w:r>
              <w:rPr>
                <w:rFonts w:hint="eastAsia" w:ascii="Times New Roman"/>
                <w:b/>
                <w:bCs/>
                <w:color w:val="auto"/>
                <w:highlight w:val="none"/>
              </w:rPr>
              <w:t>上述报价数值如需保留小数点后2位，从小数点后第3位四舍五入。</w:t>
            </w:r>
          </w:p>
        </w:tc>
      </w:tr>
    </w:tbl>
    <w:p w14:paraId="0165BF68">
      <w:pPr>
        <w:pStyle w:val="11"/>
        <w:spacing w:line="360" w:lineRule="auto"/>
        <w:rPr>
          <w:rFonts w:hAnsi="宋体" w:cs="宋体"/>
          <w:color w:val="auto"/>
          <w:sz w:val="24"/>
          <w:szCs w:val="24"/>
          <w:highlight w:val="none"/>
        </w:rPr>
      </w:pPr>
    </w:p>
    <w:p w14:paraId="20D8941E">
      <w:pPr>
        <w:pStyle w:val="11"/>
        <w:spacing w:line="360" w:lineRule="auto"/>
        <w:rPr>
          <w:rFonts w:hint="eastAsia" w:hAnsi="宋体" w:cs="宋体"/>
          <w:color w:val="auto"/>
          <w:sz w:val="24"/>
          <w:szCs w:val="28"/>
          <w:highlight w:val="none"/>
        </w:rPr>
      </w:pPr>
      <w:r>
        <w:rPr>
          <w:rFonts w:hint="eastAsia" w:hAnsi="宋体" w:cs="宋体"/>
          <w:color w:val="auto"/>
          <w:sz w:val="24"/>
          <w:szCs w:val="28"/>
          <w:highlight w:val="none"/>
        </w:rPr>
        <w:t>联系人：                          联系电话：</w:t>
      </w:r>
    </w:p>
    <w:p w14:paraId="236436C4">
      <w:pPr>
        <w:pStyle w:val="11"/>
        <w:spacing w:line="360" w:lineRule="auto"/>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联系邮箱：                        联系地址：</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3D6D7C04">
      <w:pPr>
        <w:wordWrap w:val="0"/>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69B410FE">
      <w:pPr>
        <w:spacing w:line="360" w:lineRule="auto"/>
        <w:ind w:right="1680"/>
        <w:rPr>
          <w:rFonts w:hAnsi="宋体" w:cs="宋体"/>
          <w:color w:val="auto"/>
          <w:kern w:val="2"/>
          <w:szCs w:val="28"/>
          <w:highlight w:val="none"/>
        </w:rPr>
      </w:pPr>
    </w:p>
    <w:p w14:paraId="362D5F8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p w14:paraId="05B7C134">
      <w:pPr>
        <w:ind w:firstLine="361" w:firstLineChars="200"/>
        <w:jc w:val="both"/>
        <w:rPr>
          <w:rFonts w:hAnsi="宋体" w:cs="宋体"/>
          <w:b/>
          <w:color w:val="auto"/>
          <w:sz w:val="18"/>
          <w:szCs w:val="18"/>
          <w:highlight w:val="none"/>
        </w:rPr>
      </w:pPr>
    </w:p>
    <w:p w14:paraId="757B899B">
      <w:pPr>
        <w:tabs>
          <w:tab w:val="left" w:pos="6480"/>
        </w:tabs>
        <w:spacing w:line="360" w:lineRule="auto"/>
        <w:ind w:right="-100" w:rightChars="0"/>
        <w:rPr>
          <w:rFonts w:hint="eastAsia"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w:t>
      </w:r>
      <w:r>
        <w:rPr>
          <w:rFonts w:hint="eastAsia" w:hAnsi="宋体" w:cs="宋体"/>
          <w:b/>
          <w:color w:val="auto"/>
          <w:sz w:val="28"/>
          <w:szCs w:val="28"/>
          <w:highlight w:val="none"/>
        </w:rPr>
        <w:t>详见附件：</w:t>
      </w:r>
      <w:r>
        <w:rPr>
          <w:rFonts w:hint="eastAsia" w:hAnsi="宋体" w:cs="宋体"/>
          <w:b/>
          <w:color w:val="auto"/>
          <w:sz w:val="28"/>
          <w:szCs w:val="28"/>
          <w:highlight w:val="none"/>
          <w:lang w:eastAsia="zh-CN"/>
        </w:rPr>
        <w:t>东莞市石鼓净水有限公司万江厂二期2026年高低压配电系统预防性试验服务项目</w:t>
      </w:r>
      <w:r>
        <w:rPr>
          <w:rFonts w:hint="eastAsia" w:ascii="宋体" w:hAnsi="宋体" w:eastAsia="宋体" w:cs="宋体"/>
          <w:b/>
          <w:color w:val="auto"/>
          <w:sz w:val="28"/>
          <w:szCs w:val="28"/>
          <w:highlight w:val="none"/>
        </w:rPr>
        <w:t>分项报价表</w:t>
      </w:r>
      <w:r>
        <w:rPr>
          <w:rFonts w:hint="eastAsia" w:hAnsi="宋体" w:cs="宋体"/>
          <w:b/>
          <w:color w:val="auto"/>
          <w:sz w:val="28"/>
          <w:szCs w:val="28"/>
          <w:highlight w:val="none"/>
          <w:lang w:val="en-US" w:eastAsia="zh-CN"/>
        </w:rPr>
        <w:t>)</w:t>
      </w:r>
    </w:p>
    <w:p w14:paraId="66F2D63C">
      <w:pPr>
        <w:rPr>
          <w:rFonts w:hint="eastAsia" w:ascii="Times New Roman"/>
          <w:b/>
          <w:color w:val="auto"/>
          <w:sz w:val="28"/>
          <w:szCs w:val="28"/>
          <w:highlight w:val="none"/>
          <w:lang w:val="en-US" w:eastAsia="zh-CN"/>
        </w:rPr>
      </w:pPr>
    </w:p>
    <w:p w14:paraId="0926B63E">
      <w:pPr>
        <w:rPr>
          <w:rFonts w:hint="eastAsia" w:ascii="Times New Roman"/>
          <w:b/>
          <w:color w:val="auto"/>
          <w:sz w:val="28"/>
          <w:szCs w:val="28"/>
          <w:highlight w:val="none"/>
          <w:lang w:val="en-US" w:eastAsia="zh-CN"/>
        </w:rPr>
      </w:pPr>
    </w:p>
    <w:p w14:paraId="0B9F299B">
      <w:pPr>
        <w:rPr>
          <w:rFonts w:hint="eastAsia" w:ascii="Times New Roman"/>
          <w:b/>
          <w:color w:val="auto"/>
          <w:sz w:val="28"/>
          <w:szCs w:val="28"/>
          <w:highlight w:val="none"/>
          <w:lang w:val="en-US" w:eastAsia="zh-CN"/>
        </w:rPr>
      </w:pPr>
    </w:p>
    <w:p w14:paraId="6951E6D0">
      <w:pPr>
        <w:rPr>
          <w:rFonts w:hint="eastAsia" w:ascii="Times New Roman"/>
          <w:b/>
          <w:color w:val="auto"/>
          <w:sz w:val="28"/>
          <w:szCs w:val="28"/>
          <w:highlight w:val="none"/>
          <w:lang w:val="en-US" w:eastAsia="zh-CN"/>
        </w:rPr>
      </w:pPr>
    </w:p>
    <w:p w14:paraId="76E1EAA2">
      <w:pPr>
        <w:rPr>
          <w:rFonts w:hint="eastAsia" w:ascii="Times New Roman"/>
          <w:b/>
          <w:color w:val="auto"/>
          <w:sz w:val="28"/>
          <w:szCs w:val="28"/>
          <w:highlight w:val="none"/>
          <w:lang w:val="en-US" w:eastAsia="zh-CN"/>
        </w:rPr>
      </w:pPr>
    </w:p>
    <w:p w14:paraId="35DCE3EA">
      <w:pPr>
        <w:rPr>
          <w:rFonts w:hint="eastAsia" w:ascii="Times New Roman"/>
          <w:b/>
          <w:color w:val="auto"/>
          <w:sz w:val="28"/>
          <w:szCs w:val="28"/>
          <w:highlight w:val="none"/>
          <w:lang w:val="en-US" w:eastAsia="zh-CN"/>
        </w:rPr>
      </w:pPr>
    </w:p>
    <w:p w14:paraId="784C4F4D">
      <w:pPr>
        <w:rPr>
          <w:rFonts w:hint="eastAsia" w:ascii="Times New Roman"/>
          <w:b/>
          <w:color w:val="auto"/>
          <w:sz w:val="28"/>
          <w:szCs w:val="28"/>
          <w:highlight w:val="none"/>
          <w:lang w:val="en-US" w:eastAsia="zh-CN"/>
        </w:rPr>
      </w:pPr>
    </w:p>
    <w:p w14:paraId="160BF1A7">
      <w:pPr>
        <w:rPr>
          <w:rFonts w:hint="eastAsia" w:ascii="Times New Roman"/>
          <w:b/>
          <w:color w:val="auto"/>
          <w:sz w:val="28"/>
          <w:szCs w:val="28"/>
          <w:highlight w:val="none"/>
          <w:lang w:val="en-US" w:eastAsia="zh-CN"/>
        </w:rPr>
      </w:pPr>
    </w:p>
    <w:p w14:paraId="26384CC5">
      <w:pPr>
        <w:rPr>
          <w:rFonts w:hint="eastAsia" w:ascii="Times New Roman"/>
          <w:b/>
          <w:color w:val="auto"/>
          <w:sz w:val="28"/>
          <w:szCs w:val="28"/>
          <w:highlight w:val="none"/>
          <w:lang w:val="en-US" w:eastAsia="zh-CN"/>
        </w:rPr>
      </w:pPr>
    </w:p>
    <w:p w14:paraId="36508A08">
      <w:pPr>
        <w:rPr>
          <w:rFonts w:hint="eastAsia" w:ascii="Times New Roman"/>
          <w:b/>
          <w:color w:val="auto"/>
          <w:sz w:val="28"/>
          <w:szCs w:val="28"/>
          <w:highlight w:val="none"/>
          <w:lang w:val="en-US" w:eastAsia="zh-CN"/>
        </w:rPr>
      </w:pPr>
    </w:p>
    <w:p w14:paraId="026D5F8F">
      <w:pPr>
        <w:rPr>
          <w:rFonts w:hint="eastAsia" w:ascii="Times New Roman"/>
          <w:b/>
          <w:color w:val="auto"/>
          <w:sz w:val="28"/>
          <w:szCs w:val="28"/>
          <w:highlight w:val="none"/>
          <w:lang w:val="en-US" w:eastAsia="zh-CN"/>
        </w:rPr>
      </w:pPr>
    </w:p>
    <w:p w14:paraId="3798739A">
      <w:pPr>
        <w:rPr>
          <w:rFonts w:hint="eastAsia" w:ascii="Times New Roman"/>
          <w:b/>
          <w:color w:val="auto"/>
          <w:sz w:val="28"/>
          <w:szCs w:val="28"/>
          <w:highlight w:val="none"/>
          <w:lang w:val="en-US" w:eastAsia="zh-CN"/>
        </w:rPr>
      </w:pPr>
    </w:p>
    <w:p w14:paraId="5AD5FCAA">
      <w:pPr>
        <w:rPr>
          <w:rFonts w:hint="eastAsia" w:ascii="Times New Roman"/>
          <w:b/>
          <w:color w:val="auto"/>
          <w:sz w:val="28"/>
          <w:szCs w:val="28"/>
          <w:highlight w:val="none"/>
          <w:lang w:val="en-US" w:eastAsia="zh-CN"/>
        </w:rPr>
      </w:pPr>
    </w:p>
    <w:p w14:paraId="1340A82F">
      <w:pPr>
        <w:rPr>
          <w:rFonts w:hint="eastAsia" w:ascii="Times New Roman"/>
          <w:b/>
          <w:color w:val="auto"/>
          <w:sz w:val="28"/>
          <w:szCs w:val="28"/>
          <w:highlight w:val="none"/>
          <w:lang w:val="en-US" w:eastAsia="zh-CN"/>
        </w:rPr>
      </w:pPr>
    </w:p>
    <w:p w14:paraId="7E7B3320">
      <w:pPr>
        <w:rPr>
          <w:rFonts w:hint="eastAsia" w:ascii="Times New Roman"/>
          <w:b/>
          <w:color w:val="auto"/>
          <w:sz w:val="28"/>
          <w:szCs w:val="28"/>
          <w:highlight w:val="none"/>
          <w:lang w:val="en-US" w:eastAsia="zh-CN"/>
        </w:rPr>
      </w:pPr>
    </w:p>
    <w:p w14:paraId="261D3D94">
      <w:pPr>
        <w:rPr>
          <w:rFonts w:hint="eastAsia" w:ascii="Times New Roman"/>
          <w:b/>
          <w:color w:val="auto"/>
          <w:sz w:val="28"/>
          <w:szCs w:val="28"/>
          <w:highlight w:val="none"/>
          <w:lang w:val="en-US" w:eastAsia="zh-CN"/>
        </w:rPr>
      </w:pPr>
    </w:p>
    <w:p w14:paraId="155A2DF3">
      <w:pPr>
        <w:rPr>
          <w:rFonts w:hint="eastAsia" w:ascii="Times New Roman"/>
          <w:b/>
          <w:color w:val="auto"/>
          <w:sz w:val="28"/>
          <w:szCs w:val="28"/>
          <w:highlight w:val="none"/>
          <w:lang w:val="en-US" w:eastAsia="zh-CN"/>
        </w:rPr>
      </w:pPr>
    </w:p>
    <w:p w14:paraId="0F90F2FF">
      <w:pPr>
        <w:rPr>
          <w:rFonts w:hint="eastAsia" w:ascii="Times New Roman"/>
          <w:b/>
          <w:color w:val="auto"/>
          <w:sz w:val="28"/>
          <w:szCs w:val="28"/>
          <w:highlight w:val="none"/>
          <w:lang w:val="en-US" w:eastAsia="zh-CN"/>
        </w:rPr>
      </w:pPr>
    </w:p>
    <w:p w14:paraId="05080B2A">
      <w:pPr>
        <w:rPr>
          <w:rFonts w:hint="eastAsia" w:ascii="Times New Roman"/>
          <w:b/>
          <w:color w:val="auto"/>
          <w:sz w:val="28"/>
          <w:szCs w:val="28"/>
          <w:highlight w:val="none"/>
          <w:lang w:val="en-US" w:eastAsia="zh-CN"/>
        </w:rPr>
      </w:pPr>
    </w:p>
    <w:p w14:paraId="61844FBA">
      <w:pPr>
        <w:rPr>
          <w:rFonts w:hint="eastAsia" w:ascii="Times New Roman"/>
          <w:b/>
          <w:color w:val="auto"/>
          <w:sz w:val="28"/>
          <w:szCs w:val="28"/>
          <w:highlight w:val="none"/>
          <w:lang w:val="en-US" w:eastAsia="zh-CN"/>
        </w:rPr>
      </w:pPr>
    </w:p>
    <w:p w14:paraId="7AEDFE80">
      <w:pPr>
        <w:rPr>
          <w:rFonts w:hint="eastAsia" w:ascii="Times New Roman"/>
          <w:b/>
          <w:color w:val="auto"/>
          <w:sz w:val="28"/>
          <w:szCs w:val="28"/>
          <w:highlight w:val="none"/>
          <w:lang w:val="en-US" w:eastAsia="zh-CN"/>
        </w:rPr>
      </w:pPr>
    </w:p>
    <w:p w14:paraId="4EB8A1AC">
      <w:pPr>
        <w:rPr>
          <w:rFonts w:hint="eastAsia" w:ascii="Times New Roman"/>
          <w:b/>
          <w:color w:val="auto"/>
          <w:sz w:val="28"/>
          <w:szCs w:val="28"/>
          <w:highlight w:val="none"/>
          <w:lang w:val="en-US" w:eastAsia="zh-CN"/>
        </w:rPr>
      </w:pPr>
    </w:p>
    <w:p w14:paraId="43CE3304">
      <w:pPr>
        <w:rPr>
          <w:rFonts w:hint="eastAsia" w:ascii="Times New Roman"/>
          <w:b/>
          <w:color w:val="auto"/>
          <w:sz w:val="28"/>
          <w:szCs w:val="28"/>
          <w:highlight w:val="none"/>
          <w:lang w:val="en-US" w:eastAsia="zh-CN"/>
        </w:rPr>
      </w:pPr>
    </w:p>
    <w:p w14:paraId="5657E452">
      <w:pPr>
        <w:rPr>
          <w:rFonts w:hint="eastAsia" w:ascii="Times New Roman"/>
          <w:b/>
          <w:color w:val="auto"/>
          <w:sz w:val="28"/>
          <w:szCs w:val="28"/>
          <w:highlight w:val="none"/>
          <w:lang w:val="en-US" w:eastAsia="zh-CN"/>
        </w:rPr>
      </w:pPr>
    </w:p>
    <w:p w14:paraId="3FD94959">
      <w:pPr>
        <w:rPr>
          <w:rFonts w:hint="eastAsia" w:ascii="Times New Roman"/>
          <w:b/>
          <w:color w:val="auto"/>
          <w:sz w:val="28"/>
          <w:szCs w:val="28"/>
          <w:highlight w:val="none"/>
          <w:lang w:val="en-US" w:eastAsia="zh-CN"/>
        </w:rPr>
      </w:pPr>
    </w:p>
    <w:p w14:paraId="2F421D2D">
      <w:pPr>
        <w:rPr>
          <w:rFonts w:hint="eastAsia" w:ascii="Times New Roman"/>
          <w:b/>
          <w:color w:val="auto"/>
          <w:sz w:val="28"/>
          <w:szCs w:val="28"/>
          <w:highlight w:val="none"/>
          <w:lang w:val="en-US" w:eastAsia="zh-CN"/>
        </w:rPr>
      </w:pPr>
    </w:p>
    <w:p w14:paraId="267ACD9B">
      <w:pPr>
        <w:rPr>
          <w:rFonts w:hint="eastAsia" w:ascii="Times New Roman"/>
          <w:b/>
          <w:color w:val="auto"/>
          <w:sz w:val="28"/>
          <w:szCs w:val="28"/>
          <w:highlight w:val="none"/>
          <w:lang w:val="en-US" w:eastAsia="zh-CN"/>
        </w:rPr>
      </w:pPr>
    </w:p>
    <w:p w14:paraId="3D827B42">
      <w:pPr>
        <w:rPr>
          <w:rFonts w:hint="eastAsia" w:ascii="Times New Roman"/>
          <w:b/>
          <w:color w:val="auto"/>
          <w:sz w:val="28"/>
          <w:szCs w:val="28"/>
          <w:highlight w:val="none"/>
          <w:lang w:val="en-US" w:eastAsia="zh-CN"/>
        </w:rPr>
      </w:pPr>
    </w:p>
    <w:p w14:paraId="4E933482">
      <w:pPr>
        <w:rPr>
          <w:rFonts w:hint="eastAsia" w:ascii="Times New Roman"/>
          <w:b/>
          <w:color w:val="auto"/>
          <w:sz w:val="28"/>
          <w:szCs w:val="28"/>
          <w:highlight w:val="none"/>
          <w:lang w:val="en-US" w:eastAsia="zh-CN"/>
        </w:rPr>
      </w:pPr>
    </w:p>
    <w:p w14:paraId="42D1DEA5">
      <w:pPr>
        <w:rPr>
          <w:rFonts w:hint="eastAsia" w:ascii="Times New Roman"/>
          <w:b/>
          <w:color w:val="auto"/>
          <w:sz w:val="28"/>
          <w:szCs w:val="28"/>
          <w:highlight w:val="none"/>
          <w:lang w:val="en-US" w:eastAsia="zh-CN"/>
        </w:rPr>
      </w:pPr>
    </w:p>
    <w:p w14:paraId="7B87F543">
      <w:pPr>
        <w:rPr>
          <w:rFonts w:hint="eastAsia" w:ascii="Times New Roman"/>
          <w:b/>
          <w:color w:val="auto"/>
          <w:sz w:val="28"/>
          <w:szCs w:val="28"/>
          <w:highlight w:val="none"/>
          <w:lang w:val="en-US" w:eastAsia="zh-CN"/>
        </w:rPr>
      </w:pPr>
    </w:p>
    <w:p w14:paraId="102566C7">
      <w:pPr>
        <w:rPr>
          <w:rFonts w:hint="eastAsia" w:ascii="Times New Roman"/>
          <w:b/>
          <w:color w:val="auto"/>
          <w:sz w:val="28"/>
          <w:szCs w:val="28"/>
          <w:highlight w:val="none"/>
          <w:lang w:val="en-US" w:eastAsia="zh-CN"/>
        </w:rPr>
      </w:pPr>
    </w:p>
    <w:p w14:paraId="0F848379">
      <w:pPr>
        <w:rPr>
          <w:rFonts w:hint="eastAsia" w:ascii="Times New Roman"/>
          <w:b/>
          <w:color w:val="auto"/>
          <w:sz w:val="28"/>
          <w:szCs w:val="28"/>
          <w:highlight w:val="none"/>
          <w:lang w:val="en-US" w:eastAsia="zh-CN"/>
        </w:rPr>
      </w:pPr>
    </w:p>
    <w:p w14:paraId="2DEA54DB">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项目响应声明</w:t>
      </w:r>
    </w:p>
    <w:p w14:paraId="05184F82">
      <w:pPr>
        <w:spacing w:line="360" w:lineRule="auto"/>
        <w:jc w:val="center"/>
        <w:rPr>
          <w:rFonts w:hAnsi="宋体" w:cs="宋体"/>
          <w:b/>
          <w:color w:val="auto"/>
          <w:sz w:val="28"/>
          <w:szCs w:val="28"/>
          <w:highlight w:val="none"/>
        </w:rPr>
      </w:pPr>
      <w:bookmarkStart w:id="20" w:name="_Hlk26973180"/>
      <w:r>
        <w:rPr>
          <w:rFonts w:hint="eastAsia" w:hAnsi="宋体" w:cs="宋体"/>
          <w:b/>
          <w:color w:val="auto"/>
          <w:sz w:val="28"/>
          <w:szCs w:val="28"/>
          <w:highlight w:val="none"/>
        </w:rPr>
        <w:t>响应声明</w:t>
      </w:r>
    </w:p>
    <w:bookmarkEnd w:id="20"/>
    <w:p w14:paraId="35FE920D">
      <w:pPr>
        <w:spacing w:line="360" w:lineRule="auto"/>
        <w:ind w:firstLine="480" w:firstLineChars="200"/>
        <w:rPr>
          <w:rFonts w:hAnsi="宋体" w:cs="宋体"/>
          <w:color w:val="auto"/>
          <w:highlight w:val="none"/>
        </w:rPr>
      </w:pPr>
      <w:bookmarkStart w:id="21" w:name="_Toc513226437"/>
      <w:bookmarkStart w:id="22" w:name="_Toc534701786"/>
      <w:bookmarkStart w:id="23" w:name="_Toc534278252"/>
      <w:r>
        <w:rPr>
          <w:rFonts w:hAnsi="宋体" w:cs="宋体"/>
          <w:color w:val="auto"/>
          <w:highlight w:val="none"/>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4DA5FB0D">
      <w:pPr>
        <w:numPr>
          <w:ilvl w:val="0"/>
          <w:numId w:val="0"/>
        </w:numPr>
        <w:spacing w:line="360" w:lineRule="auto"/>
        <w:rPr>
          <w:rFonts w:hint="eastAsia" w:ascii="Times New Roman" w:eastAsia="宋体"/>
          <w:b/>
          <w:color w:val="auto"/>
          <w:sz w:val="28"/>
          <w:szCs w:val="28"/>
          <w:highlight w:val="none"/>
          <w:lang w:val="en-US" w:eastAsia="zh-CN"/>
        </w:rPr>
      </w:pPr>
      <w:r>
        <w:rPr>
          <w:rFonts w:hint="eastAsia" w:ascii="Times New Roman" w:eastAsia="宋体"/>
          <w:b/>
          <w:color w:val="auto"/>
          <w:sz w:val="28"/>
          <w:szCs w:val="28"/>
          <w:highlight w:val="none"/>
          <w:lang w:val="en-US" w:eastAsia="zh-CN"/>
        </w:rPr>
        <w:t>4.具备国家能源局派出机构颁发的承装（修、试）电力设施许可证资质证书，证书类别包括承修类、承试类且类别等级为四级或以上【或具有2025年7月1日之后日期颁发或换领的承装（修、试）电力设施许可证三级或以上】</w:t>
      </w:r>
    </w:p>
    <w:p w14:paraId="704F691A">
      <w:pPr>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br w:type="page"/>
      </w:r>
    </w:p>
    <w:p w14:paraId="364EF705">
      <w:pPr>
        <w:spacing w:line="360" w:lineRule="auto"/>
        <w:rPr>
          <w:rFonts w:hint="eastAsia" w:hAnsi="宋体" w:cs="宋体"/>
          <w:b/>
          <w:color w:val="auto"/>
          <w:sz w:val="28"/>
          <w:szCs w:val="28"/>
          <w:highlight w:val="none"/>
        </w:rPr>
      </w:pPr>
      <w:r>
        <w:rPr>
          <w:rFonts w:hint="eastAsia" w:hAnsi="宋体" w:cs="宋体"/>
          <w:b/>
          <w:color w:val="auto"/>
          <w:sz w:val="28"/>
          <w:szCs w:val="28"/>
          <w:highlight w:val="none"/>
          <w:lang w:val="en-US" w:eastAsia="zh-CN"/>
        </w:rPr>
        <w:t>5</w:t>
      </w:r>
      <w:r>
        <w:rPr>
          <w:rFonts w:hAnsi="宋体" w:cs="宋体"/>
          <w:b/>
          <w:color w:val="auto"/>
          <w:sz w:val="28"/>
          <w:szCs w:val="28"/>
          <w:highlight w:val="none"/>
        </w:rPr>
        <w:t>.</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ascii="宋体" w:hAnsi="宋体" w:eastAsia="宋体" w:cs="宋体"/>
          <w:b/>
          <w:color w:val="auto"/>
          <w:sz w:val="28"/>
          <w:szCs w:val="28"/>
          <w:highlight w:val="none"/>
          <w:lang w:val="en-US" w:eastAsia="zh-CN"/>
        </w:rPr>
        <w:t>份电气设备预防性试验服务相关</w:t>
      </w:r>
      <w:r>
        <w:rPr>
          <w:rFonts w:hint="eastAsia" w:hAnsi="宋体" w:cs="宋体"/>
          <w:b/>
          <w:color w:val="auto"/>
          <w:sz w:val="28"/>
          <w:szCs w:val="28"/>
          <w:highlight w:val="none"/>
          <w:lang w:val="en-US" w:eastAsia="zh-CN"/>
        </w:rPr>
        <w:t>业绩</w:t>
      </w:r>
      <w:r>
        <w:rPr>
          <w:rFonts w:hint="eastAsia" w:hAnsi="宋体" w:cs="宋体"/>
          <w:b/>
          <w:color w:val="auto"/>
          <w:sz w:val="28"/>
          <w:szCs w:val="28"/>
          <w:highlight w:val="none"/>
        </w:rPr>
        <w:t>（合同签订日期为</w:t>
      </w:r>
      <w:r>
        <w:rPr>
          <w:rFonts w:hint="eastAsia" w:hAnsi="宋体" w:cs="宋体"/>
          <w:b/>
          <w:color w:val="auto"/>
          <w:sz w:val="28"/>
          <w:szCs w:val="28"/>
          <w:highlight w:val="none"/>
          <w:lang w:eastAsia="zh-CN"/>
        </w:rPr>
        <w:t>2023年1月1日</w:t>
      </w:r>
      <w:r>
        <w:rPr>
          <w:rFonts w:hint="eastAsia" w:hAnsi="宋体" w:cs="宋体"/>
          <w:b/>
          <w:color w:val="auto"/>
          <w:sz w:val="28"/>
          <w:szCs w:val="28"/>
          <w:highlight w:val="none"/>
        </w:rPr>
        <w:t>或以后）</w:t>
      </w:r>
    </w:p>
    <w:p w14:paraId="3E779E79">
      <w:pPr>
        <w:rPr>
          <w:rFonts w:ascii="Times New Roman"/>
          <w:b/>
          <w:color w:val="auto"/>
          <w:sz w:val="28"/>
          <w:szCs w:val="28"/>
          <w:highlight w:val="none"/>
        </w:rPr>
      </w:pPr>
      <w:r>
        <w:rPr>
          <w:rFonts w:ascii="Times New Roman"/>
          <w:b/>
          <w:color w:val="auto"/>
          <w:sz w:val="28"/>
          <w:szCs w:val="28"/>
          <w:highlight w:val="none"/>
        </w:rPr>
        <w:br w:type="page"/>
      </w:r>
    </w:p>
    <w:p w14:paraId="2E85BE0D">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6</w:t>
      </w:r>
      <w:r>
        <w:rPr>
          <w:rFonts w:ascii="Times New Roman"/>
          <w:b/>
          <w:color w:val="auto"/>
          <w:sz w:val="28"/>
          <w:szCs w:val="28"/>
          <w:highlight w:val="none"/>
        </w:rPr>
        <w:t>.</w:t>
      </w:r>
      <w:r>
        <w:rPr>
          <w:rFonts w:hint="eastAsia" w:ascii="Times New Roman"/>
          <w:b/>
          <w:color w:val="auto"/>
          <w:sz w:val="28"/>
          <w:szCs w:val="28"/>
          <w:highlight w:val="none"/>
        </w:rPr>
        <w:t xml:space="preserve"> </w:t>
      </w:r>
      <w:bookmarkEnd w:id="21"/>
      <w:bookmarkEnd w:id="22"/>
      <w:bookmarkEnd w:id="23"/>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为贵公司询价的</w:t>
      </w:r>
      <w:r>
        <w:rPr>
          <w:rFonts w:hint="eastAsia" w:hAnsi="宋体" w:cs="宋体"/>
          <w:color w:val="auto"/>
          <w:highlight w:val="none"/>
          <w:u w:val="single"/>
          <w:lang w:eastAsia="zh-CN"/>
        </w:rPr>
        <w:t>东莞市石鼓净水有限公司万江厂二期2026年高低压配电系统预防性试验服务项目</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footerReference r:id="rId4" w:type="default"/>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829CA"/>
    <w:multiLevelType w:val="singleLevel"/>
    <w:tmpl w:val="802829CA"/>
    <w:lvl w:ilvl="0" w:tentative="0">
      <w:start w:val="6"/>
      <w:numFmt w:val="chineseCounting"/>
      <w:suff w:val="nothing"/>
      <w:lvlText w:val="%1、"/>
      <w:lvlJc w:val="left"/>
      <w:rPr>
        <w:rFonts w:hint="eastAsia"/>
      </w:rPr>
    </w:lvl>
  </w:abstractNum>
  <w:abstractNum w:abstractNumId="1">
    <w:nsid w:val="D394AD07"/>
    <w:multiLevelType w:val="singleLevel"/>
    <w:tmpl w:val="D394AD07"/>
    <w:lvl w:ilvl="0" w:tentative="0">
      <w:start w:val="1"/>
      <w:numFmt w:val="decimal"/>
      <w:suff w:val="space"/>
      <w:lvlText w:val="%1."/>
      <w:lvlJc w:val="left"/>
    </w:lvl>
  </w:abstractNum>
  <w:abstractNum w:abstractNumId="2">
    <w:nsid w:val="EEFEB810"/>
    <w:multiLevelType w:val="singleLevel"/>
    <w:tmpl w:val="EEFEB810"/>
    <w:lvl w:ilvl="0" w:tentative="0">
      <w:start w:val="1"/>
      <w:numFmt w:val="decimal"/>
      <w:suff w:val="nothing"/>
      <w:lvlText w:val="（%1）"/>
      <w:lvlJc w:val="left"/>
    </w:lvl>
  </w:abstractNum>
  <w:abstractNum w:abstractNumId="3">
    <w:nsid w:val="FE1D2219"/>
    <w:multiLevelType w:val="singleLevel"/>
    <w:tmpl w:val="FE1D2219"/>
    <w:lvl w:ilvl="0" w:tentative="0">
      <w:start w:val="1"/>
      <w:numFmt w:val="decimal"/>
      <w:suff w:val="space"/>
      <w:lvlText w:val="%1."/>
      <w:lvlJc w:val="left"/>
    </w:lvl>
  </w:abstractNum>
  <w:abstractNum w:abstractNumId="4">
    <w:nsid w:val="06D87533"/>
    <w:multiLevelType w:val="singleLevel"/>
    <w:tmpl w:val="06D87533"/>
    <w:lvl w:ilvl="0" w:tentative="0">
      <w:start w:val="5"/>
      <w:numFmt w:val="decimal"/>
      <w:suff w:val="nothing"/>
      <w:lvlText w:val="%1、"/>
      <w:lvlJc w:val="left"/>
    </w:lvl>
  </w:abstractNum>
  <w:abstractNum w:abstractNumId="5">
    <w:nsid w:val="0CCCBEB0"/>
    <w:multiLevelType w:val="singleLevel"/>
    <w:tmpl w:val="0CCCBEB0"/>
    <w:lvl w:ilvl="0" w:tentative="0">
      <w:start w:val="1"/>
      <w:numFmt w:val="chineseCounting"/>
      <w:suff w:val="space"/>
      <w:lvlText w:val="第%1条"/>
      <w:lvlJc w:val="left"/>
      <w:rPr>
        <w:rFonts w:hint="eastAsia"/>
      </w:rPr>
    </w:lvl>
  </w:abstractNum>
  <w:abstractNum w:abstractNumId="6">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7">
    <w:nsid w:val="1965F05F"/>
    <w:multiLevelType w:val="singleLevel"/>
    <w:tmpl w:val="1965F05F"/>
    <w:lvl w:ilvl="0" w:tentative="0">
      <w:start w:val="5"/>
      <w:numFmt w:val="chineseCounting"/>
      <w:suff w:val="space"/>
      <w:lvlText w:val="第%1条"/>
      <w:lvlJc w:val="left"/>
      <w:rPr>
        <w:rFonts w:hint="eastAsia"/>
      </w:rPr>
    </w:lvl>
  </w:abstractNum>
  <w:abstractNum w:abstractNumId="8">
    <w:nsid w:val="669288AD"/>
    <w:multiLevelType w:val="singleLevel"/>
    <w:tmpl w:val="669288AD"/>
    <w:lvl w:ilvl="0" w:tentative="0">
      <w:start w:val="2"/>
      <w:numFmt w:val="decimal"/>
      <w:suff w:val="nothing"/>
      <w:lvlText w:val="（%1）"/>
      <w:lvlJc w:val="left"/>
    </w:lvl>
  </w:abstractNum>
  <w:num w:numId="1">
    <w:abstractNumId w:val="1"/>
  </w:num>
  <w:num w:numId="2">
    <w:abstractNumId w:val="5"/>
  </w:num>
  <w:num w:numId="3">
    <w:abstractNumId w:val="4"/>
  </w:num>
  <w:num w:numId="4">
    <w:abstractNumId w:val="7"/>
  </w:num>
  <w:num w:numId="5">
    <w:abstractNumId w:val="6"/>
  </w:num>
  <w:num w:numId="6">
    <w:abstractNumId w:val="8"/>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5160145"/>
    <w:rsid w:val="05F63A4D"/>
    <w:rsid w:val="06E27ADA"/>
    <w:rsid w:val="07A56A29"/>
    <w:rsid w:val="09434CDD"/>
    <w:rsid w:val="0A4F60F9"/>
    <w:rsid w:val="0DDC74AE"/>
    <w:rsid w:val="130A23C8"/>
    <w:rsid w:val="14661880"/>
    <w:rsid w:val="14BF2F57"/>
    <w:rsid w:val="166C3E5C"/>
    <w:rsid w:val="17797B1C"/>
    <w:rsid w:val="17FF1C9D"/>
    <w:rsid w:val="20110793"/>
    <w:rsid w:val="21217D8A"/>
    <w:rsid w:val="228C4BA7"/>
    <w:rsid w:val="2386555D"/>
    <w:rsid w:val="23C6552A"/>
    <w:rsid w:val="241F664E"/>
    <w:rsid w:val="246B25F1"/>
    <w:rsid w:val="25E54563"/>
    <w:rsid w:val="27E162AD"/>
    <w:rsid w:val="28F65471"/>
    <w:rsid w:val="29E140BF"/>
    <w:rsid w:val="2A5868DF"/>
    <w:rsid w:val="2A631000"/>
    <w:rsid w:val="2A6D26D8"/>
    <w:rsid w:val="2C8B4438"/>
    <w:rsid w:val="323C49D6"/>
    <w:rsid w:val="33C57F19"/>
    <w:rsid w:val="34A00A1D"/>
    <w:rsid w:val="38307621"/>
    <w:rsid w:val="399860D0"/>
    <w:rsid w:val="3AD849D6"/>
    <w:rsid w:val="3B6B54F4"/>
    <w:rsid w:val="412F731A"/>
    <w:rsid w:val="41B431D2"/>
    <w:rsid w:val="42E62B8F"/>
    <w:rsid w:val="43CE2E1A"/>
    <w:rsid w:val="44531238"/>
    <w:rsid w:val="454168BB"/>
    <w:rsid w:val="4A954649"/>
    <w:rsid w:val="4BAB533E"/>
    <w:rsid w:val="4C986A02"/>
    <w:rsid w:val="4CF01977"/>
    <w:rsid w:val="4DC81F78"/>
    <w:rsid w:val="4DE17BEE"/>
    <w:rsid w:val="4E022770"/>
    <w:rsid w:val="4F7244C4"/>
    <w:rsid w:val="51492FE2"/>
    <w:rsid w:val="52C02341"/>
    <w:rsid w:val="53364538"/>
    <w:rsid w:val="53D564A8"/>
    <w:rsid w:val="57342B3C"/>
    <w:rsid w:val="59AD6BD6"/>
    <w:rsid w:val="5CAA07BA"/>
    <w:rsid w:val="5CF20215"/>
    <w:rsid w:val="5EB72A3D"/>
    <w:rsid w:val="5F116B44"/>
    <w:rsid w:val="5F9D2B92"/>
    <w:rsid w:val="60A60CCB"/>
    <w:rsid w:val="611F1E59"/>
    <w:rsid w:val="616F470F"/>
    <w:rsid w:val="63143EF4"/>
    <w:rsid w:val="635E3621"/>
    <w:rsid w:val="63AD392D"/>
    <w:rsid w:val="65316E3C"/>
    <w:rsid w:val="6AE93CA8"/>
    <w:rsid w:val="6AED5C1F"/>
    <w:rsid w:val="6C730131"/>
    <w:rsid w:val="6CF4695D"/>
    <w:rsid w:val="6E245917"/>
    <w:rsid w:val="6F420807"/>
    <w:rsid w:val="70714B0F"/>
    <w:rsid w:val="70A66A91"/>
    <w:rsid w:val="71817F98"/>
    <w:rsid w:val="71B92164"/>
    <w:rsid w:val="747F7695"/>
    <w:rsid w:val="76257DC8"/>
    <w:rsid w:val="7CD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annotation text"/>
    <w:basedOn w:val="1"/>
    <w:link w:val="35"/>
    <w:qFormat/>
    <w:uiPriority w:val="0"/>
  </w:style>
  <w:style w:type="paragraph" w:styleId="8">
    <w:name w:val="Body Text"/>
    <w:basedOn w:val="1"/>
    <w:link w:val="37"/>
    <w:qFormat/>
    <w:uiPriority w:val="0"/>
    <w:pPr>
      <w:spacing w:after="120"/>
    </w:pPr>
    <w:rPr>
      <w:rFonts w:ascii="Times New Roman"/>
    </w:rPr>
  </w:style>
  <w:style w:type="paragraph" w:styleId="9">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10">
    <w:name w:val="toc 3"/>
    <w:basedOn w:val="1"/>
    <w:next w:val="1"/>
    <w:qFormat/>
    <w:uiPriority w:val="0"/>
    <w:pPr>
      <w:ind w:left="840" w:leftChars="400"/>
    </w:pPr>
  </w:style>
  <w:style w:type="paragraph" w:styleId="11">
    <w:name w:val="Plain Text"/>
    <w:basedOn w:val="1"/>
    <w:link w:val="43"/>
    <w:qFormat/>
    <w:uiPriority w:val="0"/>
    <w:pPr>
      <w:autoSpaceDE/>
      <w:autoSpaceDN/>
      <w:adjustRightInd/>
      <w:jc w:val="both"/>
    </w:pPr>
    <w:rPr>
      <w:rFonts w:hAnsi="Courier New"/>
      <w:kern w:val="2"/>
      <w:sz w:val="21"/>
      <w:szCs w:val="20"/>
    </w:rPr>
  </w:style>
  <w:style w:type="paragraph" w:styleId="12">
    <w:name w:val="Balloon Text"/>
    <w:basedOn w:val="1"/>
    <w:link w:val="34"/>
    <w:qFormat/>
    <w:uiPriority w:val="0"/>
    <w:rPr>
      <w:sz w:val="18"/>
      <w:szCs w:val="18"/>
    </w:rPr>
  </w:style>
  <w:style w:type="paragraph" w:styleId="13">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0"/>
    <w:pPr>
      <w:ind w:left="420" w:leftChars="200"/>
    </w:pPr>
  </w:style>
  <w:style w:type="paragraph" w:styleId="18">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7"/>
    <w:next w:val="7"/>
    <w:link w:val="36"/>
    <w:qFormat/>
    <w:uiPriority w:val="0"/>
    <w:rPr>
      <w:b/>
      <w:bCs/>
    </w:rPr>
  </w:style>
  <w:style w:type="paragraph" w:styleId="20">
    <w:name w:val="Body Text First Indent"/>
    <w:basedOn w:val="8"/>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1">
    <w:name w:val="Body Text First Indent 2"/>
    <w:basedOn w:val="9"/>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qFormat/>
    <w:uiPriority w:val="99"/>
    <w:rPr>
      <w:sz w:val="21"/>
      <w:szCs w:val="21"/>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4"/>
    <w:link w:val="32"/>
    <w:qFormat/>
    <w:uiPriority w:val="0"/>
    <w:rPr>
      <w:kern w:val="2"/>
      <w:sz w:val="24"/>
      <w:szCs w:val="28"/>
    </w:rPr>
  </w:style>
  <w:style w:type="character" w:customStyle="1" w:styleId="34">
    <w:name w:val="批注框文本 字符"/>
    <w:basedOn w:val="24"/>
    <w:link w:val="12"/>
    <w:qFormat/>
    <w:uiPriority w:val="0"/>
    <w:rPr>
      <w:rFonts w:ascii="宋体"/>
      <w:sz w:val="18"/>
      <w:szCs w:val="18"/>
    </w:rPr>
  </w:style>
  <w:style w:type="character" w:customStyle="1" w:styleId="35">
    <w:name w:val="批注文字 字符"/>
    <w:basedOn w:val="24"/>
    <w:link w:val="7"/>
    <w:qFormat/>
    <w:uiPriority w:val="0"/>
    <w:rPr>
      <w:rFonts w:ascii="宋体"/>
      <w:sz w:val="24"/>
      <w:szCs w:val="24"/>
    </w:rPr>
  </w:style>
  <w:style w:type="character" w:customStyle="1" w:styleId="36">
    <w:name w:val="批注主题 字符"/>
    <w:basedOn w:val="35"/>
    <w:link w:val="19"/>
    <w:qFormat/>
    <w:uiPriority w:val="0"/>
    <w:rPr>
      <w:rFonts w:ascii="宋体"/>
      <w:b/>
      <w:bCs/>
      <w:sz w:val="24"/>
      <w:szCs w:val="24"/>
    </w:rPr>
  </w:style>
  <w:style w:type="character" w:customStyle="1" w:styleId="37">
    <w:name w:val="正文文本 字符"/>
    <w:basedOn w:val="24"/>
    <w:link w:val="8"/>
    <w:qFormat/>
    <w:uiPriority w:val="0"/>
    <w:rPr>
      <w:sz w:val="24"/>
      <w:szCs w:val="24"/>
    </w:rPr>
  </w:style>
  <w:style w:type="character" w:customStyle="1" w:styleId="38">
    <w:name w:val="正文首行缩进 字符"/>
    <w:basedOn w:val="37"/>
    <w:link w:val="20"/>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6"/>
    <w:qFormat/>
    <w:uiPriority w:val="11"/>
    <w:rPr>
      <w:rFonts w:ascii="Cambria" w:hAnsi="Cambria"/>
      <w:b/>
      <w:bCs/>
      <w:kern w:val="28"/>
      <w:sz w:val="32"/>
      <w:szCs w:val="32"/>
      <w:lang w:val="en-US" w:eastAsia="zh-CN"/>
    </w:rPr>
  </w:style>
  <w:style w:type="character" w:customStyle="1" w:styleId="41">
    <w:name w:val="副标题 字符"/>
    <w:basedOn w:val="24"/>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4"/>
    <w:link w:val="11"/>
    <w:qFormat/>
    <w:uiPriority w:val="0"/>
    <w:rPr>
      <w:rFonts w:ascii="宋体" w:hAnsi="Courier New"/>
      <w:kern w:val="2"/>
      <w:sz w:val="21"/>
    </w:rPr>
  </w:style>
  <w:style w:type="character" w:customStyle="1" w:styleId="44">
    <w:name w:val="标题 9 字符"/>
    <w:basedOn w:val="24"/>
    <w:link w:val="6"/>
    <w:semiHidden/>
    <w:qFormat/>
    <w:uiPriority w:val="0"/>
    <w:rPr>
      <w:rFonts w:ascii="等线 Light" w:hAnsi="等线 Light" w:eastAsia="等线 Light"/>
      <w:kern w:val="2"/>
      <w:sz w:val="21"/>
      <w:szCs w:val="21"/>
    </w:rPr>
  </w:style>
  <w:style w:type="character" w:customStyle="1" w:styleId="45">
    <w:name w:val="页脚 字符"/>
    <w:link w:val="13"/>
    <w:qFormat/>
    <w:uiPriority w:val="99"/>
    <w:rPr>
      <w:rFonts w:asciiTheme="minorHAnsi" w:hAnsiTheme="minorHAnsi" w:eastAsiaTheme="minorEastAsia" w:cstheme="minorBidi"/>
      <w:kern w:val="2"/>
      <w:sz w:val="18"/>
      <w:szCs w:val="18"/>
    </w:rPr>
  </w:style>
  <w:style w:type="character" w:customStyle="1" w:styleId="46">
    <w:name w:val="页眉 字符"/>
    <w:link w:val="14"/>
    <w:qFormat/>
    <w:uiPriority w:val="99"/>
    <w:rPr>
      <w:rFonts w:ascii="宋体"/>
      <w:sz w:val="18"/>
      <w:szCs w:val="24"/>
    </w:rPr>
  </w:style>
  <w:style w:type="character" w:customStyle="1" w:styleId="47">
    <w:name w:val="HTML 预设格式 字符"/>
    <w:basedOn w:val="24"/>
    <w:link w:val="18"/>
    <w:qFormat/>
    <w:uiPriority w:val="99"/>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4"/>
    <w:link w:val="9"/>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4"/>
    <w:semiHidden/>
    <w:qFormat/>
    <w:uiPriority w:val="99"/>
    <w:rPr>
      <w:rFonts w:ascii="Times New Roman" w:hAnsi="Times New Roman"/>
      <w:kern w:val="2"/>
      <w:sz w:val="18"/>
      <w:szCs w:val="18"/>
    </w:rPr>
  </w:style>
  <w:style w:type="character" w:customStyle="1" w:styleId="52">
    <w:name w:val="页眉 字符1"/>
    <w:basedOn w:val="24"/>
    <w:semiHidden/>
    <w:qFormat/>
    <w:uiPriority w:val="99"/>
    <w:rPr>
      <w:rFonts w:ascii="Times New Roman" w:hAnsi="Times New Roman"/>
      <w:kern w:val="2"/>
      <w:sz w:val="18"/>
      <w:szCs w:val="18"/>
    </w:rPr>
  </w:style>
  <w:style w:type="table" w:customStyle="1" w:styleId="53">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1"/>
    <w:qFormat/>
    <w:uiPriority w:val="0"/>
    <w:rPr>
      <w:rFonts w:ascii="宋体" w:hAnsi="宋体"/>
      <w:kern w:val="2"/>
      <w:sz w:val="24"/>
      <w:szCs w:val="24"/>
    </w:rPr>
  </w:style>
  <w:style w:type="character" w:customStyle="1" w:styleId="55">
    <w:name w:val="标题 2 字符"/>
    <w:basedOn w:val="24"/>
    <w:link w:val="4"/>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59">
    <w:name w:val="font11"/>
    <w:basedOn w:val="24"/>
    <w:qFormat/>
    <w:uiPriority w:val="0"/>
    <w:rPr>
      <w:rFonts w:hint="eastAsia" w:ascii="宋体" w:hAnsi="宋体" w:eastAsia="宋体" w:cs="宋体"/>
      <w:color w:val="000000"/>
      <w:sz w:val="22"/>
      <w:szCs w:val="22"/>
      <w:u w:val="none"/>
    </w:rPr>
  </w:style>
  <w:style w:type="character" w:customStyle="1" w:styleId="60">
    <w:name w:val="font41"/>
    <w:basedOn w:val="24"/>
    <w:qFormat/>
    <w:uiPriority w:val="0"/>
    <w:rPr>
      <w:rFonts w:hint="eastAsia" w:ascii="宋体" w:hAnsi="宋体" w:eastAsia="宋体" w:cs="宋体"/>
      <w:color w:val="000000"/>
      <w:sz w:val="20"/>
      <w:szCs w:val="20"/>
      <w:u w:val="none"/>
    </w:rPr>
  </w:style>
  <w:style w:type="character" w:customStyle="1" w:styleId="61">
    <w:name w:val="font31"/>
    <w:basedOn w:val="24"/>
    <w:qFormat/>
    <w:uiPriority w:val="0"/>
    <w:rPr>
      <w:rFonts w:hint="eastAsia" w:ascii="宋体" w:hAnsi="宋体" w:eastAsia="宋体" w:cs="宋体"/>
      <w:color w:val="000000"/>
      <w:sz w:val="20"/>
      <w:szCs w:val="20"/>
      <w:u w:val="none"/>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font21"/>
    <w:basedOn w:val="24"/>
    <w:qFormat/>
    <w:uiPriority w:val="0"/>
    <w:rPr>
      <w:rFonts w:ascii="宋体" w:hAnsi="宋体" w:eastAsia="宋体" w:cs="宋体"/>
      <w:b/>
      <w:bCs/>
      <w:color w:val="000000"/>
      <w:sz w:val="28"/>
      <w:szCs w:val="28"/>
      <w:u w:val="none"/>
    </w:rPr>
  </w:style>
  <w:style w:type="paragraph" w:customStyle="1" w:styleId="64">
    <w:name w:val="彩色列表 - 着色 11"/>
    <w:basedOn w:val="1"/>
    <w:qFormat/>
    <w:uiPriority w:val="34"/>
    <w:pPr>
      <w:ind w:firstLine="420" w:firstLineChars="200"/>
    </w:pPr>
  </w:style>
  <w:style w:type="character" w:customStyle="1" w:styleId="65">
    <w:name w:val="font81"/>
    <w:basedOn w:val="24"/>
    <w:qFormat/>
    <w:uiPriority w:val="0"/>
    <w:rPr>
      <w:rFonts w:ascii="宋体" w:hAnsi="宋体" w:eastAsia="宋体" w:cs="宋体"/>
      <w:b/>
      <w:bCs/>
      <w:color w:val="E74025"/>
      <w:sz w:val="28"/>
      <w:szCs w:val="28"/>
      <w:u w:val="none"/>
    </w:rPr>
  </w:style>
  <w:style w:type="paragraph" w:customStyle="1" w:styleId="6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50</Pages>
  <Words>1593</Words>
  <Characters>1823</Characters>
  <Lines>140</Lines>
  <Paragraphs>39</Paragraphs>
  <TotalTime>7</TotalTime>
  <ScaleCrop>false</ScaleCrop>
  <LinksUpToDate>false</LinksUpToDate>
  <CharactersWithSpaces>1871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2025-12-10T02:52:00Z</cp:lastPrinted>
  <dcterms:modified xsi:type="dcterms:W3CDTF">2026-02-26T02:10:11Z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53138E8666CA4C2FA2D6B4C74498C729_13</vt:lpwstr>
  </property>
</Properties>
</file>